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1"/>
    <w:bookmarkStart w:id="1" w:name="OLE_LINK2"/>
    <w:p w14:paraId="727A91DF" w14:textId="746920FE" w:rsidR="00894C55" w:rsidRPr="00BE49D6" w:rsidRDefault="00BB2278"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r w:rsidR="005879DF" w:rsidRPr="00BE49D6">
            <w:rPr>
              <w:rFonts w:ascii="Times New Roman" w:eastAsia="Times New Roman" w:hAnsi="Times New Roman" w:cs="Times New Roman"/>
              <w:b/>
              <w:bCs/>
              <w:sz w:val="28"/>
              <w:szCs w:val="24"/>
              <w:lang w:eastAsia="lv-LV"/>
            </w:rPr>
            <w:t xml:space="preserve">Noteikumu </w:t>
          </w:r>
          <w:bookmarkStart w:id="2" w:name="OLE_LINK3"/>
          <w:bookmarkStart w:id="3" w:name="OLE_LINK4"/>
          <w:r w:rsidR="00DE24DA" w:rsidRPr="00BE49D6">
            <w:rPr>
              <w:rFonts w:ascii="Times New Roman" w:eastAsia="Times New Roman" w:hAnsi="Times New Roman" w:cs="Times New Roman"/>
              <w:b/>
              <w:bCs/>
              <w:sz w:val="28"/>
              <w:szCs w:val="24"/>
              <w:lang w:eastAsia="lv-LV"/>
            </w:rPr>
            <w:t>“</w:t>
          </w:r>
          <w:r w:rsidR="00DE24DA" w:rsidRPr="00BE49D6">
            <w:rPr>
              <w:rFonts w:ascii="Times New Roman" w:eastAsia="Times New Roman" w:hAnsi="Times New Roman" w:cs="Times New Roman"/>
              <w:b/>
              <w:bCs/>
              <w:color w:val="000000" w:themeColor="text1"/>
              <w:sz w:val="28"/>
              <w:szCs w:val="28"/>
              <w:lang w:eastAsia="lv-LV"/>
            </w:rPr>
            <w:t>Grozījumi Ministru kabineta 2016. gada 1. marta noteikumos Nr. 131 “Rūpniecisko avāriju riska novērtēšanas kārtība un riska samazināšanas pasākumi”</w:t>
          </w:r>
          <w:r w:rsidR="005879DF" w:rsidRPr="00BE49D6">
            <w:rPr>
              <w:rFonts w:ascii="Times New Roman" w:eastAsia="Calibri" w:hAnsi="Times New Roman" w:cs="Times New Roman"/>
              <w:b/>
              <w:sz w:val="28"/>
              <w:szCs w:val="28"/>
            </w:rPr>
            <w:t>”</w:t>
          </w:r>
        </w:sdtContent>
      </w:sdt>
      <w:bookmarkEnd w:id="2"/>
      <w:bookmarkEnd w:id="3"/>
      <w:r w:rsidR="00894C55" w:rsidRPr="00BE49D6">
        <w:rPr>
          <w:rFonts w:ascii="Times New Roman" w:eastAsia="Times New Roman" w:hAnsi="Times New Roman" w:cs="Times New Roman"/>
          <w:b/>
          <w:bCs/>
          <w:sz w:val="28"/>
          <w:szCs w:val="24"/>
          <w:lang w:eastAsia="lv-LV"/>
        </w:rPr>
        <w:t xml:space="preserve"> projekta</w:t>
      </w:r>
      <w:r w:rsidR="003344C2" w:rsidRPr="00BE49D6">
        <w:rPr>
          <w:rFonts w:ascii="Times New Roman" w:eastAsia="Times New Roman" w:hAnsi="Times New Roman" w:cs="Times New Roman"/>
          <w:b/>
          <w:bCs/>
          <w:sz w:val="28"/>
          <w:szCs w:val="24"/>
          <w:lang w:eastAsia="lv-LV"/>
        </w:rPr>
        <w:t xml:space="preserve"> </w:t>
      </w:r>
      <w:r w:rsidR="00894C55" w:rsidRPr="00BE49D6">
        <w:rPr>
          <w:rFonts w:ascii="Times New Roman" w:eastAsia="Times New Roman" w:hAnsi="Times New Roman" w:cs="Times New Roman"/>
          <w:b/>
          <w:bCs/>
          <w:sz w:val="28"/>
          <w:szCs w:val="24"/>
          <w:lang w:eastAsia="lv-LV"/>
        </w:rPr>
        <w:t>sākotnējās ietekmes novērtējuma ziņojums (anotācija)</w:t>
      </w:r>
    </w:p>
    <w:bookmarkEnd w:id="0"/>
    <w:bookmarkEnd w:id="1"/>
    <w:p w14:paraId="633AFB97" w14:textId="77777777" w:rsidR="00E5323B" w:rsidRPr="00BE49D6"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BE49D6" w14:paraId="771508B1"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D2B921" w14:textId="77777777" w:rsidR="00655F2C" w:rsidRPr="00BE49D6" w:rsidRDefault="00E5323B" w:rsidP="00E5323B">
            <w:pPr>
              <w:spacing w:after="0" w:line="240" w:lineRule="auto"/>
              <w:rPr>
                <w:rFonts w:ascii="Times New Roman" w:eastAsia="Times New Roman" w:hAnsi="Times New Roman" w:cs="Times New Roman"/>
                <w:b/>
                <w:bCs/>
                <w:iCs/>
                <w:sz w:val="24"/>
                <w:szCs w:val="24"/>
                <w:lang w:eastAsia="lv-LV"/>
              </w:rPr>
            </w:pPr>
            <w:r w:rsidRPr="00BE49D6">
              <w:rPr>
                <w:rFonts w:ascii="Times New Roman" w:eastAsia="Times New Roman" w:hAnsi="Times New Roman" w:cs="Times New Roman"/>
                <w:b/>
                <w:bCs/>
                <w:iCs/>
                <w:sz w:val="24"/>
                <w:szCs w:val="24"/>
                <w:lang w:eastAsia="lv-LV"/>
              </w:rPr>
              <w:t>Tiesību akta projekta anotācijas kopsavilkums</w:t>
            </w:r>
          </w:p>
        </w:tc>
      </w:tr>
      <w:tr w:rsidR="00E5323B" w:rsidRPr="00BE49D6" w14:paraId="0B47A4FB"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CFB691B" w14:textId="77777777" w:rsidR="00E5323B" w:rsidRPr="00BE49D6" w:rsidRDefault="00E5323B" w:rsidP="005879DF">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 xml:space="preserve">Mērķis, risinājums un projekta spēkā stāšanās laiks </w:t>
            </w:r>
          </w:p>
        </w:tc>
        <w:tc>
          <w:tcPr>
            <w:tcW w:w="2971" w:type="pct"/>
            <w:tcBorders>
              <w:top w:val="outset" w:sz="6" w:space="0" w:color="auto"/>
              <w:left w:val="outset" w:sz="6" w:space="0" w:color="auto"/>
              <w:bottom w:val="outset" w:sz="6" w:space="0" w:color="auto"/>
              <w:right w:val="outset" w:sz="6" w:space="0" w:color="auto"/>
            </w:tcBorders>
            <w:hideMark/>
          </w:tcPr>
          <w:p w14:paraId="53FC25EC" w14:textId="77777777" w:rsidR="0046409C" w:rsidRPr="00BE49D6" w:rsidRDefault="008B4111" w:rsidP="0096329C">
            <w:pPr>
              <w:spacing w:before="120" w:after="0" w:line="240" w:lineRule="auto"/>
              <w:jc w:val="both"/>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Nav attiecināms.</w:t>
            </w:r>
          </w:p>
        </w:tc>
      </w:tr>
    </w:tbl>
    <w:p w14:paraId="5690E748" w14:textId="77777777" w:rsidR="00E61044"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BE49D6" w14:paraId="412054B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005948B" w14:textId="77777777" w:rsidR="00655F2C" w:rsidRPr="00BE49D6" w:rsidRDefault="00E5323B" w:rsidP="00E5323B">
            <w:pPr>
              <w:spacing w:after="0" w:line="240" w:lineRule="auto"/>
              <w:rPr>
                <w:rFonts w:ascii="Times New Roman" w:eastAsia="Times New Roman" w:hAnsi="Times New Roman" w:cs="Times New Roman"/>
                <w:b/>
                <w:bCs/>
                <w:iCs/>
                <w:sz w:val="24"/>
                <w:szCs w:val="24"/>
                <w:lang w:eastAsia="lv-LV"/>
              </w:rPr>
            </w:pPr>
            <w:r w:rsidRPr="00BE49D6">
              <w:rPr>
                <w:rFonts w:ascii="Times New Roman" w:eastAsia="Times New Roman" w:hAnsi="Times New Roman" w:cs="Times New Roman"/>
                <w:b/>
                <w:bCs/>
                <w:iCs/>
                <w:sz w:val="24"/>
                <w:szCs w:val="24"/>
                <w:lang w:eastAsia="lv-LV"/>
              </w:rPr>
              <w:t>I. Tiesību akta projekta izstrādes nepieciešamība</w:t>
            </w:r>
          </w:p>
        </w:tc>
      </w:tr>
      <w:tr w:rsidR="00B42C92" w:rsidRPr="00BE49D6" w14:paraId="2565F228" w14:textId="77777777" w:rsidTr="00B42C9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05FB200" w14:textId="77777777" w:rsidR="00B42C92" w:rsidRPr="00BE49D6" w:rsidRDefault="00B42C92" w:rsidP="00B42C92">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423C6D96" w14:textId="77777777" w:rsidR="00B42C92" w:rsidRPr="00BE49D6" w:rsidRDefault="00B42C92" w:rsidP="00B42C92">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Pamatojums</w:t>
            </w:r>
          </w:p>
        </w:tc>
        <w:tc>
          <w:tcPr>
            <w:tcW w:w="2960" w:type="pct"/>
            <w:tcBorders>
              <w:top w:val="outset" w:sz="6" w:space="0" w:color="auto"/>
              <w:left w:val="outset" w:sz="6" w:space="0" w:color="auto"/>
              <w:bottom w:val="outset" w:sz="6" w:space="0" w:color="auto"/>
              <w:right w:val="outset" w:sz="6" w:space="0" w:color="auto"/>
            </w:tcBorders>
            <w:hideMark/>
          </w:tcPr>
          <w:p w14:paraId="2344E730" w14:textId="6CD407BB" w:rsidR="00B42C92" w:rsidRPr="00BE49D6" w:rsidRDefault="00B42C92" w:rsidP="008E49A7">
            <w:pPr>
              <w:spacing w:after="0" w:line="240" w:lineRule="auto"/>
              <w:jc w:val="both"/>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Noteikumu projekts izstrādāts, lai precīzi pārņemtu</w:t>
            </w:r>
            <w:r w:rsidR="007A74F3" w:rsidRPr="00BE49D6">
              <w:rPr>
                <w:rFonts w:ascii="Times New Roman" w:eastAsia="Times New Roman" w:hAnsi="Times New Roman" w:cs="Times New Roman"/>
                <w:iCs/>
                <w:sz w:val="24"/>
                <w:szCs w:val="24"/>
                <w:lang w:eastAsia="lv-LV"/>
              </w:rPr>
              <w:t xml:space="preserve"> Eiropas Parlamenta un Padomes 2012. gada 4. jūnija Direktīvas 2012/18/ES par lielu ar bīstamām vielām saistītu avāriju risku pārvaldību, ar kuru groza un vēlāk atceļ Padomes Direktīvu 96/82/EK (turpmāk – </w:t>
            </w:r>
            <w:r w:rsidR="00E26E77" w:rsidRPr="00BE49D6">
              <w:rPr>
                <w:rFonts w:ascii="Times New Roman" w:eastAsia="Times New Roman" w:hAnsi="Times New Roman" w:cs="Times New Roman"/>
                <w:iCs/>
                <w:sz w:val="24"/>
                <w:szCs w:val="24"/>
                <w:lang w:eastAsia="lv-LV"/>
              </w:rPr>
              <w:t>D</w:t>
            </w:r>
            <w:r w:rsidR="007A74F3" w:rsidRPr="00BE49D6">
              <w:rPr>
                <w:rFonts w:ascii="Times New Roman" w:eastAsia="Times New Roman" w:hAnsi="Times New Roman" w:cs="Times New Roman"/>
                <w:iCs/>
                <w:sz w:val="24"/>
                <w:szCs w:val="24"/>
                <w:lang w:eastAsia="lv-LV"/>
              </w:rPr>
              <w:t xml:space="preserve">irektīva 2012/18/ES) </w:t>
            </w:r>
            <w:r w:rsidR="00BD444A" w:rsidRPr="00BE49D6">
              <w:rPr>
                <w:rFonts w:ascii="Times New Roman" w:eastAsia="Times New Roman" w:hAnsi="Times New Roman" w:cs="Times New Roman"/>
                <w:iCs/>
                <w:sz w:val="24"/>
                <w:szCs w:val="24"/>
                <w:lang w:eastAsia="lv-LV"/>
              </w:rPr>
              <w:t>prasības.</w:t>
            </w:r>
          </w:p>
        </w:tc>
      </w:tr>
      <w:tr w:rsidR="00B42C92" w:rsidRPr="00BE49D6" w14:paraId="65DD3E91" w14:textId="77777777" w:rsidTr="00B42C9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307BA94" w14:textId="77777777" w:rsidR="00B42C92" w:rsidRPr="00BE49D6" w:rsidRDefault="00B42C92" w:rsidP="00B42C92">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3B6EBB7" w14:textId="77777777" w:rsidR="00B42C92" w:rsidRPr="00BE49D6" w:rsidRDefault="00B42C92" w:rsidP="00B42C92">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6A8D95A2" w14:textId="34E0C88B" w:rsidR="00BA5DC5" w:rsidRPr="00BE49D6" w:rsidRDefault="00BA5DC5" w:rsidP="00B42C92">
            <w:pPr>
              <w:spacing w:after="0" w:line="240" w:lineRule="auto"/>
              <w:rPr>
                <w:rFonts w:ascii="Times New Roman" w:eastAsia="Times New Roman" w:hAnsi="Times New Roman" w:cs="Times New Roman"/>
                <w:iCs/>
                <w:sz w:val="24"/>
                <w:szCs w:val="24"/>
                <w:lang w:eastAsia="lv-LV"/>
              </w:rPr>
            </w:pPr>
          </w:p>
        </w:tc>
        <w:tc>
          <w:tcPr>
            <w:tcW w:w="2960" w:type="pct"/>
            <w:tcBorders>
              <w:top w:val="outset" w:sz="6" w:space="0" w:color="auto"/>
              <w:left w:val="outset" w:sz="6" w:space="0" w:color="auto"/>
              <w:bottom w:val="outset" w:sz="6" w:space="0" w:color="auto"/>
              <w:right w:val="outset" w:sz="6" w:space="0" w:color="auto"/>
            </w:tcBorders>
          </w:tcPr>
          <w:p w14:paraId="54B247D5" w14:textId="7E36C1A9" w:rsidR="0096329C" w:rsidRPr="00691FB4" w:rsidRDefault="008E49A7" w:rsidP="003D7537">
            <w:pPr>
              <w:spacing w:after="0" w:line="240" w:lineRule="auto"/>
              <w:jc w:val="both"/>
              <w:rPr>
                <w:rFonts w:ascii="Times New Roman" w:hAnsi="Times New Roman" w:cs="Times New Roman"/>
                <w:sz w:val="24"/>
                <w:szCs w:val="24"/>
              </w:rPr>
            </w:pPr>
            <w:r w:rsidRPr="00691FB4">
              <w:rPr>
                <w:rFonts w:ascii="Times New Roman" w:eastAsia="Times New Roman" w:hAnsi="Times New Roman" w:cs="Times New Roman"/>
                <w:iCs/>
                <w:sz w:val="24"/>
                <w:szCs w:val="24"/>
                <w:lang w:eastAsia="lv-LV"/>
              </w:rPr>
              <w:t>2020. gada</w:t>
            </w:r>
            <w:r w:rsidR="0096329C" w:rsidRPr="00691FB4">
              <w:rPr>
                <w:rFonts w:ascii="Times New Roman" w:eastAsia="Times New Roman" w:hAnsi="Times New Roman" w:cs="Times New Roman"/>
                <w:iCs/>
                <w:sz w:val="24"/>
                <w:szCs w:val="24"/>
                <w:lang w:eastAsia="lv-LV"/>
              </w:rPr>
              <w:t xml:space="preserve"> </w:t>
            </w:r>
            <w:r w:rsidR="002D01A9" w:rsidRPr="00691FB4">
              <w:rPr>
                <w:rFonts w:ascii="Times New Roman" w:hAnsi="Times New Roman" w:cs="Times New Roman"/>
                <w:sz w:val="24"/>
                <w:szCs w:val="24"/>
              </w:rPr>
              <w:t>14. maijā Latvija saņēma Eiropas Komisijas formālo paziņojumu pārkāpuma procedūras lietā Nr. 2020/2</w:t>
            </w:r>
            <w:r w:rsidR="00BA5DC5" w:rsidRPr="00691FB4">
              <w:rPr>
                <w:rFonts w:ascii="Times New Roman" w:hAnsi="Times New Roman" w:cs="Times New Roman"/>
                <w:sz w:val="24"/>
                <w:szCs w:val="24"/>
              </w:rPr>
              <w:t>102</w:t>
            </w:r>
            <w:r w:rsidR="00C31F04" w:rsidRPr="00691FB4">
              <w:rPr>
                <w:rFonts w:ascii="Times New Roman" w:hAnsi="Times New Roman" w:cs="Times New Roman"/>
                <w:sz w:val="24"/>
                <w:szCs w:val="24"/>
              </w:rPr>
              <w:t xml:space="preserve"> (turpmāk </w:t>
            </w:r>
            <w:r w:rsidR="003B0314" w:rsidRPr="00691FB4">
              <w:rPr>
                <w:rFonts w:ascii="Times New Roman" w:hAnsi="Times New Roman" w:cs="Times New Roman"/>
                <w:sz w:val="24"/>
                <w:szCs w:val="24"/>
              </w:rPr>
              <w:t>–</w:t>
            </w:r>
            <w:r w:rsidR="00C31F04" w:rsidRPr="00691FB4">
              <w:rPr>
                <w:rFonts w:ascii="Times New Roman" w:hAnsi="Times New Roman" w:cs="Times New Roman"/>
                <w:sz w:val="24"/>
                <w:szCs w:val="24"/>
              </w:rPr>
              <w:t xml:space="preserve"> </w:t>
            </w:r>
            <w:r w:rsidR="003B0314" w:rsidRPr="00691FB4">
              <w:rPr>
                <w:rFonts w:ascii="Times New Roman" w:hAnsi="Times New Roman" w:cs="Times New Roman"/>
                <w:sz w:val="24"/>
                <w:szCs w:val="24"/>
              </w:rPr>
              <w:t>formālais paziņojums)</w:t>
            </w:r>
            <w:r w:rsidR="002D01A9" w:rsidRPr="00691FB4">
              <w:rPr>
                <w:rFonts w:ascii="Times New Roman" w:hAnsi="Times New Roman" w:cs="Times New Roman"/>
                <w:sz w:val="24"/>
                <w:szCs w:val="24"/>
              </w:rPr>
              <w:t>, kurā norādīts, ka Latvijas Republika nav p</w:t>
            </w:r>
            <w:r w:rsidR="00FB23DD" w:rsidRPr="00691FB4">
              <w:rPr>
                <w:rFonts w:ascii="Times New Roman" w:hAnsi="Times New Roman" w:cs="Times New Roman"/>
                <w:sz w:val="24"/>
                <w:szCs w:val="24"/>
              </w:rPr>
              <w:t>recīzi</w:t>
            </w:r>
            <w:r w:rsidR="002D01A9" w:rsidRPr="00691FB4">
              <w:rPr>
                <w:rFonts w:ascii="Times New Roman" w:hAnsi="Times New Roman" w:cs="Times New Roman"/>
                <w:sz w:val="24"/>
                <w:szCs w:val="24"/>
              </w:rPr>
              <w:t xml:space="preserve"> pārņēmusi </w:t>
            </w:r>
            <w:r w:rsidR="00755F8C" w:rsidRPr="00691FB4">
              <w:rPr>
                <w:rFonts w:ascii="Times New Roman" w:hAnsi="Times New Roman" w:cs="Times New Roman"/>
                <w:sz w:val="24"/>
                <w:szCs w:val="24"/>
              </w:rPr>
              <w:t xml:space="preserve">šādas </w:t>
            </w:r>
            <w:r w:rsidR="00755F8C" w:rsidRPr="00691FB4">
              <w:rPr>
                <w:rStyle w:val="Strong"/>
                <w:rFonts w:ascii="Times New Roman" w:hAnsi="Times New Roman" w:cs="Times New Roman"/>
                <w:b w:val="0"/>
                <w:sz w:val="24"/>
                <w:szCs w:val="24"/>
              </w:rPr>
              <w:t>Direktīva 20</w:t>
            </w:r>
            <w:r w:rsidR="00BB1C4A" w:rsidRPr="00691FB4">
              <w:rPr>
                <w:rStyle w:val="Strong"/>
                <w:rFonts w:ascii="Times New Roman" w:hAnsi="Times New Roman" w:cs="Times New Roman"/>
                <w:b w:val="0"/>
                <w:sz w:val="24"/>
                <w:szCs w:val="24"/>
              </w:rPr>
              <w:t>12/18</w:t>
            </w:r>
            <w:r w:rsidR="00755F8C" w:rsidRPr="00691FB4">
              <w:rPr>
                <w:rStyle w:val="Strong"/>
                <w:rFonts w:ascii="Times New Roman" w:hAnsi="Times New Roman" w:cs="Times New Roman"/>
                <w:b w:val="0"/>
                <w:sz w:val="24"/>
                <w:szCs w:val="24"/>
              </w:rPr>
              <w:t>/E</w:t>
            </w:r>
            <w:r w:rsidR="00BB1C4A" w:rsidRPr="00691FB4">
              <w:rPr>
                <w:rStyle w:val="Strong"/>
                <w:rFonts w:ascii="Times New Roman" w:hAnsi="Times New Roman" w:cs="Times New Roman"/>
                <w:b w:val="0"/>
                <w:sz w:val="24"/>
                <w:szCs w:val="24"/>
              </w:rPr>
              <w:t>S</w:t>
            </w:r>
            <w:r w:rsidR="00755F8C" w:rsidRPr="00691FB4">
              <w:rPr>
                <w:rFonts w:ascii="Times New Roman" w:hAnsi="Times New Roman" w:cs="Times New Roman"/>
                <w:sz w:val="24"/>
                <w:szCs w:val="24"/>
              </w:rPr>
              <w:t xml:space="preserve"> </w:t>
            </w:r>
            <w:r w:rsidR="002D01A9" w:rsidRPr="00691FB4">
              <w:rPr>
                <w:rFonts w:ascii="Times New Roman" w:hAnsi="Times New Roman" w:cs="Times New Roman"/>
                <w:sz w:val="24"/>
                <w:szCs w:val="24"/>
              </w:rPr>
              <w:t>prasības</w:t>
            </w:r>
            <w:r w:rsidR="00755F8C" w:rsidRPr="00691FB4">
              <w:rPr>
                <w:rFonts w:ascii="Times New Roman" w:hAnsi="Times New Roman" w:cs="Times New Roman"/>
                <w:sz w:val="24"/>
                <w:szCs w:val="24"/>
              </w:rPr>
              <w:t>:</w:t>
            </w:r>
            <w:r w:rsidR="002D01A9" w:rsidRPr="00691FB4">
              <w:rPr>
                <w:rFonts w:ascii="Times New Roman" w:hAnsi="Times New Roman" w:cs="Times New Roman"/>
                <w:sz w:val="24"/>
                <w:szCs w:val="24"/>
              </w:rPr>
              <w:t xml:space="preserve"> </w:t>
            </w:r>
          </w:p>
          <w:p w14:paraId="567AAA5E" w14:textId="26421AAE" w:rsidR="009764A8" w:rsidRPr="00691FB4" w:rsidRDefault="009764A8" w:rsidP="003D7537">
            <w:pPr>
              <w:spacing w:after="0" w:line="240" w:lineRule="auto"/>
              <w:jc w:val="both"/>
              <w:outlineLvl w:val="3"/>
              <w:rPr>
                <w:rStyle w:val="Strong"/>
                <w:rFonts w:ascii="Times New Roman" w:hAnsi="Times New Roman" w:cs="Times New Roman"/>
                <w:b w:val="0"/>
                <w:sz w:val="24"/>
                <w:szCs w:val="24"/>
              </w:rPr>
            </w:pPr>
            <w:r w:rsidRPr="00691FB4">
              <w:rPr>
                <w:rFonts w:ascii="Times New Roman" w:hAnsi="Times New Roman" w:cs="Times New Roman"/>
                <w:sz w:val="24"/>
                <w:szCs w:val="24"/>
              </w:rPr>
              <w:t>-</w:t>
            </w:r>
            <w:r w:rsidR="003923B3" w:rsidRPr="00691FB4">
              <w:rPr>
                <w:rFonts w:ascii="Times New Roman" w:hAnsi="Times New Roman" w:cs="Times New Roman"/>
                <w:sz w:val="24"/>
                <w:szCs w:val="24"/>
              </w:rPr>
              <w:t xml:space="preserve"> </w:t>
            </w:r>
            <w:r w:rsidR="00EC0BF3" w:rsidRPr="00691FB4">
              <w:rPr>
                <w:rFonts w:ascii="Times New Roman" w:hAnsi="Times New Roman" w:cs="Times New Roman"/>
                <w:sz w:val="24"/>
                <w:szCs w:val="24"/>
              </w:rPr>
              <w:t>3</w:t>
            </w:r>
            <w:r w:rsidRPr="00691FB4">
              <w:rPr>
                <w:rStyle w:val="Strong"/>
                <w:rFonts w:ascii="Times New Roman" w:hAnsi="Times New Roman" w:cs="Times New Roman"/>
                <w:b w:val="0"/>
                <w:sz w:val="24"/>
                <w:szCs w:val="24"/>
              </w:rPr>
              <w:t>.</w:t>
            </w:r>
            <w:r w:rsidR="004679A5" w:rsidRPr="00691FB4">
              <w:rPr>
                <w:rStyle w:val="Strong"/>
                <w:rFonts w:ascii="Times New Roman" w:hAnsi="Times New Roman" w:cs="Times New Roman"/>
                <w:b w:val="0"/>
                <w:sz w:val="24"/>
                <w:szCs w:val="24"/>
              </w:rPr>
              <w:t> </w:t>
            </w:r>
            <w:r w:rsidRPr="00691FB4">
              <w:rPr>
                <w:rStyle w:val="Strong"/>
                <w:rFonts w:ascii="Times New Roman" w:hAnsi="Times New Roman" w:cs="Times New Roman"/>
                <w:b w:val="0"/>
                <w:sz w:val="24"/>
                <w:szCs w:val="24"/>
              </w:rPr>
              <w:t xml:space="preserve">panta </w:t>
            </w:r>
            <w:r w:rsidR="00EC0BF3" w:rsidRPr="00691FB4">
              <w:rPr>
                <w:rStyle w:val="Strong"/>
                <w:rFonts w:ascii="Times New Roman" w:hAnsi="Times New Roman" w:cs="Times New Roman"/>
                <w:b w:val="0"/>
                <w:sz w:val="24"/>
                <w:szCs w:val="24"/>
              </w:rPr>
              <w:t>7</w:t>
            </w:r>
            <w:r w:rsidRPr="00691FB4">
              <w:rPr>
                <w:rStyle w:val="Strong"/>
                <w:rFonts w:ascii="Times New Roman" w:hAnsi="Times New Roman" w:cs="Times New Roman"/>
                <w:b w:val="0"/>
                <w:sz w:val="24"/>
                <w:szCs w:val="24"/>
              </w:rPr>
              <w:t>.</w:t>
            </w:r>
            <w:r w:rsidR="004679A5" w:rsidRPr="00691FB4">
              <w:rPr>
                <w:rStyle w:val="Strong"/>
                <w:rFonts w:ascii="Times New Roman" w:hAnsi="Times New Roman" w:cs="Times New Roman"/>
                <w:b w:val="0"/>
                <w:sz w:val="24"/>
                <w:szCs w:val="24"/>
              </w:rPr>
              <w:t> </w:t>
            </w:r>
            <w:r w:rsidRPr="00691FB4">
              <w:rPr>
                <w:rStyle w:val="Strong"/>
                <w:rFonts w:ascii="Times New Roman" w:hAnsi="Times New Roman" w:cs="Times New Roman"/>
                <w:b w:val="0"/>
                <w:sz w:val="24"/>
                <w:szCs w:val="24"/>
              </w:rPr>
              <w:t>punkta</w:t>
            </w:r>
            <w:r w:rsidR="00B753B2" w:rsidRPr="00691FB4">
              <w:rPr>
                <w:rStyle w:val="Strong"/>
                <w:rFonts w:ascii="Times New Roman" w:hAnsi="Times New Roman" w:cs="Times New Roman"/>
                <w:b w:val="0"/>
                <w:sz w:val="24"/>
                <w:szCs w:val="24"/>
              </w:rPr>
              <w:t xml:space="preserve"> defi</w:t>
            </w:r>
            <w:r w:rsidR="00ED50AD" w:rsidRPr="00691FB4">
              <w:rPr>
                <w:rStyle w:val="Strong"/>
                <w:rFonts w:ascii="Times New Roman" w:hAnsi="Times New Roman" w:cs="Times New Roman"/>
                <w:b w:val="0"/>
                <w:sz w:val="24"/>
                <w:szCs w:val="24"/>
              </w:rPr>
              <w:t>nīcija “cits uzņēmums</w:t>
            </w:r>
            <w:r w:rsidR="009C4C1D" w:rsidRPr="00691FB4">
              <w:rPr>
                <w:rStyle w:val="Strong"/>
                <w:rFonts w:ascii="Times New Roman" w:hAnsi="Times New Roman" w:cs="Times New Roman"/>
                <w:b w:val="0"/>
                <w:sz w:val="24"/>
                <w:szCs w:val="24"/>
              </w:rPr>
              <w:t xml:space="preserve">”, kas </w:t>
            </w:r>
            <w:r w:rsidR="009C4C1D" w:rsidRPr="00691FB4">
              <w:rPr>
                <w:rFonts w:ascii="Times New Roman" w:hAnsi="Times New Roman" w:cs="Times New Roman"/>
                <w:color w:val="000000"/>
                <w:sz w:val="24"/>
                <w:szCs w:val="24"/>
              </w:rPr>
              <w:t>ir darbības vieta, kas ietilpst šīs direktīvas darbības jomā, vai zemāka līmeņa uzņēmums, kas kļūst par augstāka līmeņa uzņēmumu, vai otrādi 2015. gada 1. jūnijā vai vēlāk tādu iemeslu dēļ, kas nav minēti 5. punktā</w:t>
            </w:r>
            <w:r w:rsidR="00ED50AD" w:rsidRPr="00691FB4">
              <w:rPr>
                <w:rStyle w:val="Strong"/>
                <w:rFonts w:ascii="Times New Roman" w:hAnsi="Times New Roman" w:cs="Times New Roman"/>
                <w:b w:val="0"/>
                <w:sz w:val="24"/>
                <w:szCs w:val="24"/>
              </w:rPr>
              <w:t>”</w:t>
            </w:r>
            <w:r w:rsidRPr="00691FB4">
              <w:rPr>
                <w:rStyle w:val="Strong"/>
                <w:rFonts w:ascii="Times New Roman" w:hAnsi="Times New Roman" w:cs="Times New Roman"/>
                <w:b w:val="0"/>
                <w:sz w:val="24"/>
                <w:szCs w:val="24"/>
              </w:rPr>
              <w:t>;</w:t>
            </w:r>
          </w:p>
          <w:p w14:paraId="3AE6B8E2" w14:textId="38237D11" w:rsidR="009764A8" w:rsidRPr="00691FB4" w:rsidRDefault="009764A8" w:rsidP="003D7537">
            <w:pPr>
              <w:spacing w:after="0" w:line="240" w:lineRule="auto"/>
              <w:jc w:val="both"/>
              <w:outlineLvl w:val="3"/>
              <w:rPr>
                <w:rStyle w:val="Strong"/>
                <w:rFonts w:ascii="Times New Roman" w:hAnsi="Times New Roman" w:cs="Times New Roman"/>
                <w:b w:val="0"/>
                <w:sz w:val="24"/>
                <w:szCs w:val="24"/>
              </w:rPr>
            </w:pPr>
            <w:r w:rsidRPr="00691FB4">
              <w:rPr>
                <w:rStyle w:val="Strong"/>
                <w:rFonts w:ascii="Times New Roman" w:hAnsi="Times New Roman" w:cs="Times New Roman"/>
                <w:b w:val="0"/>
                <w:sz w:val="24"/>
                <w:szCs w:val="24"/>
              </w:rPr>
              <w:t>-</w:t>
            </w:r>
            <w:r w:rsidR="004679A5" w:rsidRPr="00691FB4">
              <w:rPr>
                <w:rStyle w:val="Strong"/>
                <w:rFonts w:ascii="Times New Roman" w:hAnsi="Times New Roman" w:cs="Times New Roman"/>
                <w:b w:val="0"/>
                <w:sz w:val="24"/>
                <w:szCs w:val="24"/>
              </w:rPr>
              <w:t xml:space="preserve"> </w:t>
            </w:r>
            <w:r w:rsidR="004679A5" w:rsidRPr="00691FB4">
              <w:rPr>
                <w:rFonts w:ascii="Times New Roman" w:hAnsi="Times New Roman" w:cs="Times New Roman"/>
                <w:sz w:val="24"/>
                <w:szCs w:val="24"/>
              </w:rPr>
              <w:t>3</w:t>
            </w:r>
            <w:r w:rsidR="004679A5" w:rsidRPr="00691FB4">
              <w:rPr>
                <w:rStyle w:val="Strong"/>
                <w:rFonts w:ascii="Times New Roman" w:hAnsi="Times New Roman" w:cs="Times New Roman"/>
                <w:b w:val="0"/>
                <w:sz w:val="24"/>
                <w:szCs w:val="24"/>
              </w:rPr>
              <w:t xml:space="preserve">. panta </w:t>
            </w:r>
            <w:r w:rsidR="00FB23DD" w:rsidRPr="00691FB4">
              <w:rPr>
                <w:rStyle w:val="Strong"/>
                <w:rFonts w:ascii="Times New Roman" w:hAnsi="Times New Roman" w:cs="Times New Roman"/>
                <w:b w:val="0"/>
                <w:sz w:val="24"/>
                <w:szCs w:val="24"/>
              </w:rPr>
              <w:t>6</w:t>
            </w:r>
            <w:r w:rsidR="004679A5" w:rsidRPr="00691FB4">
              <w:rPr>
                <w:rStyle w:val="Strong"/>
                <w:rFonts w:ascii="Times New Roman" w:hAnsi="Times New Roman" w:cs="Times New Roman"/>
                <w:b w:val="0"/>
                <w:sz w:val="24"/>
                <w:szCs w:val="24"/>
              </w:rPr>
              <w:t xml:space="preserve">. punkta definīcija </w:t>
            </w:r>
            <w:r w:rsidR="00607BB3" w:rsidRPr="00691FB4">
              <w:rPr>
                <w:rStyle w:val="Strong"/>
                <w:rFonts w:ascii="Times New Roman" w:hAnsi="Times New Roman" w:cs="Times New Roman"/>
                <w:b w:val="0"/>
                <w:sz w:val="24"/>
                <w:szCs w:val="24"/>
              </w:rPr>
              <w:t>“esošs uzņēmums”</w:t>
            </w:r>
            <w:r w:rsidR="00EB2F6B" w:rsidRPr="00691FB4">
              <w:rPr>
                <w:rStyle w:val="Strong"/>
                <w:rFonts w:ascii="Times New Roman" w:hAnsi="Times New Roman" w:cs="Times New Roman"/>
                <w:b w:val="0"/>
                <w:sz w:val="24"/>
                <w:szCs w:val="24"/>
              </w:rPr>
              <w:t xml:space="preserve">, kas </w:t>
            </w:r>
            <w:r w:rsidR="00EB2F6B" w:rsidRPr="00691FB4">
              <w:rPr>
                <w:rFonts w:ascii="Times New Roman" w:hAnsi="Times New Roman" w:cs="Times New Roman"/>
                <w:color w:val="000000"/>
                <w:sz w:val="24"/>
                <w:szCs w:val="24"/>
              </w:rPr>
              <w:t xml:space="preserve"> ir uzņēmums, uz kuru 2015. gada 31. maijā attiecas Direktīvas 96/82/EK darbības joma un uz kuru, sākot no 2015. gada 1. jūnija, attiecas šīs direktīvas darbības joma, ja netiek mainīta tā zemāka līmeņa uzņēmuma vai augstāka līmeņa uzņēmuma klasifikācija</w:t>
            </w:r>
            <w:r w:rsidRPr="00691FB4">
              <w:rPr>
                <w:rStyle w:val="Strong"/>
                <w:rFonts w:ascii="Times New Roman" w:hAnsi="Times New Roman" w:cs="Times New Roman"/>
                <w:b w:val="0"/>
                <w:sz w:val="24"/>
                <w:szCs w:val="24"/>
              </w:rPr>
              <w:t>;</w:t>
            </w:r>
          </w:p>
          <w:p w14:paraId="404F7CAF" w14:textId="1C513A60" w:rsidR="009764A8" w:rsidRPr="00691FB4" w:rsidRDefault="009764A8" w:rsidP="003D7537">
            <w:pPr>
              <w:spacing w:after="0" w:line="240" w:lineRule="auto"/>
              <w:jc w:val="both"/>
              <w:outlineLvl w:val="3"/>
              <w:rPr>
                <w:rStyle w:val="Strong"/>
                <w:rFonts w:ascii="Times New Roman" w:hAnsi="Times New Roman" w:cs="Times New Roman"/>
                <w:b w:val="0"/>
                <w:sz w:val="24"/>
                <w:szCs w:val="24"/>
              </w:rPr>
            </w:pPr>
            <w:r w:rsidRPr="00691FB4">
              <w:rPr>
                <w:rStyle w:val="Strong"/>
                <w:rFonts w:ascii="Times New Roman" w:hAnsi="Times New Roman" w:cs="Times New Roman"/>
                <w:b w:val="0"/>
                <w:sz w:val="24"/>
                <w:szCs w:val="24"/>
              </w:rPr>
              <w:t>-</w:t>
            </w:r>
            <w:r w:rsidR="00FB23DD" w:rsidRPr="00691FB4">
              <w:rPr>
                <w:rStyle w:val="Strong"/>
                <w:rFonts w:ascii="Times New Roman" w:hAnsi="Times New Roman" w:cs="Times New Roman"/>
                <w:b w:val="0"/>
                <w:sz w:val="24"/>
                <w:szCs w:val="24"/>
              </w:rPr>
              <w:t xml:space="preserve"> </w:t>
            </w:r>
            <w:r w:rsidR="00FB23DD" w:rsidRPr="00691FB4">
              <w:rPr>
                <w:rFonts w:ascii="Times New Roman" w:hAnsi="Times New Roman" w:cs="Times New Roman"/>
                <w:sz w:val="24"/>
                <w:szCs w:val="24"/>
              </w:rPr>
              <w:t>3</w:t>
            </w:r>
            <w:r w:rsidR="00FB23DD" w:rsidRPr="00691FB4">
              <w:rPr>
                <w:rStyle w:val="Strong"/>
                <w:rFonts w:ascii="Times New Roman" w:hAnsi="Times New Roman" w:cs="Times New Roman"/>
                <w:b w:val="0"/>
                <w:sz w:val="24"/>
                <w:szCs w:val="24"/>
              </w:rPr>
              <w:t xml:space="preserve">. panta </w:t>
            </w:r>
            <w:r w:rsidR="00A44932" w:rsidRPr="00691FB4">
              <w:rPr>
                <w:rStyle w:val="Strong"/>
                <w:rFonts w:ascii="Times New Roman" w:hAnsi="Times New Roman" w:cs="Times New Roman"/>
                <w:b w:val="0"/>
                <w:sz w:val="24"/>
                <w:szCs w:val="24"/>
              </w:rPr>
              <w:t>19</w:t>
            </w:r>
            <w:r w:rsidR="00FB23DD" w:rsidRPr="00691FB4">
              <w:rPr>
                <w:rStyle w:val="Strong"/>
                <w:rFonts w:ascii="Times New Roman" w:hAnsi="Times New Roman" w:cs="Times New Roman"/>
                <w:b w:val="0"/>
                <w:sz w:val="24"/>
                <w:szCs w:val="24"/>
              </w:rPr>
              <w:t>. punkta definīcija “</w:t>
            </w:r>
            <w:r w:rsidR="00A44932" w:rsidRPr="00691FB4">
              <w:rPr>
                <w:rStyle w:val="Strong"/>
                <w:rFonts w:ascii="Times New Roman" w:hAnsi="Times New Roman" w:cs="Times New Roman"/>
                <w:b w:val="0"/>
                <w:sz w:val="24"/>
                <w:szCs w:val="24"/>
              </w:rPr>
              <w:t>inspekcija”</w:t>
            </w:r>
            <w:r w:rsidR="00EB2F6B" w:rsidRPr="00691FB4">
              <w:rPr>
                <w:rStyle w:val="Strong"/>
                <w:rFonts w:ascii="Times New Roman" w:hAnsi="Times New Roman" w:cs="Times New Roman"/>
                <w:b w:val="0"/>
                <w:sz w:val="24"/>
                <w:szCs w:val="24"/>
              </w:rPr>
              <w:t xml:space="preserve">, kas ir </w:t>
            </w:r>
            <w:r w:rsidR="00BB3874" w:rsidRPr="00691FB4">
              <w:rPr>
                <w:rFonts w:ascii="Times New Roman" w:hAnsi="Times New Roman" w:cs="Times New Roman"/>
                <w:color w:val="000000"/>
                <w:sz w:val="24"/>
                <w:szCs w:val="24"/>
              </w:rPr>
              <w:t xml:space="preserve">visas darbības, tostarp objektu apmeklējumi, iekšējo pasākumu, sistēmu, pārskatu un paveiktā darba kontroles dokumentu pārbaudes un </w:t>
            </w:r>
            <w:proofErr w:type="spellStart"/>
            <w:r w:rsidR="00BB3874" w:rsidRPr="00691FB4">
              <w:rPr>
                <w:rFonts w:ascii="Times New Roman" w:hAnsi="Times New Roman" w:cs="Times New Roman"/>
                <w:color w:val="000000"/>
                <w:sz w:val="24"/>
                <w:szCs w:val="24"/>
              </w:rPr>
              <w:t>pēcpasākumi</w:t>
            </w:r>
            <w:proofErr w:type="spellEnd"/>
            <w:r w:rsidR="00BB3874" w:rsidRPr="00691FB4">
              <w:rPr>
                <w:rFonts w:ascii="Times New Roman" w:hAnsi="Times New Roman" w:cs="Times New Roman"/>
                <w:color w:val="000000"/>
                <w:sz w:val="24"/>
                <w:szCs w:val="24"/>
              </w:rPr>
              <w:t>, ko veic kompetentā iestāde tās vārdā, lai pārbaudītu un veicinātu uzņēmumu atbilstību šīs direktīvas prasībām</w:t>
            </w:r>
            <w:r w:rsidRPr="00691FB4">
              <w:rPr>
                <w:rStyle w:val="Strong"/>
                <w:rFonts w:ascii="Times New Roman" w:hAnsi="Times New Roman" w:cs="Times New Roman"/>
                <w:b w:val="0"/>
                <w:sz w:val="24"/>
                <w:szCs w:val="24"/>
              </w:rPr>
              <w:t>;</w:t>
            </w:r>
          </w:p>
          <w:p w14:paraId="35E077E4" w14:textId="57A4DA5D" w:rsidR="004D2CBF" w:rsidRPr="00691FB4" w:rsidRDefault="009764A8" w:rsidP="004D2CBF">
            <w:pPr>
              <w:spacing w:after="0" w:line="240" w:lineRule="auto"/>
              <w:jc w:val="both"/>
              <w:outlineLvl w:val="3"/>
              <w:rPr>
                <w:rFonts w:ascii="Times New Roman" w:hAnsi="Times New Roman" w:cs="Times New Roman"/>
                <w:sz w:val="24"/>
                <w:szCs w:val="24"/>
              </w:rPr>
            </w:pPr>
            <w:r w:rsidRPr="00691FB4">
              <w:rPr>
                <w:rStyle w:val="Strong"/>
                <w:rFonts w:ascii="Times New Roman" w:hAnsi="Times New Roman" w:cs="Times New Roman"/>
                <w:b w:val="0"/>
                <w:sz w:val="24"/>
                <w:szCs w:val="24"/>
              </w:rPr>
              <w:t>-</w:t>
            </w:r>
            <w:r w:rsidR="00F579C5" w:rsidRPr="00691FB4">
              <w:rPr>
                <w:rStyle w:val="Strong"/>
                <w:rFonts w:ascii="Times New Roman" w:hAnsi="Times New Roman" w:cs="Times New Roman"/>
                <w:b w:val="0"/>
                <w:sz w:val="24"/>
                <w:szCs w:val="24"/>
              </w:rPr>
              <w:t xml:space="preserve"> </w:t>
            </w:r>
            <w:r w:rsidR="00DC4603" w:rsidRPr="00653315">
              <w:rPr>
                <w:rFonts w:ascii="Times New Roman" w:hAnsi="Times New Roman" w:cs="Times New Roman"/>
                <w:spacing w:val="-2"/>
                <w:sz w:val="24"/>
                <w:szCs w:val="24"/>
              </w:rPr>
              <w:t>3</w:t>
            </w:r>
            <w:r w:rsidR="00DC4603" w:rsidRPr="00653315">
              <w:rPr>
                <w:rStyle w:val="Strong"/>
                <w:rFonts w:ascii="Times New Roman" w:hAnsi="Times New Roman" w:cs="Times New Roman"/>
                <w:b w:val="0"/>
                <w:spacing w:val="-2"/>
                <w:sz w:val="24"/>
                <w:szCs w:val="24"/>
              </w:rPr>
              <w:t>. panta 5. punkta definīcija “jauns uzņēmums”</w:t>
            </w:r>
            <w:r w:rsidR="004D2CBF" w:rsidRPr="00653315">
              <w:rPr>
                <w:rStyle w:val="Strong"/>
                <w:rFonts w:ascii="Times New Roman" w:hAnsi="Times New Roman" w:cs="Times New Roman"/>
                <w:b w:val="0"/>
                <w:spacing w:val="-2"/>
                <w:sz w:val="24"/>
                <w:szCs w:val="24"/>
              </w:rPr>
              <w:t>, kas</w:t>
            </w:r>
            <w:r w:rsidR="004D2CBF" w:rsidRPr="00691FB4">
              <w:rPr>
                <w:rStyle w:val="Strong"/>
                <w:rFonts w:ascii="Times New Roman" w:hAnsi="Times New Roman" w:cs="Times New Roman"/>
                <w:b w:val="0"/>
                <w:sz w:val="24"/>
                <w:szCs w:val="24"/>
              </w:rPr>
              <w:t xml:space="preserve"> ir:</w:t>
            </w:r>
          </w:p>
          <w:p w14:paraId="7F643A45" w14:textId="568F8AB6" w:rsidR="004D2CBF" w:rsidRPr="00691FB4" w:rsidRDefault="004D2CBF" w:rsidP="004D2CBF">
            <w:pPr>
              <w:pStyle w:val="CM4"/>
              <w:spacing w:before="60" w:after="60"/>
              <w:rPr>
                <w:rFonts w:ascii="Times New Roman" w:hAnsi="Times New Roman" w:cs="Times New Roman"/>
                <w:color w:val="000000"/>
              </w:rPr>
            </w:pPr>
            <w:r w:rsidRPr="00691FB4">
              <w:rPr>
                <w:rFonts w:ascii="Times New Roman" w:hAnsi="Times New Roman" w:cs="Times New Roman"/>
                <w:color w:val="000000"/>
              </w:rPr>
              <w:t>a) uzņēmums, kas sāk darbību vai tiek uzbūvēts 2015.</w:t>
            </w:r>
            <w:r w:rsidR="00653315">
              <w:rPr>
                <w:rFonts w:ascii="Times New Roman" w:hAnsi="Times New Roman" w:cs="Times New Roman"/>
                <w:color w:val="000000"/>
              </w:rPr>
              <w:t> </w:t>
            </w:r>
            <w:r w:rsidRPr="00691FB4">
              <w:rPr>
                <w:rFonts w:ascii="Times New Roman" w:hAnsi="Times New Roman" w:cs="Times New Roman"/>
                <w:color w:val="000000"/>
              </w:rPr>
              <w:t>gada 1.</w:t>
            </w:r>
            <w:r w:rsidR="00653315">
              <w:rPr>
                <w:rFonts w:ascii="Times New Roman" w:hAnsi="Times New Roman" w:cs="Times New Roman"/>
                <w:color w:val="000000"/>
              </w:rPr>
              <w:t> </w:t>
            </w:r>
            <w:r w:rsidRPr="00691FB4">
              <w:rPr>
                <w:rFonts w:ascii="Times New Roman" w:hAnsi="Times New Roman" w:cs="Times New Roman"/>
                <w:color w:val="000000"/>
              </w:rPr>
              <w:t xml:space="preserve">jūnijā vai pēc minētās dienas; </w:t>
            </w:r>
          </w:p>
          <w:p w14:paraId="7B9D8F07" w14:textId="5CEC9D41" w:rsidR="00ED4AF1" w:rsidRPr="00691FB4" w:rsidRDefault="004D2CBF" w:rsidP="004D2CBF">
            <w:pPr>
              <w:spacing w:after="0" w:line="240" w:lineRule="auto"/>
              <w:jc w:val="both"/>
              <w:outlineLvl w:val="3"/>
              <w:rPr>
                <w:rStyle w:val="Strong"/>
                <w:rFonts w:ascii="Times New Roman" w:hAnsi="Times New Roman" w:cs="Times New Roman"/>
                <w:b w:val="0"/>
                <w:sz w:val="24"/>
                <w:szCs w:val="24"/>
              </w:rPr>
            </w:pPr>
            <w:r w:rsidRPr="00691FB4">
              <w:rPr>
                <w:rFonts w:ascii="Times New Roman" w:hAnsi="Times New Roman" w:cs="Times New Roman"/>
                <w:color w:val="000000"/>
                <w:sz w:val="24"/>
                <w:szCs w:val="24"/>
              </w:rPr>
              <w:t>b) darbības vieta, kas ir šīs direktīvas darbības jomā, vai zemāka līmeņa uzņēmums, kas kļūst par augstāka līmeņa uzņēmumu, vai otrādi 2015.</w:t>
            </w:r>
            <w:r w:rsidR="00653315">
              <w:rPr>
                <w:rFonts w:ascii="Times New Roman" w:hAnsi="Times New Roman" w:cs="Times New Roman"/>
                <w:color w:val="000000"/>
                <w:sz w:val="24"/>
                <w:szCs w:val="24"/>
              </w:rPr>
              <w:t> </w:t>
            </w:r>
            <w:r w:rsidRPr="00691FB4">
              <w:rPr>
                <w:rFonts w:ascii="Times New Roman" w:hAnsi="Times New Roman" w:cs="Times New Roman"/>
                <w:color w:val="000000"/>
                <w:sz w:val="24"/>
                <w:szCs w:val="24"/>
              </w:rPr>
              <w:t xml:space="preserve">gada 1. </w:t>
            </w:r>
            <w:r w:rsidR="00D12A85">
              <w:rPr>
                <w:rFonts w:ascii="Times New Roman" w:hAnsi="Times New Roman" w:cs="Times New Roman"/>
                <w:color w:val="000000"/>
                <w:sz w:val="24"/>
                <w:szCs w:val="24"/>
              </w:rPr>
              <w:t> </w:t>
            </w:r>
            <w:r w:rsidRPr="00691FB4">
              <w:rPr>
                <w:rFonts w:ascii="Times New Roman" w:hAnsi="Times New Roman" w:cs="Times New Roman"/>
                <w:color w:val="000000"/>
                <w:sz w:val="24"/>
                <w:szCs w:val="24"/>
              </w:rPr>
              <w:t>jūnijā vai vēlāk saistībā ar to, ka tiek pārveidoti tā objekti vai mainītas darbības un šo izmaiņu dēļ mainās uzņēmuma bīstamo vielu krājumu saraksts;</w:t>
            </w:r>
          </w:p>
          <w:p w14:paraId="446F2376" w14:textId="48F37D91" w:rsidR="009764A8" w:rsidRPr="00691FB4" w:rsidRDefault="00516BDC" w:rsidP="00691FB4">
            <w:pPr>
              <w:spacing w:after="0" w:line="240" w:lineRule="auto"/>
              <w:jc w:val="both"/>
              <w:outlineLvl w:val="3"/>
              <w:rPr>
                <w:rStyle w:val="Strong"/>
                <w:rFonts w:ascii="Times New Roman" w:hAnsi="Times New Roman" w:cs="Times New Roman"/>
                <w:b w:val="0"/>
                <w:sz w:val="24"/>
                <w:szCs w:val="24"/>
              </w:rPr>
            </w:pPr>
            <w:r w:rsidRPr="00691FB4">
              <w:rPr>
                <w:rStyle w:val="Strong"/>
                <w:rFonts w:ascii="Times New Roman" w:hAnsi="Times New Roman" w:cs="Times New Roman"/>
                <w:b w:val="0"/>
                <w:sz w:val="24"/>
                <w:szCs w:val="24"/>
              </w:rPr>
              <w:lastRenderedPageBreak/>
              <w:t>- 1</w:t>
            </w:r>
            <w:r w:rsidR="00F579C5" w:rsidRPr="00691FB4">
              <w:rPr>
                <w:rStyle w:val="Strong"/>
                <w:rFonts w:ascii="Times New Roman" w:hAnsi="Times New Roman" w:cs="Times New Roman"/>
                <w:b w:val="0"/>
                <w:sz w:val="24"/>
                <w:szCs w:val="24"/>
              </w:rPr>
              <w:t>3</w:t>
            </w:r>
            <w:r w:rsidRPr="00691FB4">
              <w:rPr>
                <w:rStyle w:val="Strong"/>
                <w:rFonts w:ascii="Times New Roman" w:hAnsi="Times New Roman" w:cs="Times New Roman"/>
                <w:b w:val="0"/>
                <w:sz w:val="24"/>
                <w:szCs w:val="24"/>
              </w:rPr>
              <w:t>.</w:t>
            </w:r>
            <w:r w:rsidR="00F579C5" w:rsidRPr="00691FB4">
              <w:rPr>
                <w:rStyle w:val="Strong"/>
                <w:rFonts w:ascii="Times New Roman" w:hAnsi="Times New Roman" w:cs="Times New Roman"/>
                <w:b w:val="0"/>
                <w:sz w:val="24"/>
                <w:szCs w:val="24"/>
              </w:rPr>
              <w:t> </w:t>
            </w:r>
            <w:r w:rsidRPr="00691FB4">
              <w:rPr>
                <w:rStyle w:val="Strong"/>
                <w:rFonts w:ascii="Times New Roman" w:hAnsi="Times New Roman" w:cs="Times New Roman"/>
                <w:b w:val="0"/>
                <w:sz w:val="24"/>
                <w:szCs w:val="24"/>
              </w:rPr>
              <w:t>panta</w:t>
            </w:r>
            <w:r w:rsidR="00F579C5" w:rsidRPr="00691FB4">
              <w:rPr>
                <w:rStyle w:val="Strong"/>
                <w:rFonts w:ascii="Times New Roman" w:hAnsi="Times New Roman" w:cs="Times New Roman"/>
                <w:b w:val="0"/>
                <w:sz w:val="24"/>
                <w:szCs w:val="24"/>
              </w:rPr>
              <w:t xml:space="preserve"> 1. punkt</w:t>
            </w:r>
            <w:r w:rsidR="00F12660" w:rsidRPr="00691FB4">
              <w:rPr>
                <w:rStyle w:val="Strong"/>
                <w:rFonts w:ascii="Times New Roman" w:hAnsi="Times New Roman" w:cs="Times New Roman"/>
                <w:b w:val="0"/>
                <w:sz w:val="24"/>
                <w:szCs w:val="24"/>
              </w:rPr>
              <w:t>a b)</w:t>
            </w:r>
            <w:r w:rsidR="001F351E" w:rsidRPr="00691FB4">
              <w:rPr>
                <w:rStyle w:val="Strong"/>
                <w:rFonts w:ascii="Times New Roman" w:hAnsi="Times New Roman" w:cs="Times New Roman"/>
                <w:b w:val="0"/>
                <w:sz w:val="24"/>
                <w:szCs w:val="24"/>
              </w:rPr>
              <w:t> </w:t>
            </w:r>
            <w:r w:rsidR="00F12660" w:rsidRPr="00691FB4">
              <w:rPr>
                <w:rStyle w:val="Strong"/>
                <w:rFonts w:ascii="Times New Roman" w:hAnsi="Times New Roman" w:cs="Times New Roman"/>
                <w:b w:val="0"/>
                <w:sz w:val="24"/>
                <w:szCs w:val="24"/>
              </w:rPr>
              <w:t xml:space="preserve">apakšpunkts </w:t>
            </w:r>
            <w:r w:rsidR="00F579C5" w:rsidRPr="00691FB4">
              <w:rPr>
                <w:rStyle w:val="Strong"/>
                <w:rFonts w:ascii="Times New Roman" w:hAnsi="Times New Roman" w:cs="Times New Roman"/>
                <w:b w:val="0"/>
                <w:sz w:val="24"/>
                <w:szCs w:val="24"/>
              </w:rPr>
              <w:t>par</w:t>
            </w:r>
            <w:r w:rsidR="00C715E4" w:rsidRPr="00691FB4">
              <w:rPr>
                <w:rStyle w:val="Strong"/>
                <w:rFonts w:ascii="Times New Roman" w:hAnsi="Times New Roman" w:cs="Times New Roman"/>
                <w:b w:val="0"/>
                <w:sz w:val="24"/>
                <w:szCs w:val="24"/>
              </w:rPr>
              <w:t xml:space="preserve"> </w:t>
            </w:r>
            <w:r w:rsidR="00F44928" w:rsidRPr="00691FB4">
              <w:rPr>
                <w:rStyle w:val="Strong"/>
                <w:rFonts w:ascii="Times New Roman" w:hAnsi="Times New Roman" w:cs="Times New Roman"/>
                <w:b w:val="0"/>
                <w:sz w:val="24"/>
                <w:szCs w:val="24"/>
              </w:rPr>
              <w:t>tiem gadījumiem, kad obj</w:t>
            </w:r>
            <w:r w:rsidR="00C715E4" w:rsidRPr="00691FB4">
              <w:rPr>
                <w:rStyle w:val="Strong"/>
                <w:rFonts w:ascii="Times New Roman" w:hAnsi="Times New Roman" w:cs="Times New Roman"/>
                <w:b w:val="0"/>
                <w:sz w:val="24"/>
                <w:szCs w:val="24"/>
              </w:rPr>
              <w:t>ek</w:t>
            </w:r>
            <w:r w:rsidR="00F44928" w:rsidRPr="00691FB4">
              <w:rPr>
                <w:rStyle w:val="Strong"/>
                <w:rFonts w:ascii="Times New Roman" w:hAnsi="Times New Roman" w:cs="Times New Roman"/>
                <w:b w:val="0"/>
                <w:sz w:val="24"/>
                <w:szCs w:val="24"/>
              </w:rPr>
              <w:t>tos ir pārveidojumi, kuru dēļ augstāka līmeņa riska objekts</w:t>
            </w:r>
            <w:r w:rsidR="00C715E4" w:rsidRPr="00691FB4">
              <w:rPr>
                <w:rStyle w:val="Strong"/>
                <w:rFonts w:ascii="Times New Roman" w:hAnsi="Times New Roman" w:cs="Times New Roman"/>
                <w:b w:val="0"/>
                <w:sz w:val="24"/>
                <w:szCs w:val="24"/>
              </w:rPr>
              <w:t xml:space="preserve"> </w:t>
            </w:r>
            <w:r w:rsidR="00F44928" w:rsidRPr="00691FB4">
              <w:rPr>
                <w:rStyle w:val="Strong"/>
                <w:rFonts w:ascii="Times New Roman" w:hAnsi="Times New Roman" w:cs="Times New Roman"/>
                <w:b w:val="0"/>
                <w:sz w:val="24"/>
                <w:szCs w:val="24"/>
              </w:rPr>
              <w:t xml:space="preserve">kļūst par </w:t>
            </w:r>
            <w:r w:rsidR="00C715E4" w:rsidRPr="00691FB4">
              <w:rPr>
                <w:rStyle w:val="Strong"/>
                <w:rFonts w:ascii="Times New Roman" w:hAnsi="Times New Roman" w:cs="Times New Roman"/>
                <w:b w:val="0"/>
                <w:sz w:val="24"/>
                <w:szCs w:val="24"/>
              </w:rPr>
              <w:t>zemāka līmeņa riska objektu</w:t>
            </w:r>
            <w:r w:rsidR="001F351E" w:rsidRPr="00691FB4">
              <w:rPr>
                <w:rStyle w:val="Strong"/>
                <w:rFonts w:ascii="Times New Roman" w:hAnsi="Times New Roman" w:cs="Times New Roman"/>
                <w:b w:val="0"/>
                <w:sz w:val="24"/>
                <w:szCs w:val="24"/>
              </w:rPr>
              <w:t>.</w:t>
            </w:r>
          </w:p>
          <w:p w14:paraId="4AC4A444" w14:textId="77777777" w:rsidR="001F351E" w:rsidRPr="00691FB4" w:rsidRDefault="001F351E" w:rsidP="00B42C92">
            <w:pPr>
              <w:spacing w:after="0" w:line="240" w:lineRule="auto"/>
              <w:jc w:val="both"/>
              <w:rPr>
                <w:rFonts w:ascii="Times New Roman" w:hAnsi="Times New Roman" w:cs="Times New Roman"/>
                <w:sz w:val="24"/>
                <w:szCs w:val="24"/>
              </w:rPr>
            </w:pPr>
          </w:p>
          <w:p w14:paraId="0B5A93B3" w14:textId="6B18EE53" w:rsidR="0096329C" w:rsidRPr="00691FB4" w:rsidRDefault="008E49A7" w:rsidP="00B42C92">
            <w:pPr>
              <w:spacing w:after="0" w:line="240" w:lineRule="auto"/>
              <w:jc w:val="both"/>
              <w:rPr>
                <w:rFonts w:ascii="Times New Roman" w:hAnsi="Times New Roman" w:cs="Times New Roman"/>
                <w:sz w:val="24"/>
                <w:szCs w:val="24"/>
              </w:rPr>
            </w:pPr>
            <w:r w:rsidRPr="00691FB4">
              <w:rPr>
                <w:rFonts w:ascii="Times New Roman" w:hAnsi="Times New Roman" w:cs="Times New Roman"/>
                <w:sz w:val="24"/>
                <w:szCs w:val="24"/>
              </w:rPr>
              <w:t xml:space="preserve">2020. gada </w:t>
            </w:r>
            <w:r w:rsidR="00A80CD2" w:rsidRPr="00691FB4">
              <w:rPr>
                <w:rFonts w:ascii="Times New Roman" w:hAnsi="Times New Roman" w:cs="Times New Roman"/>
                <w:sz w:val="24"/>
                <w:szCs w:val="24"/>
              </w:rPr>
              <w:t>2</w:t>
            </w:r>
            <w:r w:rsidR="009764A8" w:rsidRPr="00691FB4">
              <w:rPr>
                <w:rFonts w:ascii="Times New Roman" w:hAnsi="Times New Roman" w:cs="Times New Roman"/>
                <w:sz w:val="24"/>
                <w:szCs w:val="24"/>
              </w:rPr>
              <w:t>8.</w:t>
            </w:r>
            <w:r w:rsidRPr="00691FB4">
              <w:rPr>
                <w:rFonts w:ascii="Times New Roman" w:hAnsi="Times New Roman" w:cs="Times New Roman"/>
                <w:sz w:val="24"/>
                <w:szCs w:val="24"/>
              </w:rPr>
              <w:t> </w:t>
            </w:r>
            <w:r w:rsidR="00A80CD2" w:rsidRPr="00691FB4">
              <w:rPr>
                <w:rFonts w:ascii="Times New Roman" w:hAnsi="Times New Roman" w:cs="Times New Roman"/>
                <w:sz w:val="24"/>
                <w:szCs w:val="24"/>
              </w:rPr>
              <w:t xml:space="preserve"> jūlijā</w:t>
            </w:r>
            <w:r w:rsidR="009764A8" w:rsidRPr="00691FB4">
              <w:rPr>
                <w:rFonts w:ascii="Times New Roman" w:hAnsi="Times New Roman" w:cs="Times New Roman"/>
                <w:sz w:val="24"/>
                <w:szCs w:val="24"/>
              </w:rPr>
              <w:t xml:space="preserve"> Ministru kabinets apstiprināja Latvijas Republikas nostājas projektu par Eiropas Komisijas formālo paziņojumu pārkāpuma procedūras lietā Nr.2020/</w:t>
            </w:r>
            <w:r w:rsidR="00A80CD2" w:rsidRPr="00691FB4">
              <w:rPr>
                <w:rFonts w:ascii="Times New Roman" w:hAnsi="Times New Roman" w:cs="Times New Roman"/>
                <w:sz w:val="24"/>
                <w:szCs w:val="24"/>
              </w:rPr>
              <w:t>2102</w:t>
            </w:r>
            <w:r w:rsidR="009764A8" w:rsidRPr="00691FB4">
              <w:rPr>
                <w:rFonts w:ascii="Times New Roman" w:hAnsi="Times New Roman" w:cs="Times New Roman"/>
                <w:sz w:val="24"/>
                <w:szCs w:val="24"/>
              </w:rPr>
              <w:t xml:space="preserve">, kurā Vides aizsardzības un reģionālās attīstības ministrijai </w:t>
            </w:r>
            <w:r w:rsidRPr="00691FB4">
              <w:rPr>
                <w:rFonts w:ascii="Times New Roman" w:hAnsi="Times New Roman" w:cs="Times New Roman"/>
                <w:sz w:val="24"/>
                <w:szCs w:val="24"/>
              </w:rPr>
              <w:t xml:space="preserve">(turpmāk – VARAM) </w:t>
            </w:r>
            <w:r w:rsidR="009764A8" w:rsidRPr="00691FB4">
              <w:rPr>
                <w:rFonts w:ascii="Times New Roman" w:hAnsi="Times New Roman" w:cs="Times New Roman"/>
                <w:sz w:val="24"/>
                <w:szCs w:val="24"/>
              </w:rPr>
              <w:t xml:space="preserve">tika uzdots </w:t>
            </w:r>
            <w:r w:rsidR="009764A8" w:rsidRPr="00691FB4">
              <w:rPr>
                <w:rFonts w:ascii="Times New Roman" w:eastAsia="Times New Roman" w:hAnsi="Times New Roman" w:cs="Times New Roman"/>
                <w:sz w:val="24"/>
                <w:szCs w:val="24"/>
              </w:rPr>
              <w:t>līdz 2021.</w:t>
            </w:r>
            <w:r w:rsidRPr="00691FB4">
              <w:rPr>
                <w:rFonts w:ascii="Times New Roman" w:eastAsia="Times New Roman" w:hAnsi="Times New Roman" w:cs="Times New Roman"/>
                <w:sz w:val="24"/>
                <w:szCs w:val="24"/>
              </w:rPr>
              <w:t> </w:t>
            </w:r>
            <w:r w:rsidR="009764A8" w:rsidRPr="00691FB4">
              <w:rPr>
                <w:rFonts w:ascii="Times New Roman" w:eastAsia="Times New Roman" w:hAnsi="Times New Roman" w:cs="Times New Roman"/>
                <w:sz w:val="24"/>
                <w:szCs w:val="24"/>
              </w:rPr>
              <w:t>gada 23.</w:t>
            </w:r>
            <w:r w:rsidRPr="00691FB4">
              <w:rPr>
                <w:rFonts w:ascii="Times New Roman" w:eastAsia="Times New Roman" w:hAnsi="Times New Roman" w:cs="Times New Roman"/>
                <w:sz w:val="24"/>
                <w:szCs w:val="24"/>
              </w:rPr>
              <w:t> </w:t>
            </w:r>
            <w:r w:rsidR="009764A8" w:rsidRPr="00691FB4">
              <w:rPr>
                <w:rFonts w:ascii="Times New Roman" w:eastAsia="Times New Roman" w:hAnsi="Times New Roman" w:cs="Times New Roman"/>
                <w:sz w:val="24"/>
                <w:szCs w:val="24"/>
              </w:rPr>
              <w:t xml:space="preserve">martam iesniegt izskatīšanai Ministru kabinetā noteikumu projektu </w:t>
            </w:r>
            <w:r w:rsidR="00C31F04" w:rsidRPr="00691FB4">
              <w:rPr>
                <w:rFonts w:ascii="Times New Roman" w:eastAsia="Times New Roman" w:hAnsi="Times New Roman" w:cs="Times New Roman"/>
                <w:sz w:val="24"/>
                <w:szCs w:val="24"/>
              </w:rPr>
              <w:t>“</w:t>
            </w:r>
            <w:r w:rsidR="009764A8" w:rsidRPr="00691FB4">
              <w:rPr>
                <w:rFonts w:ascii="Times New Roman" w:eastAsia="Times New Roman" w:hAnsi="Times New Roman" w:cs="Times New Roman"/>
                <w:sz w:val="24"/>
                <w:szCs w:val="24"/>
              </w:rPr>
              <w:t xml:space="preserve">Grozījumi </w:t>
            </w:r>
            <w:r w:rsidR="00612513" w:rsidRPr="00691FB4">
              <w:rPr>
                <w:rFonts w:ascii="Times New Roman" w:eastAsia="Times New Roman" w:hAnsi="Times New Roman" w:cs="Times New Roman"/>
                <w:color w:val="000000" w:themeColor="text1"/>
                <w:sz w:val="24"/>
                <w:szCs w:val="24"/>
                <w:lang w:eastAsia="lv-LV"/>
              </w:rPr>
              <w:t>Ministru kabineta 2016. gada 1. marta noteikumos Nr. 131 “Rūpniecisko avāriju riska novērtēšanas kārtība un riska samazināšanas pasākumi”</w:t>
            </w:r>
            <w:r w:rsidR="00C31F04" w:rsidRPr="00691FB4">
              <w:rPr>
                <w:rFonts w:ascii="Times New Roman" w:eastAsia="Times New Roman" w:hAnsi="Times New Roman" w:cs="Times New Roman"/>
                <w:color w:val="000000" w:themeColor="text1"/>
                <w:sz w:val="24"/>
                <w:szCs w:val="24"/>
                <w:lang w:eastAsia="lv-LV"/>
              </w:rPr>
              <w:t>”</w:t>
            </w:r>
            <w:r w:rsidR="009764A8" w:rsidRPr="00691FB4">
              <w:rPr>
                <w:rFonts w:ascii="Times New Roman" w:eastAsia="Times New Roman" w:hAnsi="Times New Roman" w:cs="Times New Roman"/>
                <w:sz w:val="24"/>
                <w:szCs w:val="24"/>
              </w:rPr>
              <w:t>.</w:t>
            </w:r>
          </w:p>
          <w:p w14:paraId="5D3A8CFD" w14:textId="77777777" w:rsidR="00E92F50" w:rsidRPr="00691FB4" w:rsidRDefault="00E92F50" w:rsidP="00B42C92">
            <w:pPr>
              <w:spacing w:after="0" w:line="240" w:lineRule="auto"/>
              <w:jc w:val="both"/>
              <w:rPr>
                <w:rFonts w:ascii="Times New Roman" w:eastAsia="Times New Roman" w:hAnsi="Times New Roman" w:cs="Times New Roman"/>
                <w:iCs/>
                <w:sz w:val="24"/>
                <w:szCs w:val="24"/>
                <w:lang w:eastAsia="lv-LV"/>
              </w:rPr>
            </w:pPr>
          </w:p>
          <w:p w14:paraId="4124D26F" w14:textId="574E8466" w:rsidR="00C31F04" w:rsidRPr="00691FB4" w:rsidRDefault="00755F8C" w:rsidP="00402C8C">
            <w:pPr>
              <w:spacing w:after="0" w:line="240" w:lineRule="auto"/>
              <w:jc w:val="both"/>
              <w:rPr>
                <w:rFonts w:ascii="Times New Roman" w:hAnsi="Times New Roman" w:cs="Times New Roman"/>
                <w:sz w:val="24"/>
                <w:szCs w:val="24"/>
              </w:rPr>
            </w:pPr>
            <w:r w:rsidRPr="00691FB4">
              <w:rPr>
                <w:rFonts w:ascii="Times New Roman" w:hAnsi="Times New Roman" w:cs="Times New Roman"/>
                <w:sz w:val="24"/>
                <w:szCs w:val="24"/>
              </w:rPr>
              <w:t>Noteikumu projekts paredz precī</w:t>
            </w:r>
            <w:r w:rsidR="003D7537" w:rsidRPr="00691FB4">
              <w:rPr>
                <w:rFonts w:ascii="Times New Roman" w:hAnsi="Times New Roman" w:cs="Times New Roman"/>
                <w:sz w:val="24"/>
                <w:szCs w:val="24"/>
              </w:rPr>
              <w:t>z</w:t>
            </w:r>
            <w:r w:rsidR="006D48A8" w:rsidRPr="00691FB4">
              <w:rPr>
                <w:rFonts w:ascii="Times New Roman" w:hAnsi="Times New Roman" w:cs="Times New Roman"/>
                <w:sz w:val="24"/>
                <w:szCs w:val="24"/>
              </w:rPr>
              <w:t>āk pārņemt</w:t>
            </w:r>
            <w:r w:rsidR="003D7537" w:rsidRPr="00691FB4">
              <w:rPr>
                <w:rFonts w:ascii="Times New Roman" w:hAnsi="Times New Roman" w:cs="Times New Roman"/>
                <w:sz w:val="24"/>
                <w:szCs w:val="24"/>
              </w:rPr>
              <w:t xml:space="preserve"> </w:t>
            </w:r>
            <w:r w:rsidR="00C31F04" w:rsidRPr="00691FB4">
              <w:rPr>
                <w:rFonts w:ascii="Times New Roman" w:eastAsia="Times New Roman" w:hAnsi="Times New Roman" w:cs="Times New Roman"/>
                <w:iCs/>
                <w:sz w:val="24"/>
                <w:szCs w:val="24"/>
                <w:lang w:eastAsia="lv-LV"/>
              </w:rPr>
              <w:t>Direktīvas 2012/18/ES</w:t>
            </w:r>
            <w:r w:rsidR="00C31F04" w:rsidRPr="00691FB4">
              <w:rPr>
                <w:rFonts w:ascii="Times New Roman" w:hAnsi="Times New Roman" w:cs="Times New Roman"/>
                <w:sz w:val="24"/>
                <w:szCs w:val="24"/>
              </w:rPr>
              <w:t xml:space="preserve"> </w:t>
            </w:r>
            <w:r w:rsidR="00860D17" w:rsidRPr="00691FB4">
              <w:rPr>
                <w:rFonts w:ascii="Times New Roman" w:hAnsi="Times New Roman" w:cs="Times New Roman"/>
                <w:sz w:val="24"/>
                <w:szCs w:val="24"/>
              </w:rPr>
              <w:t xml:space="preserve">normas </w:t>
            </w:r>
            <w:r w:rsidR="00BE49D6" w:rsidRPr="00691FB4">
              <w:rPr>
                <w:rFonts w:ascii="Times New Roman" w:eastAsia="Times New Roman" w:hAnsi="Times New Roman" w:cs="Times New Roman"/>
                <w:color w:val="000000" w:themeColor="text1"/>
                <w:sz w:val="24"/>
                <w:szCs w:val="24"/>
                <w:lang w:eastAsia="lv-LV"/>
              </w:rPr>
              <w:t>Ministru kabineta 2016. gada 1. marta noteikumos Nr. 131 “Rūpniecisko avāriju riska novērtēšanas kārtība un riska samazināšanas pasākumi”” (turpmāk – Noteikumi Nr. 131)</w:t>
            </w:r>
            <w:r w:rsidR="001B6ED6" w:rsidRPr="00691FB4">
              <w:rPr>
                <w:rFonts w:ascii="Times New Roman" w:eastAsia="Times New Roman" w:hAnsi="Times New Roman" w:cs="Times New Roman"/>
                <w:color w:val="000000" w:themeColor="text1"/>
                <w:sz w:val="24"/>
                <w:szCs w:val="24"/>
                <w:lang w:eastAsia="lv-LV"/>
              </w:rPr>
              <w:t xml:space="preserve">, par kurām norādīts </w:t>
            </w:r>
            <w:r w:rsidR="00860D17" w:rsidRPr="00691FB4">
              <w:rPr>
                <w:rFonts w:ascii="Times New Roman" w:hAnsi="Times New Roman" w:cs="Times New Roman"/>
                <w:sz w:val="24"/>
                <w:szCs w:val="24"/>
              </w:rPr>
              <w:t>Eiropas Komisijas formālajā paziņojumā</w:t>
            </w:r>
            <w:r w:rsidR="00E92F50">
              <w:rPr>
                <w:rFonts w:ascii="Times New Roman" w:hAnsi="Times New Roman" w:cs="Times New Roman"/>
                <w:sz w:val="24"/>
                <w:szCs w:val="24"/>
              </w:rPr>
              <w:t xml:space="preserve">, kā arī precizē </w:t>
            </w:r>
            <w:r w:rsidR="00F47301">
              <w:rPr>
                <w:rFonts w:ascii="Times New Roman" w:hAnsi="Times New Roman" w:cs="Times New Roman"/>
                <w:sz w:val="24"/>
                <w:szCs w:val="24"/>
              </w:rPr>
              <w:t xml:space="preserve">atbilstošos </w:t>
            </w:r>
            <w:r w:rsidR="00F47301" w:rsidRPr="00691FB4">
              <w:rPr>
                <w:rFonts w:ascii="Times New Roman" w:eastAsia="Times New Roman" w:hAnsi="Times New Roman" w:cs="Times New Roman"/>
                <w:color w:val="000000" w:themeColor="text1"/>
                <w:sz w:val="24"/>
                <w:szCs w:val="24"/>
                <w:lang w:eastAsia="lv-LV"/>
              </w:rPr>
              <w:t>Noteikum</w:t>
            </w:r>
            <w:r w:rsidR="00DD1D7E">
              <w:rPr>
                <w:rFonts w:ascii="Times New Roman" w:eastAsia="Times New Roman" w:hAnsi="Times New Roman" w:cs="Times New Roman"/>
                <w:color w:val="000000" w:themeColor="text1"/>
                <w:sz w:val="24"/>
                <w:szCs w:val="24"/>
                <w:lang w:eastAsia="lv-LV"/>
              </w:rPr>
              <w:t>u</w:t>
            </w:r>
            <w:r w:rsidR="00F47301" w:rsidRPr="00691FB4">
              <w:rPr>
                <w:rFonts w:ascii="Times New Roman" w:eastAsia="Times New Roman" w:hAnsi="Times New Roman" w:cs="Times New Roman"/>
                <w:color w:val="000000" w:themeColor="text1"/>
                <w:sz w:val="24"/>
                <w:szCs w:val="24"/>
                <w:lang w:eastAsia="lv-LV"/>
              </w:rPr>
              <w:t xml:space="preserve"> Nr. 131</w:t>
            </w:r>
            <w:r w:rsidR="00F47301">
              <w:rPr>
                <w:rFonts w:ascii="Times New Roman" w:eastAsia="Times New Roman" w:hAnsi="Times New Roman" w:cs="Times New Roman"/>
                <w:color w:val="000000" w:themeColor="text1"/>
                <w:sz w:val="24"/>
                <w:szCs w:val="24"/>
                <w:lang w:eastAsia="lv-LV"/>
              </w:rPr>
              <w:t xml:space="preserve"> punktus</w:t>
            </w:r>
            <w:r w:rsidR="008C7A54">
              <w:rPr>
                <w:rFonts w:ascii="Times New Roman" w:eastAsia="Times New Roman" w:hAnsi="Times New Roman" w:cs="Times New Roman"/>
                <w:color w:val="000000" w:themeColor="text1"/>
                <w:sz w:val="24"/>
                <w:szCs w:val="24"/>
                <w:lang w:eastAsia="lv-LV"/>
              </w:rPr>
              <w:t>.</w:t>
            </w:r>
          </w:p>
          <w:p w14:paraId="6FB585DD" w14:textId="77777777" w:rsidR="00E21EBE" w:rsidRPr="00691FB4" w:rsidRDefault="00E21EBE" w:rsidP="00402C8C">
            <w:pPr>
              <w:spacing w:after="0" w:line="240" w:lineRule="auto"/>
              <w:jc w:val="both"/>
              <w:rPr>
                <w:rFonts w:ascii="Times New Roman" w:hAnsi="Times New Roman" w:cs="Times New Roman"/>
                <w:sz w:val="24"/>
                <w:szCs w:val="24"/>
              </w:rPr>
            </w:pPr>
          </w:p>
          <w:p w14:paraId="21877D43" w14:textId="03512A92" w:rsidR="00BA6F94" w:rsidRPr="00691FB4" w:rsidRDefault="00BA6F94" w:rsidP="00D12A85">
            <w:pPr>
              <w:autoSpaceDE w:val="0"/>
              <w:autoSpaceDN w:val="0"/>
              <w:adjustRightInd w:val="0"/>
              <w:spacing w:after="0" w:line="240" w:lineRule="auto"/>
              <w:jc w:val="both"/>
              <w:rPr>
                <w:rFonts w:ascii="Times New Roman" w:hAnsi="Times New Roman" w:cs="Times New Roman"/>
                <w:sz w:val="24"/>
                <w:szCs w:val="24"/>
              </w:rPr>
            </w:pPr>
            <w:r w:rsidRPr="00691FB4">
              <w:rPr>
                <w:rFonts w:ascii="Times New Roman" w:hAnsi="Times New Roman" w:cs="Times New Roman"/>
                <w:sz w:val="24"/>
                <w:szCs w:val="24"/>
              </w:rPr>
              <w:t xml:space="preserve">Noteikumu projekts </w:t>
            </w:r>
            <w:r w:rsidR="00F47301">
              <w:rPr>
                <w:rFonts w:ascii="Times New Roman" w:hAnsi="Times New Roman" w:cs="Times New Roman"/>
                <w:sz w:val="24"/>
                <w:szCs w:val="24"/>
              </w:rPr>
              <w:t xml:space="preserve">aktualizē </w:t>
            </w:r>
            <w:r w:rsidR="00AD13E2" w:rsidRPr="00691FB4">
              <w:rPr>
                <w:rFonts w:ascii="Times New Roman" w:eastAsia="Times New Roman" w:hAnsi="Times New Roman" w:cs="Times New Roman"/>
                <w:color w:val="000000" w:themeColor="text1"/>
                <w:sz w:val="24"/>
                <w:szCs w:val="24"/>
                <w:lang w:eastAsia="lv-LV"/>
              </w:rPr>
              <w:t>Noteikumi Nr. 131 46.</w:t>
            </w:r>
            <w:r w:rsidR="003621F1" w:rsidRPr="00691FB4">
              <w:rPr>
                <w:rFonts w:ascii="Times New Roman" w:eastAsia="Times New Roman" w:hAnsi="Times New Roman" w:cs="Times New Roman"/>
                <w:color w:val="000000" w:themeColor="text1"/>
                <w:sz w:val="24"/>
                <w:szCs w:val="24"/>
                <w:lang w:eastAsia="lv-LV"/>
              </w:rPr>
              <w:t> </w:t>
            </w:r>
            <w:r w:rsidR="00AD13E2" w:rsidRPr="00691FB4">
              <w:rPr>
                <w:rFonts w:ascii="Times New Roman" w:eastAsia="Times New Roman" w:hAnsi="Times New Roman" w:cs="Times New Roman"/>
                <w:color w:val="000000" w:themeColor="text1"/>
                <w:sz w:val="24"/>
                <w:szCs w:val="24"/>
                <w:lang w:eastAsia="lv-LV"/>
              </w:rPr>
              <w:t xml:space="preserve">punktā </w:t>
            </w:r>
            <w:r w:rsidR="0024618D" w:rsidRPr="00691FB4">
              <w:rPr>
                <w:rFonts w:ascii="Times New Roman" w:hAnsi="Times New Roman" w:cs="Times New Roman"/>
                <w:sz w:val="24"/>
                <w:szCs w:val="24"/>
              </w:rPr>
              <w:t>veidu kā sabiedrība</w:t>
            </w:r>
            <w:r w:rsidR="00E0483D" w:rsidRPr="00691FB4">
              <w:rPr>
                <w:rFonts w:ascii="Times New Roman" w:hAnsi="Times New Roman" w:cs="Times New Roman"/>
                <w:sz w:val="24"/>
                <w:szCs w:val="24"/>
              </w:rPr>
              <w:t xml:space="preserve"> iegūst inform</w:t>
            </w:r>
            <w:r w:rsidR="003621F1" w:rsidRPr="00691FB4">
              <w:rPr>
                <w:rFonts w:ascii="Times New Roman" w:hAnsi="Times New Roman" w:cs="Times New Roman"/>
                <w:sz w:val="24"/>
                <w:szCs w:val="24"/>
              </w:rPr>
              <w:t>āc</w:t>
            </w:r>
            <w:r w:rsidR="00E0483D" w:rsidRPr="00691FB4">
              <w:rPr>
                <w:rFonts w:ascii="Times New Roman" w:hAnsi="Times New Roman" w:cs="Times New Roman"/>
                <w:sz w:val="24"/>
                <w:szCs w:val="24"/>
              </w:rPr>
              <w:t xml:space="preserve">iju un par </w:t>
            </w:r>
            <w:proofErr w:type="spellStart"/>
            <w:r w:rsidR="00E0483D" w:rsidRPr="00691FB4">
              <w:rPr>
                <w:rFonts w:ascii="Times New Roman" w:hAnsi="Times New Roman" w:cs="Times New Roman"/>
                <w:sz w:val="24"/>
                <w:szCs w:val="24"/>
              </w:rPr>
              <w:t>ārpusobjekta</w:t>
            </w:r>
            <w:proofErr w:type="spellEnd"/>
            <w:r w:rsidR="00E0483D" w:rsidRPr="00691FB4">
              <w:rPr>
                <w:rFonts w:ascii="Times New Roman" w:hAnsi="Times New Roman" w:cs="Times New Roman"/>
                <w:sz w:val="24"/>
                <w:szCs w:val="24"/>
              </w:rPr>
              <w:t xml:space="preserve"> civilās aizsardzības</w:t>
            </w:r>
            <w:r w:rsidR="003621F1" w:rsidRPr="00691FB4">
              <w:rPr>
                <w:rFonts w:ascii="Times New Roman" w:hAnsi="Times New Roman" w:cs="Times New Roman"/>
                <w:sz w:val="24"/>
                <w:szCs w:val="24"/>
              </w:rPr>
              <w:t xml:space="preserve"> p</w:t>
            </w:r>
            <w:r w:rsidR="00E0483D" w:rsidRPr="00691FB4">
              <w:rPr>
                <w:rFonts w:ascii="Times New Roman" w:hAnsi="Times New Roman" w:cs="Times New Roman"/>
                <w:sz w:val="24"/>
                <w:szCs w:val="24"/>
              </w:rPr>
              <w:t>lānu, ja</w:t>
            </w:r>
            <w:r w:rsidR="003621F1" w:rsidRPr="00691FB4">
              <w:rPr>
                <w:rFonts w:ascii="Times New Roman" w:hAnsi="Times New Roman" w:cs="Times New Roman"/>
                <w:sz w:val="24"/>
                <w:szCs w:val="24"/>
              </w:rPr>
              <w:t xml:space="preserve"> tas ir izstrādāts vai būtiski mainīts, un nosaka ka informācija ti</w:t>
            </w:r>
            <w:r w:rsidR="00643422">
              <w:rPr>
                <w:rFonts w:ascii="Times New Roman" w:hAnsi="Times New Roman" w:cs="Times New Roman"/>
                <w:sz w:val="24"/>
                <w:szCs w:val="24"/>
              </w:rPr>
              <w:t>ek</w:t>
            </w:r>
            <w:r w:rsidR="003621F1" w:rsidRPr="00691FB4">
              <w:rPr>
                <w:rFonts w:ascii="Times New Roman" w:hAnsi="Times New Roman" w:cs="Times New Roman"/>
                <w:sz w:val="24"/>
                <w:szCs w:val="24"/>
              </w:rPr>
              <w:t xml:space="preserve"> publicēta </w:t>
            </w:r>
            <w:r w:rsidR="003E0847" w:rsidRPr="00691FB4">
              <w:rPr>
                <w:rFonts w:ascii="Times New Roman" w:hAnsi="Times New Roman" w:cs="Times New Roman"/>
                <w:sz w:val="24"/>
                <w:szCs w:val="24"/>
              </w:rPr>
              <w:t>Valsts ugunsdzēsības un glābšanas dienest</w:t>
            </w:r>
            <w:r w:rsidR="003621F1" w:rsidRPr="00691FB4">
              <w:rPr>
                <w:rFonts w:ascii="Times New Roman" w:hAnsi="Times New Roman" w:cs="Times New Roman"/>
                <w:sz w:val="24"/>
                <w:szCs w:val="24"/>
              </w:rPr>
              <w:t xml:space="preserve">a tīmekļa vietnē. </w:t>
            </w:r>
          </w:p>
        </w:tc>
      </w:tr>
      <w:tr w:rsidR="00B42C92" w:rsidRPr="00BE49D6" w14:paraId="544F860A" w14:textId="77777777" w:rsidTr="00B42C9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3B62899" w14:textId="77777777" w:rsidR="00B42C92" w:rsidRPr="00BE49D6" w:rsidRDefault="00B42C92" w:rsidP="00B42C92">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2E407350" w14:textId="77777777" w:rsidR="00B42C92" w:rsidRPr="00BE49D6" w:rsidRDefault="00B42C92" w:rsidP="00B42C92">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14:paraId="7994961B" w14:textId="57A37755" w:rsidR="00B42C92" w:rsidRPr="00BE49D6" w:rsidRDefault="008E49A7" w:rsidP="00EA4A94">
            <w:pPr>
              <w:spacing w:after="0" w:line="240" w:lineRule="auto"/>
              <w:jc w:val="both"/>
              <w:rPr>
                <w:rFonts w:ascii="Times New Roman" w:eastAsia="Times New Roman" w:hAnsi="Times New Roman" w:cs="Times New Roman"/>
                <w:iCs/>
                <w:sz w:val="24"/>
                <w:szCs w:val="24"/>
                <w:lang w:eastAsia="lv-LV"/>
              </w:rPr>
            </w:pPr>
            <w:r w:rsidRPr="00BE49D6">
              <w:rPr>
                <w:rFonts w:ascii="Times New Roman" w:hAnsi="Times New Roman" w:cs="Times New Roman"/>
                <w:sz w:val="24"/>
                <w:szCs w:val="24"/>
              </w:rPr>
              <w:t>VARAM</w:t>
            </w:r>
            <w:r w:rsidR="00BB1C4A" w:rsidRPr="00BE49D6">
              <w:rPr>
                <w:rFonts w:ascii="Times New Roman" w:hAnsi="Times New Roman" w:cs="Times New Roman"/>
                <w:sz w:val="24"/>
                <w:szCs w:val="24"/>
              </w:rPr>
              <w:t xml:space="preserve">, </w:t>
            </w:r>
            <w:r w:rsidR="00EA4A94" w:rsidRPr="00BE49D6">
              <w:rPr>
                <w:rFonts w:ascii="Times New Roman" w:hAnsi="Times New Roman" w:cs="Times New Roman"/>
                <w:sz w:val="24"/>
                <w:szCs w:val="24"/>
              </w:rPr>
              <w:t>Vides pārraudzības valsts birojs, Valsts vides dienests.</w:t>
            </w:r>
          </w:p>
        </w:tc>
      </w:tr>
      <w:tr w:rsidR="00B42C92" w:rsidRPr="00BE49D6" w14:paraId="26F73A13" w14:textId="77777777" w:rsidTr="00B42C9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9D60DC5" w14:textId="77777777" w:rsidR="00B42C92" w:rsidRPr="00BE49D6" w:rsidRDefault="00B42C92" w:rsidP="00B42C92">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73DAF3C3" w14:textId="77777777" w:rsidR="00B42C92" w:rsidRPr="00BE49D6" w:rsidRDefault="00B42C92" w:rsidP="00B42C92">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31C67EB2" w14:textId="77777777" w:rsidR="00B42C92" w:rsidRPr="00BE49D6" w:rsidRDefault="00B42C92" w:rsidP="00B42C92">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Nav</w:t>
            </w:r>
          </w:p>
        </w:tc>
      </w:tr>
    </w:tbl>
    <w:p w14:paraId="757BA259" w14:textId="77777777" w:rsidR="00E5323B"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BE49D6" w14:paraId="3BC4705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410E94E" w14:textId="1D3E57BC" w:rsidR="002C6B6B" w:rsidRPr="00BE49D6" w:rsidRDefault="00E5323B" w:rsidP="001811F9">
            <w:pPr>
              <w:spacing w:after="0" w:line="240" w:lineRule="auto"/>
              <w:rPr>
                <w:rFonts w:ascii="Times New Roman" w:eastAsia="Times New Roman" w:hAnsi="Times New Roman" w:cs="Times New Roman"/>
                <w:b/>
                <w:bCs/>
                <w:iCs/>
                <w:sz w:val="24"/>
                <w:szCs w:val="24"/>
                <w:lang w:eastAsia="lv-LV"/>
              </w:rPr>
            </w:pPr>
            <w:r w:rsidRPr="00BE49D6">
              <w:rPr>
                <w:rFonts w:ascii="Times New Roman" w:eastAsia="Times New Roman" w:hAnsi="Times New Roman" w:cs="Times New Roman"/>
                <w:b/>
                <w:bCs/>
                <w:iCs/>
                <w:sz w:val="24"/>
                <w:szCs w:val="24"/>
                <w:lang w:eastAsia="lv-LV"/>
              </w:rPr>
              <w:t>II. Tiesību akta projekta ietekme uz sabiedrību, tautsaimniecības attīstību un administratīvo slogu</w:t>
            </w:r>
          </w:p>
          <w:p w14:paraId="23101A0F" w14:textId="404722DA" w:rsidR="002C6B6B" w:rsidRPr="00BE49D6" w:rsidRDefault="002C6B6B" w:rsidP="002C6B6B">
            <w:pPr>
              <w:rPr>
                <w:rFonts w:ascii="Times New Roman" w:eastAsia="Times New Roman" w:hAnsi="Times New Roman" w:cs="Times New Roman"/>
                <w:sz w:val="24"/>
                <w:szCs w:val="24"/>
                <w:lang w:eastAsia="lv-LV"/>
              </w:rPr>
            </w:pPr>
          </w:p>
        </w:tc>
      </w:tr>
      <w:tr w:rsidR="00B42C92" w:rsidRPr="00BE49D6" w14:paraId="2BE8CF25" w14:textId="77777777" w:rsidTr="003B03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A15961C" w14:textId="77777777" w:rsidR="00B42C92" w:rsidRPr="00BE49D6" w:rsidRDefault="00B42C92" w:rsidP="00B42C92">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292CA357" w14:textId="77777777" w:rsidR="00B42C92" w:rsidRPr="00BE49D6" w:rsidRDefault="00B42C92" w:rsidP="00B42C92">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 xml:space="preserve">Sabiedrības </w:t>
            </w:r>
            <w:proofErr w:type="spellStart"/>
            <w:r w:rsidRPr="00BE49D6">
              <w:rPr>
                <w:rFonts w:ascii="Times New Roman" w:eastAsia="Times New Roman" w:hAnsi="Times New Roman" w:cs="Times New Roman"/>
                <w:iCs/>
                <w:sz w:val="24"/>
                <w:szCs w:val="24"/>
                <w:lang w:eastAsia="lv-LV"/>
              </w:rPr>
              <w:t>mērķgrupas</w:t>
            </w:r>
            <w:proofErr w:type="spellEnd"/>
            <w:r w:rsidRPr="00BE49D6">
              <w:rPr>
                <w:rFonts w:ascii="Times New Roman" w:eastAsia="Times New Roman" w:hAnsi="Times New Roman" w:cs="Times New Roman"/>
                <w:iCs/>
                <w:sz w:val="24"/>
                <w:szCs w:val="24"/>
                <w:lang w:eastAsia="lv-LV"/>
              </w:rPr>
              <w:t>,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tcPr>
          <w:p w14:paraId="3082FB20" w14:textId="21FA2CE7" w:rsidR="00B42C92" w:rsidRPr="004C714A" w:rsidRDefault="00DD7528" w:rsidP="00B42C92">
            <w:pPr>
              <w:spacing w:after="0" w:line="240" w:lineRule="auto"/>
              <w:jc w:val="both"/>
              <w:rPr>
                <w:rFonts w:ascii="Times New Roman" w:eastAsia="Times New Roman" w:hAnsi="Times New Roman" w:cs="Times New Roman"/>
                <w:color w:val="0000FF"/>
                <w:sz w:val="24"/>
                <w:szCs w:val="24"/>
                <w:u w:val="single"/>
                <w:lang w:eastAsia="lv-LV"/>
              </w:rPr>
            </w:pPr>
            <w:r w:rsidRPr="004C714A">
              <w:rPr>
                <w:rFonts w:ascii="Times New Roman" w:eastAsia="Times New Roman" w:hAnsi="Times New Roman" w:cs="Times New Roman"/>
                <w:sz w:val="24"/>
                <w:szCs w:val="24"/>
                <w:lang w:eastAsia="lv-LV"/>
              </w:rPr>
              <w:t>Noteikumu projekts tieši ietekmē komersantus, kuriem pieder objekti vai iekārtas, kuros tiek veiktas darbības ar ķīmiskām vielām un maisījumiem apjomos un bīstamības kategorijās, kas noteiktas</w:t>
            </w:r>
            <w:r w:rsidR="00350093" w:rsidRPr="004C714A">
              <w:rPr>
                <w:rFonts w:ascii="Times New Roman" w:eastAsia="Times New Roman" w:hAnsi="Times New Roman" w:cs="Times New Roman"/>
                <w:sz w:val="24"/>
                <w:szCs w:val="24"/>
                <w:lang w:eastAsia="lv-LV"/>
              </w:rPr>
              <w:t xml:space="preserve"> </w:t>
            </w:r>
            <w:r w:rsidR="003E17EF" w:rsidRPr="004C714A">
              <w:rPr>
                <w:rFonts w:ascii="Times New Roman" w:eastAsia="Times New Roman" w:hAnsi="Times New Roman" w:cs="Times New Roman"/>
                <w:color w:val="000000" w:themeColor="text1"/>
                <w:sz w:val="24"/>
                <w:szCs w:val="24"/>
                <w:lang w:eastAsia="lv-LV"/>
              </w:rPr>
              <w:t>Noteikumi Nr. 131</w:t>
            </w:r>
            <w:r w:rsidRPr="004C714A">
              <w:rPr>
                <w:rFonts w:ascii="Times New Roman" w:eastAsia="Times New Roman" w:hAnsi="Times New Roman" w:cs="Times New Roman"/>
                <w:sz w:val="24"/>
                <w:szCs w:val="24"/>
                <w:lang w:eastAsia="lv-LV"/>
              </w:rPr>
              <w:t xml:space="preserve"> 1.</w:t>
            </w:r>
            <w:r w:rsidR="003E17EF" w:rsidRPr="004C714A">
              <w:rPr>
                <w:rFonts w:ascii="Times New Roman" w:eastAsia="Times New Roman" w:hAnsi="Times New Roman" w:cs="Times New Roman"/>
                <w:sz w:val="24"/>
                <w:szCs w:val="24"/>
                <w:lang w:eastAsia="lv-LV"/>
              </w:rPr>
              <w:t> </w:t>
            </w:r>
            <w:r w:rsidRPr="004C714A">
              <w:rPr>
                <w:rFonts w:ascii="Times New Roman" w:eastAsia="Times New Roman" w:hAnsi="Times New Roman" w:cs="Times New Roman"/>
                <w:sz w:val="24"/>
                <w:szCs w:val="24"/>
                <w:lang w:eastAsia="lv-LV"/>
              </w:rPr>
              <w:t>pielikumā</w:t>
            </w:r>
            <w:r w:rsidR="003E17EF" w:rsidRPr="004C714A">
              <w:rPr>
                <w:rFonts w:ascii="Times New Roman" w:eastAsia="Times New Roman" w:hAnsi="Times New Roman" w:cs="Times New Roman"/>
                <w:sz w:val="24"/>
                <w:szCs w:val="24"/>
                <w:lang w:eastAsia="lv-LV"/>
              </w:rPr>
              <w:t xml:space="preserve"> (o</w:t>
            </w:r>
            <w:r w:rsidRPr="004C714A">
              <w:rPr>
                <w:rFonts w:ascii="Times New Roman" w:eastAsia="Times New Roman" w:hAnsi="Times New Roman" w:cs="Times New Roman"/>
                <w:sz w:val="24"/>
                <w:szCs w:val="24"/>
                <w:lang w:eastAsia="lv-LV"/>
              </w:rPr>
              <w:t xml:space="preserve">bjektu saraksts pieejams Vides pārraudzības valsts biroja tīmekļa vietnē: </w:t>
            </w:r>
            <w:r w:rsidR="004C714A" w:rsidRPr="004C714A">
              <w:rPr>
                <w:rFonts w:ascii="Times New Roman" w:eastAsia="Times New Roman" w:hAnsi="Times New Roman" w:cs="Times New Roman"/>
                <w:sz w:val="24"/>
                <w:szCs w:val="24"/>
                <w:lang w:eastAsia="lv-LV"/>
              </w:rPr>
              <w:t>http://www.vpvb.gov.lv/lv/avariju-risks/objektu-saraksts</w:t>
            </w:r>
            <w:r w:rsidR="003E17EF" w:rsidRPr="004C714A">
              <w:rPr>
                <w:rFonts w:ascii="Times New Roman" w:hAnsi="Times New Roman" w:cs="Times New Roman"/>
                <w:sz w:val="24"/>
                <w:szCs w:val="24"/>
              </w:rPr>
              <w:t>)</w:t>
            </w:r>
            <w:r w:rsidR="004C714A" w:rsidRPr="004C714A">
              <w:rPr>
                <w:rFonts w:ascii="Times New Roman" w:hAnsi="Times New Roman" w:cs="Times New Roman"/>
                <w:sz w:val="24"/>
                <w:szCs w:val="24"/>
              </w:rPr>
              <w:t>.</w:t>
            </w:r>
          </w:p>
        </w:tc>
      </w:tr>
      <w:tr w:rsidR="00E5323B" w:rsidRPr="00BE49D6" w14:paraId="4A0DAED4" w14:textId="77777777" w:rsidTr="00B42C9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D5F9416" w14:textId="77777777" w:rsidR="00655F2C"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14:paraId="76C0DB11" w14:textId="77777777" w:rsidR="00E5323B"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14:paraId="5FA11B87" w14:textId="77777777" w:rsidR="003D7537" w:rsidRPr="004C714A" w:rsidRDefault="003D7537" w:rsidP="006871A3">
            <w:pPr>
              <w:pStyle w:val="tv213"/>
              <w:spacing w:before="0" w:beforeAutospacing="0" w:after="0" w:afterAutospacing="0"/>
              <w:jc w:val="both"/>
            </w:pPr>
            <w:r w:rsidRPr="004C714A">
              <w:rPr>
                <w:iCs/>
              </w:rPr>
              <w:t>Noteikumu projekts nerada ietekmi uz tautsaimniecību un administratīvo slogu.</w:t>
            </w:r>
          </w:p>
          <w:p w14:paraId="42A9E9BA" w14:textId="77777777" w:rsidR="006871A3" w:rsidRPr="004C714A" w:rsidRDefault="006871A3" w:rsidP="006871A3">
            <w:pPr>
              <w:pStyle w:val="tv213"/>
              <w:spacing w:before="0" w:beforeAutospacing="0" w:after="0" w:afterAutospacing="0"/>
              <w:jc w:val="both"/>
            </w:pPr>
            <w:r w:rsidRPr="004C714A">
              <w:t xml:space="preserve">Noteikumu projekta prasības </w:t>
            </w:r>
            <w:r w:rsidR="00620D2A" w:rsidRPr="004C714A">
              <w:t>neskar</w:t>
            </w:r>
            <w:r w:rsidRPr="004C714A">
              <w:t xml:space="preserve"> </w:t>
            </w:r>
            <w:r w:rsidR="00620D2A" w:rsidRPr="004C714A">
              <w:rPr>
                <w:shd w:val="clear" w:color="auto" w:fill="FFFFFF"/>
              </w:rPr>
              <w:t> Nacionālā attīstības plāna rādītājus, </w:t>
            </w:r>
            <w:r w:rsidRPr="004C714A">
              <w:t>konkurenci</w:t>
            </w:r>
            <w:r w:rsidR="00620D2A" w:rsidRPr="004C714A">
              <w:t xml:space="preserve"> un nevalstiskās organizācijas.</w:t>
            </w:r>
          </w:p>
          <w:p w14:paraId="0B785CB1" w14:textId="77777777" w:rsidR="006871A3" w:rsidRPr="004C714A" w:rsidRDefault="006871A3" w:rsidP="006871A3">
            <w:pPr>
              <w:pStyle w:val="tv213"/>
              <w:spacing w:before="0" w:beforeAutospacing="0" w:after="0" w:afterAutospacing="0"/>
              <w:jc w:val="both"/>
            </w:pPr>
            <w:r w:rsidRPr="004C714A">
              <w:t xml:space="preserve">Noteikumu projekta ietekme uz vidi </w:t>
            </w:r>
            <w:r w:rsidR="00B13BB7" w:rsidRPr="004C714A">
              <w:t xml:space="preserve">un cilvēku veselību </w:t>
            </w:r>
            <w:r w:rsidRPr="004C714A">
              <w:t>ir vērtējama pozitīvi.</w:t>
            </w:r>
          </w:p>
          <w:p w14:paraId="238896CB" w14:textId="77777777" w:rsidR="006871A3" w:rsidRPr="004C714A" w:rsidRDefault="006871A3" w:rsidP="00B13BB7">
            <w:pPr>
              <w:spacing w:after="0" w:line="240" w:lineRule="auto"/>
              <w:jc w:val="both"/>
              <w:rPr>
                <w:rFonts w:ascii="Times New Roman" w:eastAsia="Times New Roman" w:hAnsi="Times New Roman" w:cs="Times New Roman"/>
                <w:iCs/>
                <w:sz w:val="24"/>
                <w:szCs w:val="24"/>
                <w:lang w:eastAsia="lv-LV"/>
              </w:rPr>
            </w:pPr>
            <w:r w:rsidRPr="004C714A">
              <w:rPr>
                <w:rFonts w:ascii="Times New Roman" w:eastAsia="Times New Roman" w:hAnsi="Times New Roman" w:cs="Times New Roman"/>
                <w:sz w:val="24"/>
                <w:szCs w:val="24"/>
                <w:lang w:eastAsia="lv-LV"/>
              </w:rPr>
              <w:t>Sabiedrības grupām un institūcijām projekta tiesiskais regulējums nemaina tiesības un pienākumus, kā arī veicamās darbības.</w:t>
            </w:r>
          </w:p>
        </w:tc>
      </w:tr>
      <w:tr w:rsidR="00E5323B" w:rsidRPr="00BE49D6" w14:paraId="40F94CF2" w14:textId="77777777" w:rsidTr="00B42C9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9F8E6FE" w14:textId="77777777" w:rsidR="00655F2C"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2CC247EF" w14:textId="77777777" w:rsidR="00E5323B"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344E755D" w14:textId="77777777" w:rsidR="00E5323B" w:rsidRPr="00BE49D6" w:rsidRDefault="006871A3"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Projekts šo jomu neskar</w:t>
            </w:r>
          </w:p>
        </w:tc>
      </w:tr>
      <w:tr w:rsidR="00E5323B" w:rsidRPr="00BE49D6" w14:paraId="6A5AAFC2" w14:textId="77777777" w:rsidTr="00B42C9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709C9CA" w14:textId="77777777" w:rsidR="00655F2C"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0D8F171D" w14:textId="77777777" w:rsidR="00E5323B"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45766703" w14:textId="77777777" w:rsidR="00E5323B" w:rsidRPr="00BE49D6" w:rsidRDefault="006871A3"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Projekts šo jomu neskar</w:t>
            </w:r>
          </w:p>
        </w:tc>
      </w:tr>
      <w:tr w:rsidR="00E5323B" w:rsidRPr="00BE49D6" w14:paraId="66A986C8" w14:textId="77777777" w:rsidTr="00B42C9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415A53B" w14:textId="77777777" w:rsidR="00655F2C"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3D7096A9" w14:textId="77777777" w:rsidR="00E5323B"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23509D26" w14:textId="77777777" w:rsidR="00E5323B" w:rsidRPr="00BE49D6" w:rsidRDefault="006871A3"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Nav</w:t>
            </w:r>
          </w:p>
        </w:tc>
      </w:tr>
    </w:tbl>
    <w:p w14:paraId="10A4878B" w14:textId="77777777" w:rsidR="00E5323B"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22615" w:rsidRPr="00BE49D6" w14:paraId="31771550" w14:textId="77777777" w:rsidTr="00BE114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F08DA8" w14:textId="77777777" w:rsidR="00022615" w:rsidRPr="00BE49D6" w:rsidRDefault="00022615" w:rsidP="00022615">
            <w:pPr>
              <w:spacing w:after="0" w:line="240" w:lineRule="auto"/>
              <w:jc w:val="center"/>
              <w:rPr>
                <w:rFonts w:ascii="Times New Roman" w:eastAsia="Times New Roman" w:hAnsi="Times New Roman" w:cs="Times New Roman"/>
                <w:b/>
                <w:bCs/>
                <w:iCs/>
                <w:sz w:val="24"/>
                <w:szCs w:val="24"/>
                <w:lang w:eastAsia="lv-LV"/>
              </w:rPr>
            </w:pPr>
            <w:r w:rsidRPr="00BE49D6">
              <w:rPr>
                <w:rFonts w:ascii="Times New Roman" w:eastAsia="Times New Roman" w:hAnsi="Times New Roman"/>
                <w:b/>
                <w:bCs/>
                <w:sz w:val="24"/>
                <w:szCs w:val="24"/>
                <w:lang w:eastAsia="lv-LV"/>
              </w:rPr>
              <w:t>III. Tiesību akta projekta ietekme uz valsts budžetu un pašvaldību budžetiem</w:t>
            </w:r>
          </w:p>
        </w:tc>
      </w:tr>
      <w:tr w:rsidR="00022615" w:rsidRPr="00BE49D6" w14:paraId="0CC36412" w14:textId="77777777" w:rsidTr="00BE114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796924" w14:textId="77777777" w:rsidR="00022615" w:rsidRPr="00BE49D6" w:rsidRDefault="00022615" w:rsidP="00BE1148">
            <w:pPr>
              <w:spacing w:after="0" w:line="240" w:lineRule="auto"/>
              <w:jc w:val="center"/>
              <w:rPr>
                <w:rFonts w:ascii="Times New Roman" w:eastAsia="Times New Roman" w:hAnsi="Times New Roman" w:cs="Times New Roman"/>
                <w:b/>
                <w:bCs/>
                <w:iCs/>
                <w:sz w:val="24"/>
                <w:szCs w:val="24"/>
                <w:lang w:eastAsia="lv-LV"/>
              </w:rPr>
            </w:pPr>
            <w:r w:rsidRPr="00BE49D6">
              <w:rPr>
                <w:rFonts w:ascii="Times New Roman" w:eastAsia="Times New Roman" w:hAnsi="Times New Roman"/>
                <w:bCs/>
                <w:sz w:val="24"/>
                <w:szCs w:val="24"/>
                <w:lang w:eastAsia="lv-LV"/>
              </w:rPr>
              <w:t>Projekts šo jomu neskar.</w:t>
            </w:r>
          </w:p>
        </w:tc>
      </w:tr>
    </w:tbl>
    <w:p w14:paraId="3EE2BFC9" w14:textId="77777777" w:rsidR="00022615" w:rsidRPr="00BE49D6" w:rsidRDefault="00022615"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BE49D6" w14:paraId="21576799"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E4532B" w14:textId="77777777" w:rsidR="00655F2C" w:rsidRPr="00BE49D6" w:rsidRDefault="00E5323B" w:rsidP="00E92136">
            <w:pPr>
              <w:spacing w:after="0" w:line="240" w:lineRule="auto"/>
              <w:jc w:val="center"/>
              <w:rPr>
                <w:rFonts w:ascii="Times New Roman" w:eastAsia="Times New Roman" w:hAnsi="Times New Roman" w:cs="Times New Roman"/>
                <w:b/>
                <w:bCs/>
                <w:iCs/>
                <w:sz w:val="24"/>
                <w:szCs w:val="24"/>
                <w:lang w:eastAsia="lv-LV"/>
              </w:rPr>
            </w:pPr>
            <w:r w:rsidRPr="00BE49D6">
              <w:rPr>
                <w:rFonts w:ascii="Times New Roman" w:eastAsia="Times New Roman" w:hAnsi="Times New Roman" w:cs="Times New Roman"/>
                <w:b/>
                <w:bCs/>
                <w:iCs/>
                <w:sz w:val="24"/>
                <w:szCs w:val="24"/>
                <w:lang w:eastAsia="lv-LV"/>
              </w:rPr>
              <w:t>IV. Tiesību akta projekta ietekme uz spēkā esošo tiesību normu sistēmu</w:t>
            </w:r>
          </w:p>
        </w:tc>
      </w:tr>
      <w:tr w:rsidR="00B42C92" w:rsidRPr="00BE49D6" w14:paraId="51268F60"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12E1D4B" w14:textId="77777777" w:rsidR="00B42C92" w:rsidRPr="00BE49D6" w:rsidRDefault="00B42C92" w:rsidP="00E92136">
            <w:pPr>
              <w:spacing w:after="0" w:line="240" w:lineRule="auto"/>
              <w:jc w:val="center"/>
              <w:rPr>
                <w:rFonts w:ascii="Times New Roman" w:eastAsia="Times New Roman" w:hAnsi="Times New Roman" w:cs="Times New Roman"/>
                <w:b/>
                <w:bCs/>
                <w:iCs/>
                <w:sz w:val="24"/>
                <w:szCs w:val="24"/>
                <w:lang w:eastAsia="lv-LV"/>
              </w:rPr>
            </w:pPr>
            <w:r w:rsidRPr="00BE49D6">
              <w:rPr>
                <w:rFonts w:ascii="Times New Roman" w:eastAsia="Times New Roman" w:hAnsi="Times New Roman"/>
                <w:bCs/>
                <w:sz w:val="24"/>
                <w:szCs w:val="24"/>
                <w:lang w:eastAsia="lv-LV"/>
              </w:rPr>
              <w:t>Projekts šo jomu neskar.</w:t>
            </w:r>
          </w:p>
        </w:tc>
      </w:tr>
    </w:tbl>
    <w:p w14:paraId="4F573A81" w14:textId="77777777" w:rsidR="00E5323B"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 xml:space="preserve">  </w:t>
      </w:r>
    </w:p>
    <w:tbl>
      <w:tblPr>
        <w:tblStyle w:val="TableGrid"/>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86"/>
        <w:gridCol w:w="3220"/>
        <w:gridCol w:w="5349"/>
      </w:tblGrid>
      <w:tr w:rsidR="002F4FF5" w:rsidRPr="00BE49D6" w14:paraId="33A7AED0" w14:textId="77777777" w:rsidTr="00865EB0">
        <w:trPr>
          <w:trHeight w:val="350"/>
          <w:tblCellSpacing w:w="20" w:type="dxa"/>
        </w:trPr>
        <w:tc>
          <w:tcPr>
            <w:tcW w:w="4957" w:type="pct"/>
            <w:gridSpan w:val="3"/>
          </w:tcPr>
          <w:p w14:paraId="606C3E87" w14:textId="77777777" w:rsidR="002F4FF5" w:rsidRPr="00BE49D6" w:rsidRDefault="002F4FF5" w:rsidP="00865EB0">
            <w:pPr>
              <w:spacing w:before="120" w:after="120"/>
              <w:jc w:val="center"/>
              <w:rPr>
                <w:sz w:val="24"/>
                <w:szCs w:val="24"/>
              </w:rPr>
            </w:pPr>
            <w:r w:rsidRPr="00BE49D6">
              <w:rPr>
                <w:b/>
                <w:sz w:val="24"/>
                <w:szCs w:val="24"/>
              </w:rPr>
              <w:t>V. Tiesību akta projekta atbilstība Latvijas Republikas starptautiskajām saistībām</w:t>
            </w:r>
          </w:p>
        </w:tc>
      </w:tr>
      <w:tr w:rsidR="002F4FF5" w:rsidRPr="00BE49D6" w14:paraId="2721D56C" w14:textId="77777777" w:rsidTr="00865EB0">
        <w:trPr>
          <w:tblCellSpacing w:w="20" w:type="dxa"/>
        </w:trPr>
        <w:tc>
          <w:tcPr>
            <w:tcW w:w="227" w:type="pct"/>
          </w:tcPr>
          <w:p w14:paraId="42EA3F5F" w14:textId="77777777" w:rsidR="002F4FF5" w:rsidRPr="00BE49D6" w:rsidRDefault="002F4FF5" w:rsidP="00865EB0">
            <w:pPr>
              <w:rPr>
                <w:sz w:val="24"/>
                <w:szCs w:val="24"/>
              </w:rPr>
            </w:pPr>
            <w:r w:rsidRPr="00BE49D6">
              <w:rPr>
                <w:sz w:val="24"/>
                <w:szCs w:val="24"/>
              </w:rPr>
              <w:t>1.</w:t>
            </w:r>
          </w:p>
        </w:tc>
        <w:tc>
          <w:tcPr>
            <w:tcW w:w="1778" w:type="pct"/>
          </w:tcPr>
          <w:p w14:paraId="2F8E093D" w14:textId="77777777" w:rsidR="002F4FF5" w:rsidRPr="00BE49D6" w:rsidRDefault="002F4FF5" w:rsidP="00865EB0">
            <w:pPr>
              <w:rPr>
                <w:sz w:val="24"/>
                <w:szCs w:val="24"/>
              </w:rPr>
            </w:pPr>
            <w:r w:rsidRPr="00BE49D6">
              <w:rPr>
                <w:sz w:val="24"/>
                <w:szCs w:val="24"/>
              </w:rPr>
              <w:t>Saistības pret Eiropas Savienību</w:t>
            </w:r>
          </w:p>
        </w:tc>
        <w:tc>
          <w:tcPr>
            <w:tcW w:w="2910" w:type="pct"/>
          </w:tcPr>
          <w:p w14:paraId="1BDA775C" w14:textId="38EFEC12" w:rsidR="002F4FF5" w:rsidRPr="00BE49D6" w:rsidRDefault="008C1ABE" w:rsidP="00BD444A">
            <w:pPr>
              <w:pStyle w:val="Title"/>
              <w:jc w:val="both"/>
              <w:rPr>
                <w:b w:val="0"/>
                <w:bCs/>
                <w:sz w:val="22"/>
                <w:szCs w:val="22"/>
              </w:rPr>
            </w:pPr>
            <w:r w:rsidRPr="00BE49D6">
              <w:rPr>
                <w:b w:val="0"/>
                <w:bCs/>
              </w:rPr>
              <w:t>Eiropas Parlamenta un Padomes 2012.gada 4.jūlija direktīva 2012/18/ES par lielu ar bīstamām vielām saistītu avāriju risku pārvaldību, ar kuru groza un vēlāk atceļ padomes Direktīvu 96/82/EK</w:t>
            </w:r>
          </w:p>
        </w:tc>
      </w:tr>
      <w:tr w:rsidR="002F4FF5" w:rsidRPr="00BE49D6" w14:paraId="572472DB" w14:textId="77777777" w:rsidTr="00865EB0">
        <w:trPr>
          <w:tblCellSpacing w:w="20" w:type="dxa"/>
        </w:trPr>
        <w:tc>
          <w:tcPr>
            <w:tcW w:w="227" w:type="pct"/>
          </w:tcPr>
          <w:p w14:paraId="58055145" w14:textId="77777777" w:rsidR="002F4FF5" w:rsidRPr="00BE49D6" w:rsidRDefault="002F4FF5" w:rsidP="00865EB0">
            <w:pPr>
              <w:rPr>
                <w:sz w:val="24"/>
                <w:szCs w:val="24"/>
              </w:rPr>
            </w:pPr>
            <w:r w:rsidRPr="00BE49D6">
              <w:rPr>
                <w:sz w:val="24"/>
                <w:szCs w:val="24"/>
              </w:rPr>
              <w:t>2.</w:t>
            </w:r>
          </w:p>
        </w:tc>
        <w:tc>
          <w:tcPr>
            <w:tcW w:w="1778" w:type="pct"/>
          </w:tcPr>
          <w:p w14:paraId="5F0BB761" w14:textId="77777777" w:rsidR="002F4FF5" w:rsidRPr="00BE49D6" w:rsidRDefault="002F4FF5" w:rsidP="00865EB0">
            <w:pPr>
              <w:rPr>
                <w:sz w:val="24"/>
                <w:szCs w:val="24"/>
              </w:rPr>
            </w:pPr>
            <w:r w:rsidRPr="00BE49D6">
              <w:rPr>
                <w:sz w:val="24"/>
                <w:szCs w:val="24"/>
              </w:rPr>
              <w:t>Citas starptautiskās saistības</w:t>
            </w:r>
          </w:p>
        </w:tc>
        <w:tc>
          <w:tcPr>
            <w:tcW w:w="2910" w:type="pct"/>
          </w:tcPr>
          <w:p w14:paraId="5F86F2FB" w14:textId="77777777" w:rsidR="002F4FF5" w:rsidRPr="00BE49D6" w:rsidRDefault="002F4FF5" w:rsidP="00865EB0">
            <w:pPr>
              <w:jc w:val="both"/>
              <w:rPr>
                <w:sz w:val="24"/>
                <w:szCs w:val="24"/>
              </w:rPr>
            </w:pPr>
            <w:r w:rsidRPr="00BE49D6">
              <w:rPr>
                <w:sz w:val="24"/>
                <w:szCs w:val="24"/>
              </w:rPr>
              <w:t>Nav.</w:t>
            </w:r>
          </w:p>
        </w:tc>
      </w:tr>
      <w:tr w:rsidR="002F4FF5" w:rsidRPr="00BE49D6" w14:paraId="4559286B" w14:textId="77777777" w:rsidTr="00865EB0">
        <w:trPr>
          <w:tblCellSpacing w:w="20" w:type="dxa"/>
        </w:trPr>
        <w:tc>
          <w:tcPr>
            <w:tcW w:w="227" w:type="pct"/>
          </w:tcPr>
          <w:p w14:paraId="2C571613" w14:textId="77777777" w:rsidR="002F4FF5" w:rsidRPr="00BE49D6" w:rsidRDefault="002F4FF5" w:rsidP="00865EB0">
            <w:pPr>
              <w:rPr>
                <w:sz w:val="24"/>
                <w:szCs w:val="24"/>
              </w:rPr>
            </w:pPr>
            <w:r w:rsidRPr="00BE49D6">
              <w:rPr>
                <w:sz w:val="24"/>
                <w:szCs w:val="24"/>
              </w:rPr>
              <w:t>3.</w:t>
            </w:r>
          </w:p>
        </w:tc>
        <w:tc>
          <w:tcPr>
            <w:tcW w:w="1778" w:type="pct"/>
          </w:tcPr>
          <w:p w14:paraId="23F69A91" w14:textId="77777777" w:rsidR="002F4FF5" w:rsidRPr="00BE49D6" w:rsidRDefault="002F4FF5" w:rsidP="00865EB0">
            <w:pPr>
              <w:rPr>
                <w:sz w:val="24"/>
                <w:szCs w:val="24"/>
              </w:rPr>
            </w:pPr>
            <w:r w:rsidRPr="00BE49D6">
              <w:rPr>
                <w:sz w:val="24"/>
                <w:szCs w:val="24"/>
              </w:rPr>
              <w:t>Cita informācija</w:t>
            </w:r>
          </w:p>
        </w:tc>
        <w:tc>
          <w:tcPr>
            <w:tcW w:w="2910" w:type="pct"/>
          </w:tcPr>
          <w:p w14:paraId="469460FA" w14:textId="77777777" w:rsidR="002F4FF5" w:rsidRPr="00BE49D6" w:rsidRDefault="002F4FF5" w:rsidP="00865EB0">
            <w:pPr>
              <w:rPr>
                <w:sz w:val="24"/>
                <w:szCs w:val="24"/>
              </w:rPr>
            </w:pPr>
            <w:r w:rsidRPr="00BE49D6">
              <w:rPr>
                <w:sz w:val="24"/>
                <w:szCs w:val="24"/>
              </w:rPr>
              <w:t>Nav.</w:t>
            </w:r>
          </w:p>
        </w:tc>
      </w:tr>
    </w:tbl>
    <w:p w14:paraId="0870634C" w14:textId="77777777" w:rsidR="002F4FF5" w:rsidRPr="00BE49D6" w:rsidRDefault="002F4FF5" w:rsidP="002F4FF5">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 xml:space="preserve">    </w:t>
      </w:r>
    </w:p>
    <w:tbl>
      <w:tblPr>
        <w:tblStyle w:val="TableGrid"/>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525"/>
        <w:gridCol w:w="2790"/>
        <w:gridCol w:w="1754"/>
        <w:gridCol w:w="2986"/>
      </w:tblGrid>
      <w:tr w:rsidR="002F4FF5" w:rsidRPr="00BE49D6" w14:paraId="7B6FC098" w14:textId="77777777" w:rsidTr="00865EB0">
        <w:trPr>
          <w:tblCellSpacing w:w="20" w:type="dxa"/>
          <w:jc w:val="center"/>
        </w:trPr>
        <w:tc>
          <w:tcPr>
            <w:tcW w:w="4956" w:type="pct"/>
            <w:gridSpan w:val="4"/>
          </w:tcPr>
          <w:p w14:paraId="5A9E0697" w14:textId="77777777" w:rsidR="002F4FF5" w:rsidRPr="00BE49D6" w:rsidRDefault="002F4FF5" w:rsidP="00865EB0">
            <w:pPr>
              <w:jc w:val="center"/>
              <w:rPr>
                <w:sz w:val="24"/>
                <w:szCs w:val="24"/>
              </w:rPr>
            </w:pPr>
            <w:r w:rsidRPr="00BE49D6">
              <w:rPr>
                <w:b/>
                <w:sz w:val="24"/>
                <w:szCs w:val="24"/>
              </w:rPr>
              <w:t>1. tabula</w:t>
            </w:r>
            <w:r w:rsidRPr="00BE49D6">
              <w:rPr>
                <w:b/>
                <w:sz w:val="24"/>
                <w:szCs w:val="24"/>
              </w:rPr>
              <w:br/>
              <w:t xml:space="preserve"> Tiesību akta projekta atbilstība ES tiesību aktiem</w:t>
            </w:r>
          </w:p>
        </w:tc>
      </w:tr>
      <w:tr w:rsidR="002F4FF5" w:rsidRPr="00BE49D6" w14:paraId="3953893A" w14:textId="77777777" w:rsidTr="001811F9">
        <w:trPr>
          <w:tblCellSpacing w:w="20" w:type="dxa"/>
          <w:jc w:val="center"/>
        </w:trPr>
        <w:tc>
          <w:tcPr>
            <w:tcW w:w="821" w:type="pct"/>
          </w:tcPr>
          <w:p w14:paraId="093C7D16" w14:textId="77777777" w:rsidR="002F4FF5" w:rsidRPr="00BE49D6" w:rsidRDefault="002F4FF5" w:rsidP="00865EB0">
            <w:pPr>
              <w:rPr>
                <w:sz w:val="24"/>
                <w:szCs w:val="24"/>
              </w:rPr>
            </w:pPr>
            <w:r w:rsidRPr="00BE49D6">
              <w:rPr>
                <w:sz w:val="24"/>
                <w:szCs w:val="24"/>
              </w:rPr>
              <w:t>Attiecīgā ES tiesību akta datums, numurs un nosaukums</w:t>
            </w:r>
          </w:p>
        </w:tc>
        <w:tc>
          <w:tcPr>
            <w:tcW w:w="4113" w:type="pct"/>
            <w:gridSpan w:val="3"/>
          </w:tcPr>
          <w:p w14:paraId="234F6E9F" w14:textId="6494B8BB" w:rsidR="002F4FF5" w:rsidRPr="00BE49D6" w:rsidRDefault="00200EC8" w:rsidP="00200EC8">
            <w:pPr>
              <w:jc w:val="both"/>
            </w:pPr>
            <w:r w:rsidRPr="00BE49D6">
              <w:rPr>
                <w:iCs/>
                <w:sz w:val="24"/>
                <w:szCs w:val="24"/>
              </w:rPr>
              <w:t>Eiropas Parlamenta un Padomes 2012. gada 4. jūnija Direktīvas 2012/18/ES par lielu ar bīstamām vielām saistītu avāriju risku pārvaldību, ar kuru groza un vēlāk atceļ Padomes Direktīvu 96/82/EK</w:t>
            </w:r>
          </w:p>
        </w:tc>
      </w:tr>
      <w:tr w:rsidR="00444A8F" w:rsidRPr="00BE49D6" w14:paraId="1BFF8383" w14:textId="77777777" w:rsidTr="001811F9">
        <w:trPr>
          <w:tblCellSpacing w:w="20" w:type="dxa"/>
          <w:jc w:val="center"/>
        </w:trPr>
        <w:tc>
          <w:tcPr>
            <w:tcW w:w="821" w:type="pct"/>
          </w:tcPr>
          <w:p w14:paraId="54C44A24" w14:textId="77777777" w:rsidR="002F4FF5" w:rsidRPr="00BE49D6" w:rsidRDefault="002F4FF5" w:rsidP="00865EB0">
            <w:pPr>
              <w:spacing w:before="100" w:beforeAutospacing="1" w:after="100" w:afterAutospacing="1"/>
              <w:rPr>
                <w:sz w:val="24"/>
                <w:szCs w:val="24"/>
              </w:rPr>
            </w:pPr>
            <w:r w:rsidRPr="00BE49D6">
              <w:rPr>
                <w:sz w:val="24"/>
                <w:szCs w:val="24"/>
              </w:rPr>
              <w:t>A</w:t>
            </w:r>
          </w:p>
        </w:tc>
        <w:tc>
          <w:tcPr>
            <w:tcW w:w="1539" w:type="pct"/>
          </w:tcPr>
          <w:p w14:paraId="095D1947" w14:textId="77777777" w:rsidR="002F4FF5" w:rsidRPr="00BE49D6" w:rsidRDefault="002F4FF5" w:rsidP="00865EB0">
            <w:pPr>
              <w:spacing w:before="100" w:beforeAutospacing="1" w:after="100" w:afterAutospacing="1"/>
              <w:rPr>
                <w:sz w:val="24"/>
                <w:szCs w:val="24"/>
              </w:rPr>
            </w:pPr>
            <w:r w:rsidRPr="00BE49D6">
              <w:rPr>
                <w:sz w:val="24"/>
                <w:szCs w:val="24"/>
              </w:rPr>
              <w:t>B</w:t>
            </w:r>
          </w:p>
        </w:tc>
        <w:tc>
          <w:tcPr>
            <w:tcW w:w="959" w:type="pct"/>
          </w:tcPr>
          <w:p w14:paraId="539F763C" w14:textId="77777777" w:rsidR="002F4FF5" w:rsidRPr="00BE49D6" w:rsidRDefault="002F4FF5" w:rsidP="00865EB0">
            <w:pPr>
              <w:spacing w:before="100" w:beforeAutospacing="1" w:after="100" w:afterAutospacing="1"/>
              <w:rPr>
                <w:sz w:val="24"/>
                <w:szCs w:val="24"/>
              </w:rPr>
            </w:pPr>
            <w:r w:rsidRPr="00BE49D6">
              <w:rPr>
                <w:sz w:val="24"/>
                <w:szCs w:val="24"/>
              </w:rPr>
              <w:t>C</w:t>
            </w:r>
          </w:p>
        </w:tc>
        <w:tc>
          <w:tcPr>
            <w:tcW w:w="1570" w:type="pct"/>
          </w:tcPr>
          <w:p w14:paraId="2787B38A" w14:textId="77777777" w:rsidR="002F4FF5" w:rsidRPr="00BE49D6" w:rsidRDefault="002F4FF5" w:rsidP="00865EB0">
            <w:pPr>
              <w:spacing w:before="100" w:beforeAutospacing="1" w:after="100" w:afterAutospacing="1"/>
              <w:rPr>
                <w:sz w:val="24"/>
                <w:szCs w:val="24"/>
              </w:rPr>
            </w:pPr>
            <w:r w:rsidRPr="00BE49D6">
              <w:rPr>
                <w:sz w:val="24"/>
                <w:szCs w:val="24"/>
              </w:rPr>
              <w:t>D</w:t>
            </w:r>
          </w:p>
        </w:tc>
      </w:tr>
      <w:tr w:rsidR="00444A8F" w:rsidRPr="00BE49D6" w14:paraId="78E0C784" w14:textId="77777777" w:rsidTr="001811F9">
        <w:trPr>
          <w:tblCellSpacing w:w="20" w:type="dxa"/>
          <w:jc w:val="center"/>
        </w:trPr>
        <w:tc>
          <w:tcPr>
            <w:tcW w:w="821" w:type="pct"/>
          </w:tcPr>
          <w:p w14:paraId="3464EBEB" w14:textId="77777777" w:rsidR="002F4FF5" w:rsidRPr="00BE49D6" w:rsidRDefault="002F4FF5" w:rsidP="00865EB0">
            <w:pPr>
              <w:rPr>
                <w:sz w:val="24"/>
                <w:szCs w:val="24"/>
              </w:rPr>
            </w:pPr>
            <w:r w:rsidRPr="00BE49D6">
              <w:rPr>
                <w:sz w:val="24"/>
                <w:szCs w:val="24"/>
              </w:rPr>
              <w:t xml:space="preserve">Attiecīgā ES tiesību akta panta numurs </w:t>
            </w:r>
          </w:p>
        </w:tc>
        <w:tc>
          <w:tcPr>
            <w:tcW w:w="1539" w:type="pct"/>
          </w:tcPr>
          <w:p w14:paraId="1EBB5A1C" w14:textId="77777777" w:rsidR="002F4FF5" w:rsidRPr="00BE49D6" w:rsidRDefault="002F4FF5" w:rsidP="00865EB0">
            <w:pPr>
              <w:rPr>
                <w:sz w:val="24"/>
                <w:szCs w:val="24"/>
              </w:rPr>
            </w:pPr>
            <w:r w:rsidRPr="00BE49D6">
              <w:rPr>
                <w:sz w:val="24"/>
                <w:szCs w:val="24"/>
              </w:rPr>
              <w:t xml:space="preserve">Projekta vienība, kas pārņem vai ievieš katru šīs tabulas A ailē minēto ES tiesību akta vienību, vai tiesību akts, kur attiecīgā ES tiesību akta </w:t>
            </w:r>
            <w:r w:rsidRPr="00BE49D6">
              <w:rPr>
                <w:sz w:val="24"/>
                <w:szCs w:val="24"/>
              </w:rPr>
              <w:lastRenderedPageBreak/>
              <w:t>vienība pārņemta vai ieviesta</w:t>
            </w:r>
          </w:p>
        </w:tc>
        <w:tc>
          <w:tcPr>
            <w:tcW w:w="959" w:type="pct"/>
          </w:tcPr>
          <w:p w14:paraId="147C9F71" w14:textId="77777777" w:rsidR="002F4FF5" w:rsidRPr="00BE49D6" w:rsidRDefault="002F4FF5" w:rsidP="00865EB0">
            <w:pPr>
              <w:rPr>
                <w:sz w:val="24"/>
                <w:szCs w:val="24"/>
              </w:rPr>
            </w:pPr>
            <w:r w:rsidRPr="00BE49D6">
              <w:rPr>
                <w:sz w:val="24"/>
                <w:szCs w:val="24"/>
              </w:rPr>
              <w:lastRenderedPageBreak/>
              <w:t xml:space="preserve">Informācija par to, vai šīs tabulas A ailē minētās ES tiesību akta vienības tiek </w:t>
            </w:r>
            <w:r w:rsidRPr="00BE49D6">
              <w:rPr>
                <w:sz w:val="24"/>
                <w:szCs w:val="24"/>
              </w:rPr>
              <w:lastRenderedPageBreak/>
              <w:t>pārņemtas vai ieviestas pilnībā vai daļēji.</w:t>
            </w:r>
          </w:p>
          <w:p w14:paraId="0BFD7F88" w14:textId="77777777" w:rsidR="002F4FF5" w:rsidRPr="00BE49D6" w:rsidRDefault="002F4FF5" w:rsidP="00865EB0">
            <w:pPr>
              <w:rPr>
                <w:sz w:val="24"/>
                <w:szCs w:val="24"/>
              </w:rPr>
            </w:pPr>
            <w:r w:rsidRPr="00BE49D6">
              <w:rPr>
                <w:sz w:val="24"/>
                <w:szCs w:val="24"/>
              </w:rPr>
              <w:t>Ja attiecīgā ES tiesību akta vienība tiek pārņemta vai ieviesta daļēji, sniedz attiecīgu skaidrojumu, kā arī precīzi norāda, kad un kādā veidā ES tiesību akta vienība tiks pārņemta vai ieviesta pilnībā.</w:t>
            </w:r>
          </w:p>
          <w:p w14:paraId="171230D7" w14:textId="77777777" w:rsidR="002F4FF5" w:rsidRPr="00BE49D6" w:rsidRDefault="002F4FF5" w:rsidP="00865EB0">
            <w:pPr>
              <w:rPr>
                <w:sz w:val="24"/>
                <w:szCs w:val="24"/>
              </w:rPr>
            </w:pPr>
            <w:r w:rsidRPr="00BE49D6">
              <w:rPr>
                <w:sz w:val="24"/>
                <w:szCs w:val="24"/>
              </w:rPr>
              <w:t>Norāda institūciju, kas ir atbildīga par šo saistību izpildi pilnībā</w:t>
            </w:r>
          </w:p>
        </w:tc>
        <w:tc>
          <w:tcPr>
            <w:tcW w:w="1570" w:type="pct"/>
          </w:tcPr>
          <w:p w14:paraId="2FE876EE" w14:textId="77777777" w:rsidR="002F4FF5" w:rsidRPr="00BE49D6" w:rsidRDefault="002F4FF5" w:rsidP="00865EB0">
            <w:pPr>
              <w:rPr>
                <w:sz w:val="24"/>
                <w:szCs w:val="24"/>
              </w:rPr>
            </w:pPr>
            <w:r w:rsidRPr="00BE49D6">
              <w:rPr>
                <w:sz w:val="24"/>
                <w:szCs w:val="24"/>
              </w:rPr>
              <w:lastRenderedPageBreak/>
              <w:t>Informācija par to, vai šīs tabulas B ailē minētās projekta vienības paredz stingrākas prasības nekā šīs tabulas A ailē minētās ES tiesību akta vienības.</w:t>
            </w:r>
          </w:p>
          <w:p w14:paraId="0427659A" w14:textId="77777777" w:rsidR="002F4FF5" w:rsidRPr="00BE49D6" w:rsidRDefault="002F4FF5" w:rsidP="00865EB0">
            <w:pPr>
              <w:rPr>
                <w:sz w:val="24"/>
                <w:szCs w:val="24"/>
              </w:rPr>
            </w:pPr>
            <w:r w:rsidRPr="00BE49D6">
              <w:rPr>
                <w:sz w:val="24"/>
                <w:szCs w:val="24"/>
              </w:rPr>
              <w:lastRenderedPageBreak/>
              <w:t>Ja projekts satur stingrākas prasības nekā attiecīgais ES tiesību akts, norāda pamatojumu un samērīgumu.</w:t>
            </w:r>
          </w:p>
          <w:p w14:paraId="76716FF3" w14:textId="77777777" w:rsidR="002F4FF5" w:rsidRPr="00BE49D6" w:rsidRDefault="002F4FF5" w:rsidP="00865EB0">
            <w:pPr>
              <w:rPr>
                <w:sz w:val="24"/>
                <w:szCs w:val="24"/>
              </w:rPr>
            </w:pPr>
            <w:r w:rsidRPr="00BE49D6">
              <w:rPr>
                <w:sz w:val="24"/>
                <w:szCs w:val="24"/>
              </w:rPr>
              <w:t>Norāda iespējamās alternatīvas (t.sk. alternatīvas, kas neparedz tiesiskā regulējuma izstrādi) – kādos gadījumos būtu iespējams izvairīties no stingrāku prasību noteikšanas, nekā paredzēts attiecīgajos Eiropas Savienības tiesību aktos.</w:t>
            </w:r>
          </w:p>
        </w:tc>
      </w:tr>
      <w:tr w:rsidR="00444A8F" w:rsidRPr="00BE49D6" w14:paraId="1D083441" w14:textId="77777777" w:rsidTr="001811F9">
        <w:trPr>
          <w:tblCellSpacing w:w="20" w:type="dxa"/>
          <w:jc w:val="center"/>
        </w:trPr>
        <w:tc>
          <w:tcPr>
            <w:tcW w:w="821" w:type="pct"/>
          </w:tcPr>
          <w:p w14:paraId="5F354BEF" w14:textId="073A526F" w:rsidR="002F4FF5" w:rsidRPr="00BE49D6" w:rsidRDefault="008C7A54" w:rsidP="00402C8C">
            <w:pPr>
              <w:spacing w:before="120" w:after="120"/>
              <w:rPr>
                <w:sz w:val="24"/>
                <w:szCs w:val="24"/>
              </w:rPr>
            </w:pPr>
            <w:r>
              <w:rPr>
                <w:rStyle w:val="Strong"/>
                <w:b w:val="0"/>
                <w:sz w:val="24"/>
                <w:szCs w:val="24"/>
              </w:rPr>
              <w:lastRenderedPageBreak/>
              <w:t>3</w:t>
            </w:r>
            <w:r w:rsidR="006D48A8" w:rsidRPr="00BE49D6">
              <w:rPr>
                <w:rStyle w:val="Strong"/>
                <w:b w:val="0"/>
                <w:sz w:val="24"/>
                <w:szCs w:val="24"/>
              </w:rPr>
              <w:t xml:space="preserve">. panta </w:t>
            </w:r>
            <w:r w:rsidR="003D14C8">
              <w:rPr>
                <w:rStyle w:val="Strong"/>
                <w:b w:val="0"/>
                <w:sz w:val="24"/>
                <w:szCs w:val="24"/>
              </w:rPr>
              <w:t>5</w:t>
            </w:r>
            <w:r w:rsidR="006D48A8" w:rsidRPr="00BE49D6">
              <w:rPr>
                <w:rStyle w:val="Strong"/>
                <w:b w:val="0"/>
                <w:sz w:val="24"/>
                <w:szCs w:val="24"/>
              </w:rPr>
              <w:t>. punkt</w:t>
            </w:r>
            <w:r w:rsidR="003D14C8">
              <w:rPr>
                <w:rStyle w:val="Strong"/>
                <w:b w:val="0"/>
                <w:sz w:val="24"/>
                <w:szCs w:val="24"/>
              </w:rPr>
              <w:t>s</w:t>
            </w:r>
          </w:p>
        </w:tc>
        <w:tc>
          <w:tcPr>
            <w:tcW w:w="1539" w:type="pct"/>
          </w:tcPr>
          <w:p w14:paraId="1AAEF2A8" w14:textId="3650F101" w:rsidR="002F4FF5" w:rsidRPr="00BE49D6" w:rsidRDefault="00DD4B64" w:rsidP="00DD4B64">
            <w:pPr>
              <w:spacing w:before="100" w:beforeAutospacing="1" w:after="100" w:afterAutospacing="1"/>
              <w:rPr>
                <w:sz w:val="24"/>
                <w:szCs w:val="24"/>
              </w:rPr>
            </w:pPr>
            <w:r w:rsidRPr="00BE49D6">
              <w:rPr>
                <w:sz w:val="24"/>
                <w:szCs w:val="24"/>
              </w:rPr>
              <w:t xml:space="preserve">Noteikumu projekta </w:t>
            </w:r>
            <w:r w:rsidR="006921BD">
              <w:rPr>
                <w:sz w:val="24"/>
                <w:szCs w:val="24"/>
              </w:rPr>
              <w:t>4</w:t>
            </w:r>
            <w:r w:rsidRPr="00BE49D6">
              <w:rPr>
                <w:sz w:val="24"/>
                <w:szCs w:val="24"/>
              </w:rPr>
              <w:t>. punkts</w:t>
            </w:r>
          </w:p>
        </w:tc>
        <w:tc>
          <w:tcPr>
            <w:tcW w:w="959" w:type="pct"/>
          </w:tcPr>
          <w:p w14:paraId="449FE0E9" w14:textId="77777777" w:rsidR="002F4FF5" w:rsidRPr="00BE49D6" w:rsidRDefault="00183F12" w:rsidP="00865EB0">
            <w:pPr>
              <w:spacing w:before="100" w:beforeAutospacing="1" w:after="100" w:afterAutospacing="1"/>
              <w:rPr>
                <w:sz w:val="24"/>
                <w:szCs w:val="24"/>
              </w:rPr>
            </w:pPr>
            <w:r w:rsidRPr="00BE49D6">
              <w:rPr>
                <w:sz w:val="24"/>
                <w:szCs w:val="24"/>
              </w:rPr>
              <w:t>Pārņemts pilnībā</w:t>
            </w:r>
          </w:p>
        </w:tc>
        <w:tc>
          <w:tcPr>
            <w:tcW w:w="1570" w:type="pct"/>
          </w:tcPr>
          <w:p w14:paraId="4484283B" w14:textId="77777777" w:rsidR="002F4FF5" w:rsidRPr="00BE49D6" w:rsidRDefault="006D48A8" w:rsidP="00865EB0">
            <w:pPr>
              <w:rPr>
                <w:sz w:val="24"/>
                <w:szCs w:val="24"/>
              </w:rPr>
            </w:pPr>
            <w:r w:rsidRPr="00BE49D6">
              <w:rPr>
                <w:sz w:val="24"/>
                <w:szCs w:val="24"/>
              </w:rPr>
              <w:t>Neparedz stingrākas prasības.</w:t>
            </w:r>
          </w:p>
        </w:tc>
      </w:tr>
      <w:tr w:rsidR="00183F12" w:rsidRPr="00BE49D6" w14:paraId="08DBC007" w14:textId="77777777" w:rsidTr="001811F9">
        <w:trPr>
          <w:tblCellSpacing w:w="20" w:type="dxa"/>
          <w:jc w:val="center"/>
        </w:trPr>
        <w:tc>
          <w:tcPr>
            <w:tcW w:w="821" w:type="pct"/>
          </w:tcPr>
          <w:p w14:paraId="5EC96CC4" w14:textId="221F9ABA" w:rsidR="00183F12" w:rsidRPr="00BE49D6" w:rsidRDefault="00E05764" w:rsidP="00183F12">
            <w:pPr>
              <w:spacing w:before="120" w:after="120"/>
              <w:rPr>
                <w:sz w:val="24"/>
                <w:szCs w:val="24"/>
              </w:rPr>
            </w:pPr>
            <w:r>
              <w:rPr>
                <w:rStyle w:val="Strong"/>
                <w:b w:val="0"/>
                <w:sz w:val="24"/>
                <w:szCs w:val="24"/>
              </w:rPr>
              <w:t>3</w:t>
            </w:r>
            <w:r w:rsidR="00183F12" w:rsidRPr="00BE49D6">
              <w:rPr>
                <w:rStyle w:val="Strong"/>
                <w:b w:val="0"/>
                <w:sz w:val="24"/>
                <w:szCs w:val="24"/>
              </w:rPr>
              <w:t xml:space="preserve">. panta </w:t>
            </w:r>
            <w:r>
              <w:rPr>
                <w:rStyle w:val="Strong"/>
                <w:b w:val="0"/>
                <w:sz w:val="24"/>
                <w:szCs w:val="24"/>
              </w:rPr>
              <w:t>6</w:t>
            </w:r>
            <w:r w:rsidR="00183F12" w:rsidRPr="00BE49D6">
              <w:rPr>
                <w:rStyle w:val="Strong"/>
                <w:b w:val="0"/>
                <w:sz w:val="24"/>
                <w:szCs w:val="24"/>
              </w:rPr>
              <w:t>. punkts</w:t>
            </w:r>
          </w:p>
        </w:tc>
        <w:tc>
          <w:tcPr>
            <w:tcW w:w="1539" w:type="pct"/>
          </w:tcPr>
          <w:p w14:paraId="705E7C28" w14:textId="321884D3" w:rsidR="00183F12" w:rsidRPr="00BE49D6" w:rsidRDefault="00183F12" w:rsidP="00183F12">
            <w:pPr>
              <w:spacing w:before="100" w:beforeAutospacing="1" w:after="100" w:afterAutospacing="1"/>
              <w:rPr>
                <w:sz w:val="24"/>
                <w:szCs w:val="24"/>
              </w:rPr>
            </w:pPr>
            <w:r w:rsidRPr="00BE49D6">
              <w:rPr>
                <w:sz w:val="24"/>
                <w:szCs w:val="24"/>
              </w:rPr>
              <w:t xml:space="preserve">Noteikumu projekta </w:t>
            </w:r>
            <w:r w:rsidR="00A5698A">
              <w:rPr>
                <w:sz w:val="24"/>
                <w:szCs w:val="24"/>
              </w:rPr>
              <w:t>2</w:t>
            </w:r>
            <w:r w:rsidR="00A5698A" w:rsidRPr="00BE49D6">
              <w:rPr>
                <w:sz w:val="24"/>
                <w:szCs w:val="24"/>
              </w:rPr>
              <w:t>. </w:t>
            </w:r>
            <w:r w:rsidRPr="00BE49D6">
              <w:rPr>
                <w:sz w:val="24"/>
                <w:szCs w:val="24"/>
              </w:rPr>
              <w:t>punkts</w:t>
            </w:r>
          </w:p>
        </w:tc>
        <w:tc>
          <w:tcPr>
            <w:tcW w:w="959" w:type="pct"/>
          </w:tcPr>
          <w:p w14:paraId="73CE0C61" w14:textId="77777777" w:rsidR="00183F12" w:rsidRPr="00BE49D6" w:rsidRDefault="00183F12" w:rsidP="00183F12">
            <w:pPr>
              <w:spacing w:before="100" w:beforeAutospacing="1" w:after="100" w:afterAutospacing="1"/>
              <w:rPr>
                <w:sz w:val="24"/>
                <w:szCs w:val="24"/>
              </w:rPr>
            </w:pPr>
            <w:r w:rsidRPr="00BE49D6">
              <w:rPr>
                <w:sz w:val="24"/>
                <w:szCs w:val="24"/>
              </w:rPr>
              <w:t>Pārņemts pilnībā</w:t>
            </w:r>
          </w:p>
        </w:tc>
        <w:tc>
          <w:tcPr>
            <w:tcW w:w="1570" w:type="pct"/>
          </w:tcPr>
          <w:p w14:paraId="42BDDD33" w14:textId="77777777" w:rsidR="00183F12" w:rsidRPr="00BE49D6" w:rsidRDefault="00183F12" w:rsidP="00183F12">
            <w:r w:rsidRPr="00BE49D6">
              <w:rPr>
                <w:sz w:val="24"/>
                <w:szCs w:val="24"/>
              </w:rPr>
              <w:t>Neparedz stingrākas prasības.</w:t>
            </w:r>
          </w:p>
        </w:tc>
      </w:tr>
      <w:tr w:rsidR="00183F12" w:rsidRPr="00C065D9" w14:paraId="0E415C17" w14:textId="77777777" w:rsidTr="001811F9">
        <w:trPr>
          <w:tblCellSpacing w:w="20" w:type="dxa"/>
          <w:jc w:val="center"/>
        </w:trPr>
        <w:tc>
          <w:tcPr>
            <w:tcW w:w="821" w:type="pct"/>
          </w:tcPr>
          <w:p w14:paraId="71627F7E" w14:textId="432C1099" w:rsidR="00183F12" w:rsidRPr="00C065D9" w:rsidRDefault="00C065D9" w:rsidP="00183F12">
            <w:pPr>
              <w:spacing w:before="120" w:after="120"/>
              <w:rPr>
                <w:sz w:val="24"/>
                <w:szCs w:val="24"/>
              </w:rPr>
            </w:pPr>
            <w:r w:rsidRPr="00C065D9">
              <w:rPr>
                <w:rStyle w:val="Strong"/>
                <w:b w:val="0"/>
                <w:sz w:val="24"/>
                <w:szCs w:val="24"/>
              </w:rPr>
              <w:t>3</w:t>
            </w:r>
            <w:r w:rsidR="00183F12" w:rsidRPr="00C065D9">
              <w:rPr>
                <w:rStyle w:val="Strong"/>
                <w:b w:val="0"/>
                <w:sz w:val="24"/>
                <w:szCs w:val="24"/>
              </w:rPr>
              <w:t xml:space="preserve">. panta </w:t>
            </w:r>
            <w:r w:rsidRPr="00C065D9">
              <w:rPr>
                <w:rStyle w:val="Strong"/>
                <w:b w:val="0"/>
                <w:sz w:val="24"/>
                <w:szCs w:val="24"/>
              </w:rPr>
              <w:t>7</w:t>
            </w:r>
            <w:r w:rsidR="00183F12" w:rsidRPr="00C065D9">
              <w:rPr>
                <w:rStyle w:val="Strong"/>
                <w:b w:val="0"/>
                <w:sz w:val="24"/>
                <w:szCs w:val="24"/>
              </w:rPr>
              <w:t>. punkts</w:t>
            </w:r>
          </w:p>
        </w:tc>
        <w:tc>
          <w:tcPr>
            <w:tcW w:w="1539" w:type="pct"/>
          </w:tcPr>
          <w:p w14:paraId="6AC1F264" w14:textId="33B913E4" w:rsidR="00183F12" w:rsidRPr="00C065D9" w:rsidRDefault="00183F12" w:rsidP="00183F12">
            <w:pPr>
              <w:spacing w:before="100" w:beforeAutospacing="1" w:after="100" w:afterAutospacing="1"/>
              <w:rPr>
                <w:sz w:val="24"/>
                <w:szCs w:val="24"/>
              </w:rPr>
            </w:pPr>
            <w:r w:rsidRPr="00C065D9">
              <w:rPr>
                <w:sz w:val="24"/>
                <w:szCs w:val="24"/>
              </w:rPr>
              <w:t xml:space="preserve">Noteikumu projekta </w:t>
            </w:r>
            <w:r w:rsidR="00523A9C">
              <w:rPr>
                <w:sz w:val="24"/>
                <w:szCs w:val="24"/>
              </w:rPr>
              <w:t xml:space="preserve">1. un </w:t>
            </w:r>
            <w:r w:rsidR="00D95A39">
              <w:rPr>
                <w:sz w:val="24"/>
                <w:szCs w:val="24"/>
              </w:rPr>
              <w:t>8</w:t>
            </w:r>
            <w:r w:rsidR="00504A7E">
              <w:rPr>
                <w:sz w:val="24"/>
                <w:szCs w:val="24"/>
              </w:rPr>
              <w:t>. punkts</w:t>
            </w:r>
          </w:p>
        </w:tc>
        <w:tc>
          <w:tcPr>
            <w:tcW w:w="959" w:type="pct"/>
          </w:tcPr>
          <w:p w14:paraId="2D7CDCA4" w14:textId="77777777" w:rsidR="00183F12" w:rsidRPr="00C065D9" w:rsidRDefault="00183F12" w:rsidP="00183F12">
            <w:pPr>
              <w:spacing w:before="100" w:beforeAutospacing="1" w:after="100" w:afterAutospacing="1"/>
              <w:rPr>
                <w:sz w:val="24"/>
                <w:szCs w:val="24"/>
              </w:rPr>
            </w:pPr>
            <w:r w:rsidRPr="00C065D9">
              <w:rPr>
                <w:sz w:val="24"/>
                <w:szCs w:val="24"/>
              </w:rPr>
              <w:t>Pārņemts pilnībā</w:t>
            </w:r>
          </w:p>
        </w:tc>
        <w:tc>
          <w:tcPr>
            <w:tcW w:w="1570" w:type="pct"/>
          </w:tcPr>
          <w:p w14:paraId="2A295227" w14:textId="77777777" w:rsidR="00183F12" w:rsidRPr="00C065D9" w:rsidRDefault="00183F12" w:rsidP="00183F12">
            <w:pPr>
              <w:rPr>
                <w:sz w:val="24"/>
                <w:szCs w:val="24"/>
              </w:rPr>
            </w:pPr>
            <w:r w:rsidRPr="00C065D9">
              <w:rPr>
                <w:sz w:val="24"/>
                <w:szCs w:val="24"/>
              </w:rPr>
              <w:t>Neparedz stingrākas prasības.</w:t>
            </w:r>
          </w:p>
        </w:tc>
      </w:tr>
      <w:tr w:rsidR="00C065D9" w:rsidRPr="00BE49D6" w14:paraId="66872E79" w14:textId="77777777" w:rsidTr="001811F9">
        <w:trPr>
          <w:tblCellSpacing w:w="20" w:type="dxa"/>
          <w:jc w:val="center"/>
        </w:trPr>
        <w:tc>
          <w:tcPr>
            <w:tcW w:w="821" w:type="pct"/>
          </w:tcPr>
          <w:p w14:paraId="7C76A17D" w14:textId="6C91B2E5" w:rsidR="00C065D9" w:rsidRPr="00BE49D6" w:rsidRDefault="00C065D9" w:rsidP="00C065D9">
            <w:pPr>
              <w:spacing w:before="120" w:after="120"/>
              <w:rPr>
                <w:sz w:val="24"/>
                <w:szCs w:val="24"/>
              </w:rPr>
            </w:pPr>
            <w:r w:rsidRPr="00C065D9">
              <w:rPr>
                <w:rStyle w:val="Strong"/>
                <w:b w:val="0"/>
                <w:sz w:val="24"/>
                <w:szCs w:val="24"/>
              </w:rPr>
              <w:t xml:space="preserve">3. panta </w:t>
            </w:r>
            <w:r>
              <w:rPr>
                <w:rStyle w:val="Strong"/>
                <w:b w:val="0"/>
                <w:sz w:val="24"/>
                <w:szCs w:val="24"/>
              </w:rPr>
              <w:t>19</w:t>
            </w:r>
            <w:r w:rsidRPr="00C065D9">
              <w:rPr>
                <w:rStyle w:val="Strong"/>
                <w:b w:val="0"/>
                <w:sz w:val="24"/>
                <w:szCs w:val="24"/>
              </w:rPr>
              <w:t>. punkts</w:t>
            </w:r>
          </w:p>
        </w:tc>
        <w:tc>
          <w:tcPr>
            <w:tcW w:w="1539" w:type="pct"/>
          </w:tcPr>
          <w:p w14:paraId="6E1E2F05" w14:textId="7362A6E3" w:rsidR="00C065D9" w:rsidRPr="00BE49D6" w:rsidRDefault="00C065D9" w:rsidP="00C065D9">
            <w:pPr>
              <w:spacing w:before="100" w:beforeAutospacing="1" w:after="100" w:afterAutospacing="1"/>
              <w:rPr>
                <w:sz w:val="24"/>
                <w:szCs w:val="24"/>
              </w:rPr>
            </w:pPr>
            <w:r w:rsidRPr="00C065D9">
              <w:rPr>
                <w:sz w:val="24"/>
                <w:szCs w:val="24"/>
              </w:rPr>
              <w:t xml:space="preserve">Noteikumu projekta </w:t>
            </w:r>
            <w:r w:rsidR="008F7B3D">
              <w:rPr>
                <w:sz w:val="24"/>
                <w:szCs w:val="24"/>
              </w:rPr>
              <w:t xml:space="preserve">3. un </w:t>
            </w:r>
            <w:r w:rsidR="004320C4">
              <w:rPr>
                <w:sz w:val="24"/>
                <w:szCs w:val="24"/>
              </w:rPr>
              <w:t>5</w:t>
            </w:r>
            <w:r w:rsidR="005953A8">
              <w:rPr>
                <w:sz w:val="24"/>
                <w:szCs w:val="24"/>
              </w:rPr>
              <w:t xml:space="preserve">. </w:t>
            </w:r>
            <w:r w:rsidRPr="00C065D9">
              <w:rPr>
                <w:sz w:val="24"/>
                <w:szCs w:val="24"/>
              </w:rPr>
              <w:t>punkts</w:t>
            </w:r>
          </w:p>
        </w:tc>
        <w:tc>
          <w:tcPr>
            <w:tcW w:w="959" w:type="pct"/>
          </w:tcPr>
          <w:p w14:paraId="16FEC157" w14:textId="77777777" w:rsidR="00C065D9" w:rsidRPr="00BE49D6" w:rsidRDefault="00C065D9" w:rsidP="00C065D9">
            <w:pPr>
              <w:spacing w:before="100" w:beforeAutospacing="1" w:after="100" w:afterAutospacing="1"/>
              <w:rPr>
                <w:sz w:val="24"/>
                <w:szCs w:val="24"/>
              </w:rPr>
            </w:pPr>
            <w:r w:rsidRPr="00BE49D6">
              <w:rPr>
                <w:sz w:val="24"/>
                <w:szCs w:val="24"/>
              </w:rPr>
              <w:t>Pārņemts pilnībā</w:t>
            </w:r>
          </w:p>
        </w:tc>
        <w:tc>
          <w:tcPr>
            <w:tcW w:w="1570" w:type="pct"/>
          </w:tcPr>
          <w:p w14:paraId="464BD716" w14:textId="77777777" w:rsidR="00C065D9" w:rsidRPr="00BE49D6" w:rsidRDefault="00C065D9" w:rsidP="00C065D9">
            <w:r w:rsidRPr="00BE49D6">
              <w:rPr>
                <w:sz w:val="24"/>
                <w:szCs w:val="24"/>
              </w:rPr>
              <w:t>Neparedz stingrākas prasības.</w:t>
            </w:r>
          </w:p>
        </w:tc>
      </w:tr>
      <w:tr w:rsidR="008A7B78" w:rsidRPr="007020D5" w14:paraId="3098887C" w14:textId="77777777" w:rsidTr="001811F9">
        <w:trPr>
          <w:tblCellSpacing w:w="20" w:type="dxa"/>
          <w:jc w:val="center"/>
        </w:trPr>
        <w:tc>
          <w:tcPr>
            <w:tcW w:w="821" w:type="pct"/>
          </w:tcPr>
          <w:p w14:paraId="36C7918A" w14:textId="4612D0E7" w:rsidR="008A7B78" w:rsidRPr="007020D5" w:rsidRDefault="008A7B78" w:rsidP="00B1020F">
            <w:pPr>
              <w:spacing w:before="120" w:after="120"/>
              <w:rPr>
                <w:sz w:val="24"/>
                <w:szCs w:val="24"/>
              </w:rPr>
            </w:pPr>
            <w:r w:rsidRPr="007020D5">
              <w:rPr>
                <w:rStyle w:val="Strong"/>
                <w:b w:val="0"/>
                <w:sz w:val="24"/>
                <w:szCs w:val="24"/>
              </w:rPr>
              <w:t>12. panta 5. punkts</w:t>
            </w:r>
          </w:p>
        </w:tc>
        <w:tc>
          <w:tcPr>
            <w:tcW w:w="1539" w:type="pct"/>
          </w:tcPr>
          <w:p w14:paraId="2127337A" w14:textId="07378B8B" w:rsidR="008A7B78" w:rsidRPr="007020D5" w:rsidRDefault="008A7B78" w:rsidP="00B1020F">
            <w:pPr>
              <w:spacing w:before="100" w:beforeAutospacing="1" w:after="100" w:afterAutospacing="1"/>
              <w:rPr>
                <w:sz w:val="24"/>
                <w:szCs w:val="24"/>
              </w:rPr>
            </w:pPr>
            <w:r w:rsidRPr="007020D5">
              <w:rPr>
                <w:sz w:val="24"/>
                <w:szCs w:val="24"/>
              </w:rPr>
              <w:t>Noteikumu projekta 6. punkts</w:t>
            </w:r>
          </w:p>
        </w:tc>
        <w:tc>
          <w:tcPr>
            <w:tcW w:w="959" w:type="pct"/>
          </w:tcPr>
          <w:p w14:paraId="77EE88B6" w14:textId="77777777" w:rsidR="008A7B78" w:rsidRPr="007020D5" w:rsidRDefault="008A7B78" w:rsidP="00B1020F">
            <w:pPr>
              <w:spacing w:before="100" w:beforeAutospacing="1" w:after="100" w:afterAutospacing="1"/>
              <w:rPr>
                <w:sz w:val="24"/>
                <w:szCs w:val="24"/>
              </w:rPr>
            </w:pPr>
            <w:r w:rsidRPr="007020D5">
              <w:rPr>
                <w:sz w:val="24"/>
                <w:szCs w:val="24"/>
              </w:rPr>
              <w:t>Pārņemts pilnībā</w:t>
            </w:r>
          </w:p>
        </w:tc>
        <w:tc>
          <w:tcPr>
            <w:tcW w:w="1570" w:type="pct"/>
          </w:tcPr>
          <w:p w14:paraId="14FFB391" w14:textId="77777777" w:rsidR="008A7B78" w:rsidRPr="007020D5" w:rsidRDefault="008A7B78" w:rsidP="00B1020F">
            <w:pPr>
              <w:rPr>
                <w:sz w:val="24"/>
                <w:szCs w:val="24"/>
              </w:rPr>
            </w:pPr>
            <w:r w:rsidRPr="007020D5">
              <w:rPr>
                <w:sz w:val="24"/>
                <w:szCs w:val="24"/>
              </w:rPr>
              <w:t>Neparedz stingrākas prasības.</w:t>
            </w:r>
          </w:p>
        </w:tc>
      </w:tr>
      <w:tr w:rsidR="00183F12" w:rsidRPr="00BE49D6" w14:paraId="78175E1D" w14:textId="77777777" w:rsidTr="001811F9">
        <w:trPr>
          <w:tblCellSpacing w:w="20" w:type="dxa"/>
          <w:jc w:val="center"/>
        </w:trPr>
        <w:tc>
          <w:tcPr>
            <w:tcW w:w="821" w:type="pct"/>
          </w:tcPr>
          <w:p w14:paraId="6B0EBCBC" w14:textId="5E626E54" w:rsidR="00183F12" w:rsidRPr="00D95A39" w:rsidRDefault="00726936" w:rsidP="00FD5F4C">
            <w:pPr>
              <w:spacing w:before="120" w:after="120"/>
              <w:rPr>
                <w:rStyle w:val="Strong"/>
                <w:b w:val="0"/>
                <w:sz w:val="24"/>
                <w:szCs w:val="24"/>
              </w:rPr>
            </w:pPr>
            <w:r w:rsidRPr="00D95A39">
              <w:rPr>
                <w:rStyle w:val="Strong"/>
                <w:b w:val="0"/>
                <w:sz w:val="24"/>
                <w:szCs w:val="24"/>
              </w:rPr>
              <w:t>13. panta 1. punkta b) apakš</w:t>
            </w:r>
            <w:r w:rsidR="00653315">
              <w:rPr>
                <w:rStyle w:val="Strong"/>
                <w:b w:val="0"/>
                <w:sz w:val="24"/>
                <w:szCs w:val="24"/>
              </w:rPr>
              <w:t>-</w:t>
            </w:r>
            <w:r w:rsidRPr="00D95A39">
              <w:rPr>
                <w:rStyle w:val="Strong"/>
                <w:b w:val="0"/>
                <w:sz w:val="24"/>
                <w:szCs w:val="24"/>
              </w:rPr>
              <w:t>punkts</w:t>
            </w:r>
          </w:p>
        </w:tc>
        <w:tc>
          <w:tcPr>
            <w:tcW w:w="1539" w:type="pct"/>
          </w:tcPr>
          <w:p w14:paraId="2F6B5DE7" w14:textId="230CDCAD" w:rsidR="00183F12" w:rsidRPr="00D95A39" w:rsidRDefault="00183F12" w:rsidP="00FB060B">
            <w:pPr>
              <w:spacing w:before="100" w:beforeAutospacing="1" w:after="100" w:afterAutospacing="1"/>
              <w:rPr>
                <w:sz w:val="24"/>
                <w:szCs w:val="24"/>
              </w:rPr>
            </w:pPr>
            <w:r w:rsidRPr="00D95A39">
              <w:rPr>
                <w:sz w:val="24"/>
                <w:szCs w:val="24"/>
              </w:rPr>
              <w:t xml:space="preserve">Noteikumu projekta </w:t>
            </w:r>
            <w:r w:rsidR="003D14C8" w:rsidRPr="00D95A39">
              <w:rPr>
                <w:sz w:val="24"/>
                <w:szCs w:val="24"/>
              </w:rPr>
              <w:t>7</w:t>
            </w:r>
            <w:r w:rsidRPr="00D95A39">
              <w:rPr>
                <w:sz w:val="24"/>
                <w:szCs w:val="24"/>
              </w:rPr>
              <w:t>. punkts</w:t>
            </w:r>
          </w:p>
        </w:tc>
        <w:tc>
          <w:tcPr>
            <w:tcW w:w="959" w:type="pct"/>
          </w:tcPr>
          <w:p w14:paraId="44FE2615" w14:textId="77777777" w:rsidR="00183F12" w:rsidRPr="00D95A39" w:rsidRDefault="00183F12" w:rsidP="00183F12">
            <w:pPr>
              <w:spacing w:before="100" w:beforeAutospacing="1" w:after="100" w:afterAutospacing="1"/>
              <w:rPr>
                <w:sz w:val="24"/>
                <w:szCs w:val="24"/>
              </w:rPr>
            </w:pPr>
            <w:r w:rsidRPr="00D95A39">
              <w:rPr>
                <w:sz w:val="24"/>
                <w:szCs w:val="24"/>
              </w:rPr>
              <w:t>Pārņemts pilnībā</w:t>
            </w:r>
          </w:p>
        </w:tc>
        <w:tc>
          <w:tcPr>
            <w:tcW w:w="1570" w:type="pct"/>
          </w:tcPr>
          <w:p w14:paraId="6507D230" w14:textId="77777777" w:rsidR="00183F12" w:rsidRPr="00BE49D6" w:rsidRDefault="00183F12" w:rsidP="00183F12">
            <w:r w:rsidRPr="00D95A39">
              <w:rPr>
                <w:sz w:val="24"/>
                <w:szCs w:val="24"/>
              </w:rPr>
              <w:t>Neparedz stingrākas prasības.</w:t>
            </w:r>
          </w:p>
        </w:tc>
      </w:tr>
    </w:tbl>
    <w:p w14:paraId="51329608" w14:textId="7CBD6871" w:rsidR="00E5323B"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 xml:space="preserve">    </w:t>
      </w:r>
    </w:p>
    <w:p w14:paraId="095CBF33" w14:textId="461FBCA7" w:rsidR="00CD0888" w:rsidRDefault="00CD0888" w:rsidP="00E5323B">
      <w:pPr>
        <w:spacing w:after="0" w:line="240" w:lineRule="auto"/>
        <w:rPr>
          <w:rFonts w:ascii="Times New Roman" w:eastAsia="Times New Roman" w:hAnsi="Times New Roman" w:cs="Times New Roman"/>
          <w:iCs/>
          <w:sz w:val="24"/>
          <w:szCs w:val="24"/>
          <w:lang w:eastAsia="lv-LV"/>
        </w:rPr>
      </w:pPr>
    </w:p>
    <w:p w14:paraId="4A952431" w14:textId="569A3741" w:rsidR="00CD0888" w:rsidRDefault="00CD0888" w:rsidP="00E5323B">
      <w:pPr>
        <w:spacing w:after="0" w:line="240" w:lineRule="auto"/>
        <w:rPr>
          <w:rFonts w:ascii="Times New Roman" w:eastAsia="Times New Roman" w:hAnsi="Times New Roman" w:cs="Times New Roman"/>
          <w:iCs/>
          <w:sz w:val="24"/>
          <w:szCs w:val="24"/>
          <w:lang w:eastAsia="lv-LV"/>
        </w:rPr>
      </w:pPr>
    </w:p>
    <w:p w14:paraId="75468F14" w14:textId="77777777" w:rsidR="00CD0888" w:rsidRPr="00BE49D6" w:rsidRDefault="00CD0888"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BE49D6" w14:paraId="09D7AF2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B293AA" w14:textId="77777777" w:rsidR="00655F2C" w:rsidRPr="00BE49D6" w:rsidRDefault="00E5323B" w:rsidP="00E92136">
            <w:pPr>
              <w:spacing w:after="0" w:line="240" w:lineRule="auto"/>
              <w:jc w:val="center"/>
              <w:rPr>
                <w:rFonts w:ascii="Times New Roman" w:eastAsia="Times New Roman" w:hAnsi="Times New Roman" w:cs="Times New Roman"/>
                <w:b/>
                <w:bCs/>
                <w:iCs/>
                <w:sz w:val="24"/>
                <w:szCs w:val="24"/>
                <w:lang w:eastAsia="lv-LV"/>
              </w:rPr>
            </w:pPr>
            <w:r w:rsidRPr="00BE49D6">
              <w:rPr>
                <w:rFonts w:ascii="Times New Roman" w:eastAsia="Times New Roman" w:hAnsi="Times New Roman" w:cs="Times New Roman"/>
                <w:b/>
                <w:bCs/>
                <w:iCs/>
                <w:sz w:val="24"/>
                <w:szCs w:val="24"/>
                <w:lang w:eastAsia="lv-LV"/>
              </w:rPr>
              <w:lastRenderedPageBreak/>
              <w:t>VI. Sabiedrības līdzdalība un komunikācijas aktivitātes</w:t>
            </w:r>
          </w:p>
        </w:tc>
      </w:tr>
      <w:tr w:rsidR="00771A23" w:rsidRPr="00BE49D6" w14:paraId="77067D26" w14:textId="77777777" w:rsidTr="00771A2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266850B" w14:textId="77777777" w:rsidR="00771A23" w:rsidRPr="00BE49D6" w:rsidRDefault="00771A23"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220ABABC" w14:textId="77777777" w:rsidR="00771A23" w:rsidRPr="00BE49D6" w:rsidRDefault="00771A23"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1" w:type="pct"/>
            <w:tcBorders>
              <w:top w:val="outset" w:sz="6" w:space="0" w:color="auto"/>
              <w:left w:val="outset" w:sz="6" w:space="0" w:color="auto"/>
              <w:bottom w:val="outset" w:sz="6" w:space="0" w:color="auto"/>
              <w:right w:val="outset" w:sz="6" w:space="0" w:color="auto"/>
            </w:tcBorders>
            <w:hideMark/>
          </w:tcPr>
          <w:p w14:paraId="10AA7992" w14:textId="409FEE69" w:rsidR="00771A23" w:rsidRPr="00BE49D6" w:rsidRDefault="00771A23" w:rsidP="00BE1148">
            <w:pPr>
              <w:spacing w:after="0" w:line="240" w:lineRule="auto"/>
              <w:ind w:left="57" w:right="57"/>
              <w:jc w:val="both"/>
              <w:rPr>
                <w:rFonts w:ascii="Times New Roman" w:hAnsi="Times New Roman"/>
                <w:sz w:val="24"/>
                <w:szCs w:val="24"/>
              </w:rPr>
            </w:pPr>
            <w:r w:rsidRPr="00BE49D6">
              <w:rPr>
                <w:rFonts w:ascii="Times New Roman" w:hAnsi="Times New Roman"/>
                <w:sz w:val="24"/>
                <w:szCs w:val="24"/>
              </w:rPr>
              <w:t>Saskaņā ar Ministru kabineta 2009. gada 25. augusta noteikumu Nr. 970 “Sabiedrības līdzdalības kārtība attīstības plānošanas procesā” 7.4.</w:t>
            </w:r>
            <w:r w:rsidRPr="00BE49D6">
              <w:rPr>
                <w:rFonts w:ascii="Times New Roman" w:hAnsi="Times New Roman"/>
                <w:sz w:val="24"/>
                <w:szCs w:val="24"/>
                <w:vertAlign w:val="superscript"/>
              </w:rPr>
              <w:t>1</w:t>
            </w:r>
            <w:r w:rsidRPr="00BE49D6">
              <w:rPr>
                <w:rFonts w:ascii="Times New Roman" w:hAnsi="Times New Roman"/>
                <w:sz w:val="24"/>
                <w:szCs w:val="24"/>
              </w:rPr>
              <w:t xml:space="preserve"> apakšpunktu sabiedrības pārstāvji </w:t>
            </w:r>
            <w:r w:rsidR="00CD0888">
              <w:rPr>
                <w:rFonts w:ascii="Times New Roman" w:hAnsi="Times New Roman"/>
                <w:sz w:val="24"/>
                <w:szCs w:val="24"/>
              </w:rPr>
              <w:t xml:space="preserve">tiks </w:t>
            </w:r>
            <w:r w:rsidRPr="00BE49D6">
              <w:rPr>
                <w:rFonts w:ascii="Times New Roman" w:hAnsi="Times New Roman"/>
                <w:sz w:val="24"/>
                <w:szCs w:val="24"/>
              </w:rPr>
              <w:t>aicināti līdzdarboties, rakstiski sniedzot viedokli par noteikumu projektu tā izstrādes stadijā.</w:t>
            </w:r>
          </w:p>
        </w:tc>
      </w:tr>
      <w:tr w:rsidR="00771A23" w:rsidRPr="00BE49D6" w14:paraId="691A4978" w14:textId="77777777" w:rsidTr="00771A2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EFC13F7" w14:textId="77777777" w:rsidR="00771A23" w:rsidRPr="00BE49D6" w:rsidRDefault="00771A23"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3796B9A1" w14:textId="77777777" w:rsidR="00771A23" w:rsidRPr="00BE49D6" w:rsidRDefault="00771A23"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Sabiedrības līdzdalība projekta izstrādē</w:t>
            </w:r>
          </w:p>
        </w:tc>
        <w:tc>
          <w:tcPr>
            <w:tcW w:w="2961" w:type="pct"/>
            <w:tcBorders>
              <w:top w:val="outset" w:sz="6" w:space="0" w:color="auto"/>
              <w:left w:val="outset" w:sz="6" w:space="0" w:color="auto"/>
              <w:bottom w:val="outset" w:sz="6" w:space="0" w:color="auto"/>
              <w:right w:val="outset" w:sz="6" w:space="0" w:color="auto"/>
            </w:tcBorders>
            <w:hideMark/>
          </w:tcPr>
          <w:p w14:paraId="2C5C3998" w14:textId="32F45C24" w:rsidR="00771A23" w:rsidRPr="00BE49D6" w:rsidRDefault="00771A23" w:rsidP="00F37CEB">
            <w:pPr>
              <w:spacing w:after="0" w:line="240" w:lineRule="auto"/>
              <w:ind w:left="57" w:right="57"/>
              <w:jc w:val="both"/>
              <w:rPr>
                <w:rFonts w:ascii="Times New Roman" w:hAnsi="Times New Roman"/>
                <w:sz w:val="24"/>
                <w:szCs w:val="24"/>
              </w:rPr>
            </w:pPr>
            <w:r w:rsidRPr="00BE49D6">
              <w:rPr>
                <w:rFonts w:ascii="Times New Roman" w:hAnsi="Times New Roman"/>
                <w:sz w:val="24"/>
                <w:szCs w:val="24"/>
              </w:rPr>
              <w:t>Noteikumu projekts un tā sākotnējās ietekmes novērtē</w:t>
            </w:r>
            <w:r w:rsidRPr="00BE49D6">
              <w:rPr>
                <w:rFonts w:ascii="Times New Roman" w:hAnsi="Times New Roman" w:cs="Times New Roman"/>
                <w:sz w:val="24"/>
                <w:szCs w:val="24"/>
              </w:rPr>
              <w:t>juma ziņojums (anotācija)</w:t>
            </w:r>
            <w:r w:rsidR="0016160B" w:rsidRPr="00BE49D6">
              <w:rPr>
                <w:rFonts w:ascii="Times New Roman" w:hAnsi="Times New Roman" w:cs="Times New Roman"/>
                <w:sz w:val="24"/>
                <w:szCs w:val="24"/>
              </w:rPr>
              <w:t xml:space="preserve"> plānots </w:t>
            </w:r>
            <w:r w:rsidR="00A20921" w:rsidRPr="00BE49D6">
              <w:rPr>
                <w:rFonts w:ascii="Times New Roman" w:hAnsi="Times New Roman" w:cs="Times New Roman"/>
                <w:sz w:val="24"/>
                <w:szCs w:val="24"/>
              </w:rPr>
              <w:t>ievietot</w:t>
            </w:r>
            <w:r w:rsidRPr="00BE49D6">
              <w:rPr>
                <w:rFonts w:ascii="Times New Roman" w:hAnsi="Times New Roman" w:cs="Times New Roman"/>
                <w:sz w:val="24"/>
                <w:szCs w:val="24"/>
              </w:rPr>
              <w:t xml:space="preserve"> 2020. gada </w:t>
            </w:r>
            <w:r w:rsidR="0019320F">
              <w:rPr>
                <w:rFonts w:ascii="Times New Roman" w:hAnsi="Times New Roman" w:cs="Times New Roman"/>
                <w:sz w:val="24"/>
                <w:szCs w:val="24"/>
              </w:rPr>
              <w:t>16</w:t>
            </w:r>
            <w:r w:rsidR="00F37CEB" w:rsidRPr="00BE49D6">
              <w:rPr>
                <w:rFonts w:ascii="Times New Roman" w:hAnsi="Times New Roman" w:cs="Times New Roman"/>
                <w:sz w:val="24"/>
                <w:szCs w:val="24"/>
              </w:rPr>
              <w:t>. </w:t>
            </w:r>
            <w:r w:rsidR="00A20921" w:rsidRPr="00BE49D6">
              <w:rPr>
                <w:rFonts w:ascii="Times New Roman" w:hAnsi="Times New Roman" w:cs="Times New Roman"/>
                <w:sz w:val="24"/>
                <w:szCs w:val="24"/>
              </w:rPr>
              <w:t>dece</w:t>
            </w:r>
            <w:r w:rsidR="00F37CEB" w:rsidRPr="00BE49D6">
              <w:rPr>
                <w:rFonts w:ascii="Times New Roman" w:hAnsi="Times New Roman" w:cs="Times New Roman"/>
                <w:sz w:val="24"/>
                <w:szCs w:val="24"/>
              </w:rPr>
              <w:t>mbrī</w:t>
            </w:r>
            <w:r w:rsidR="007C794C">
              <w:rPr>
                <w:rFonts w:ascii="Times New Roman" w:hAnsi="Times New Roman" w:cs="Times New Roman"/>
                <w:sz w:val="24"/>
                <w:szCs w:val="24"/>
              </w:rPr>
              <w:t xml:space="preserve"> </w:t>
            </w:r>
            <w:r w:rsidRPr="00BE49D6">
              <w:rPr>
                <w:rFonts w:ascii="Times New Roman" w:hAnsi="Times New Roman" w:cs="Times New Roman"/>
                <w:sz w:val="24"/>
                <w:szCs w:val="24"/>
              </w:rPr>
              <w:t xml:space="preserve">VARAM tīmekļvietnē </w:t>
            </w:r>
            <w:hyperlink r:id="rId7" w:history="1">
              <w:r w:rsidRPr="00BE49D6">
                <w:rPr>
                  <w:rStyle w:val="Hyperlink"/>
                  <w:rFonts w:ascii="Times New Roman" w:hAnsi="Times New Roman" w:cs="Times New Roman"/>
                  <w:sz w:val="24"/>
                  <w:szCs w:val="24"/>
                </w:rPr>
                <w:t>www.varam.gov.lv</w:t>
              </w:r>
            </w:hyperlink>
            <w:r w:rsidR="00FA32E9" w:rsidRPr="00BE49D6">
              <w:rPr>
                <w:rFonts w:ascii="Times New Roman" w:hAnsi="Times New Roman" w:cs="Times New Roman"/>
                <w:sz w:val="24"/>
                <w:szCs w:val="24"/>
              </w:rPr>
              <w:t xml:space="preserve"> sadaļā “</w:t>
            </w:r>
            <w:r w:rsidR="00D7331C" w:rsidRPr="00BE49D6">
              <w:rPr>
                <w:rFonts w:ascii="Times New Roman" w:hAnsi="Times New Roman" w:cs="Times New Roman"/>
                <w:sz w:val="24"/>
                <w:szCs w:val="24"/>
              </w:rPr>
              <w:t>Normatīvo aktu projekti</w:t>
            </w:r>
            <w:r w:rsidR="00FA32E9" w:rsidRPr="00BE49D6">
              <w:rPr>
                <w:rFonts w:ascii="Times New Roman" w:hAnsi="Times New Roman" w:cs="Times New Roman"/>
                <w:sz w:val="24"/>
                <w:szCs w:val="24"/>
              </w:rPr>
              <w:t>” un Valsts kancelejas tīmekļvietn</w:t>
            </w:r>
            <w:r w:rsidR="00D1198F" w:rsidRPr="00BE49D6">
              <w:rPr>
                <w:rFonts w:ascii="Times New Roman" w:hAnsi="Times New Roman" w:cs="Times New Roman"/>
                <w:sz w:val="24"/>
                <w:szCs w:val="24"/>
              </w:rPr>
              <w:t>ē</w:t>
            </w:r>
            <w:r w:rsidR="00FA32E9" w:rsidRPr="00BE49D6">
              <w:rPr>
                <w:rFonts w:ascii="Times New Roman" w:hAnsi="Times New Roman" w:cs="Times New Roman"/>
                <w:sz w:val="24"/>
                <w:szCs w:val="24"/>
              </w:rPr>
              <w:t xml:space="preserve"> </w:t>
            </w:r>
            <w:hyperlink r:id="rId8" w:history="1">
              <w:r w:rsidR="00FA32E9" w:rsidRPr="00BE49D6">
                <w:rPr>
                  <w:rFonts w:ascii="Times New Roman" w:hAnsi="Times New Roman"/>
                  <w:color w:val="0000FF"/>
                  <w:sz w:val="24"/>
                  <w:szCs w:val="24"/>
                  <w:u w:val="single"/>
                </w:rPr>
                <w:t>www.mk.gov.lv</w:t>
              </w:r>
            </w:hyperlink>
            <w:r w:rsidR="00FA32E9" w:rsidRPr="00BE49D6">
              <w:rPr>
                <w:rFonts w:ascii="Times New Roman" w:hAnsi="Times New Roman"/>
                <w:sz w:val="24"/>
                <w:szCs w:val="24"/>
              </w:rPr>
              <w:t xml:space="preserve"> ar aicinājumu sabiedrības pārstāvjiem līdzdarboties noteikumu projekta izstrādē, līdz 202</w:t>
            </w:r>
            <w:r w:rsidR="00250AC7" w:rsidRPr="00BE49D6">
              <w:rPr>
                <w:rFonts w:ascii="Times New Roman" w:hAnsi="Times New Roman"/>
                <w:sz w:val="24"/>
                <w:szCs w:val="24"/>
              </w:rPr>
              <w:t>1</w:t>
            </w:r>
            <w:r w:rsidR="00FA32E9" w:rsidRPr="00BE49D6">
              <w:rPr>
                <w:rFonts w:ascii="Times New Roman" w:hAnsi="Times New Roman"/>
                <w:sz w:val="24"/>
                <w:szCs w:val="24"/>
              </w:rPr>
              <w:t>.</w:t>
            </w:r>
            <w:r w:rsidR="007C794C">
              <w:rPr>
                <w:rFonts w:ascii="Times New Roman" w:hAnsi="Times New Roman"/>
                <w:sz w:val="24"/>
                <w:szCs w:val="24"/>
              </w:rPr>
              <w:t> </w:t>
            </w:r>
            <w:r w:rsidR="00FA32E9" w:rsidRPr="00BE49D6">
              <w:rPr>
                <w:rFonts w:ascii="Times New Roman" w:hAnsi="Times New Roman"/>
                <w:sz w:val="24"/>
                <w:szCs w:val="24"/>
              </w:rPr>
              <w:t xml:space="preserve">gada </w:t>
            </w:r>
            <w:r w:rsidR="00250AC7" w:rsidRPr="00BE49D6">
              <w:rPr>
                <w:rFonts w:ascii="Times New Roman" w:hAnsi="Times New Roman"/>
                <w:sz w:val="24"/>
                <w:szCs w:val="24"/>
              </w:rPr>
              <w:t>4</w:t>
            </w:r>
            <w:r w:rsidR="00F37CEB" w:rsidRPr="00BE49D6">
              <w:rPr>
                <w:rFonts w:ascii="Times New Roman" w:hAnsi="Times New Roman"/>
                <w:sz w:val="24"/>
                <w:szCs w:val="24"/>
              </w:rPr>
              <w:t>. </w:t>
            </w:r>
            <w:r w:rsidR="00250AC7" w:rsidRPr="00BE49D6">
              <w:rPr>
                <w:rFonts w:ascii="Times New Roman" w:hAnsi="Times New Roman"/>
                <w:sz w:val="24"/>
                <w:szCs w:val="24"/>
              </w:rPr>
              <w:t>janvārim r</w:t>
            </w:r>
            <w:r w:rsidR="00FA32E9" w:rsidRPr="00BE49D6">
              <w:rPr>
                <w:rFonts w:ascii="Times New Roman" w:hAnsi="Times New Roman"/>
                <w:sz w:val="24"/>
                <w:szCs w:val="24"/>
              </w:rPr>
              <w:t>akstiski sniedzot viedokli par noteikumu projektu.</w:t>
            </w:r>
          </w:p>
        </w:tc>
      </w:tr>
      <w:tr w:rsidR="00771A23" w:rsidRPr="00BE49D6" w14:paraId="5F4743F3" w14:textId="77777777" w:rsidTr="00771A2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08164D9" w14:textId="77777777" w:rsidR="00771A23" w:rsidRPr="00BE49D6" w:rsidRDefault="00771A23"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6F06B404" w14:textId="77777777" w:rsidR="00771A23" w:rsidRPr="00BE49D6" w:rsidRDefault="00771A23"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Sabiedrības līdzdalības rezultāti</w:t>
            </w:r>
          </w:p>
        </w:tc>
        <w:tc>
          <w:tcPr>
            <w:tcW w:w="2961" w:type="pct"/>
            <w:tcBorders>
              <w:top w:val="outset" w:sz="6" w:space="0" w:color="auto"/>
              <w:left w:val="outset" w:sz="6" w:space="0" w:color="auto"/>
              <w:bottom w:val="outset" w:sz="6" w:space="0" w:color="auto"/>
              <w:right w:val="outset" w:sz="6" w:space="0" w:color="auto"/>
            </w:tcBorders>
            <w:hideMark/>
          </w:tcPr>
          <w:p w14:paraId="6F34FFD3" w14:textId="15BBB8A8" w:rsidR="00771A23" w:rsidRPr="00BE49D6" w:rsidRDefault="00771A23" w:rsidP="00BE1148">
            <w:pPr>
              <w:spacing w:after="0" w:line="240" w:lineRule="auto"/>
              <w:ind w:left="57" w:right="57"/>
              <w:jc w:val="both"/>
              <w:rPr>
                <w:rFonts w:ascii="Times New Roman" w:hAnsi="Times New Roman"/>
                <w:sz w:val="24"/>
                <w:szCs w:val="24"/>
              </w:rPr>
            </w:pPr>
            <w:r w:rsidRPr="00BE49D6">
              <w:rPr>
                <w:rFonts w:ascii="Times New Roman" w:eastAsia="Times New Roman" w:hAnsi="Times New Roman"/>
                <w:iCs/>
                <w:sz w:val="24"/>
                <w:szCs w:val="24"/>
                <w:lang w:eastAsia="lv-LV"/>
              </w:rPr>
              <w:t xml:space="preserve">Sabiedrības līdzdalības rezultātā </w:t>
            </w:r>
            <w:r w:rsidR="00007070">
              <w:rPr>
                <w:rFonts w:ascii="Times New Roman" w:eastAsia="Times New Roman" w:hAnsi="Times New Roman"/>
                <w:iCs/>
                <w:sz w:val="24"/>
                <w:szCs w:val="24"/>
                <w:lang w:eastAsia="lv-LV"/>
              </w:rPr>
              <w:t>[</w:t>
            </w:r>
            <w:r w:rsidRPr="00BE49D6">
              <w:rPr>
                <w:rFonts w:ascii="Times New Roman" w:eastAsia="Times New Roman" w:hAnsi="Times New Roman"/>
                <w:iCs/>
                <w:sz w:val="24"/>
                <w:szCs w:val="24"/>
                <w:lang w:eastAsia="lv-LV"/>
              </w:rPr>
              <w:t>nav</w:t>
            </w:r>
            <w:r w:rsidR="00250AC7" w:rsidRPr="00BE49D6">
              <w:rPr>
                <w:rFonts w:ascii="Times New Roman" w:eastAsia="Times New Roman" w:hAnsi="Times New Roman"/>
                <w:iCs/>
                <w:sz w:val="24"/>
                <w:szCs w:val="24"/>
                <w:lang w:eastAsia="lv-LV"/>
              </w:rPr>
              <w:t>/ir</w:t>
            </w:r>
            <w:r w:rsidR="00007070">
              <w:rPr>
                <w:rFonts w:ascii="Times New Roman" w:eastAsia="Times New Roman" w:hAnsi="Times New Roman"/>
                <w:iCs/>
                <w:sz w:val="24"/>
                <w:szCs w:val="24"/>
                <w:lang w:eastAsia="lv-LV"/>
              </w:rPr>
              <w:t>]</w:t>
            </w:r>
            <w:r w:rsidRPr="00BE49D6">
              <w:rPr>
                <w:rFonts w:ascii="Times New Roman" w:eastAsia="Times New Roman" w:hAnsi="Times New Roman"/>
                <w:iCs/>
                <w:sz w:val="24"/>
                <w:szCs w:val="24"/>
                <w:lang w:eastAsia="lv-LV"/>
              </w:rPr>
              <w:t xml:space="preserve"> saņemti iebildumi un priekšlikumi.</w:t>
            </w:r>
          </w:p>
        </w:tc>
      </w:tr>
      <w:tr w:rsidR="00771A23" w:rsidRPr="00BE49D6" w14:paraId="02C40E08" w14:textId="77777777" w:rsidTr="00771A2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C06BCAF" w14:textId="77777777" w:rsidR="00771A23" w:rsidRPr="00BE49D6" w:rsidRDefault="00771A23"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398165A2" w14:textId="77777777" w:rsidR="00771A23" w:rsidRPr="00BE49D6" w:rsidRDefault="00771A23"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3424CC72" w14:textId="77777777" w:rsidR="00771A23" w:rsidRPr="00BE49D6" w:rsidRDefault="00771A23" w:rsidP="00BE1148">
            <w:pPr>
              <w:spacing w:after="0" w:line="240" w:lineRule="auto"/>
              <w:ind w:left="57" w:right="57"/>
              <w:jc w:val="both"/>
              <w:rPr>
                <w:rFonts w:ascii="Times New Roman" w:hAnsi="Times New Roman"/>
                <w:sz w:val="24"/>
                <w:szCs w:val="24"/>
              </w:rPr>
            </w:pPr>
            <w:r w:rsidRPr="00BE49D6">
              <w:rPr>
                <w:rFonts w:ascii="Times New Roman" w:hAnsi="Times New Roman"/>
                <w:sz w:val="24"/>
                <w:szCs w:val="24"/>
              </w:rPr>
              <w:t>Nav.</w:t>
            </w:r>
          </w:p>
        </w:tc>
      </w:tr>
    </w:tbl>
    <w:p w14:paraId="365AE980" w14:textId="77777777" w:rsidR="00E5323B"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BE49D6" w14:paraId="5966EA6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BCADDD" w14:textId="77777777" w:rsidR="00655F2C" w:rsidRPr="00BE49D6" w:rsidRDefault="00E5323B" w:rsidP="00E5323B">
            <w:pPr>
              <w:spacing w:after="0" w:line="240" w:lineRule="auto"/>
              <w:rPr>
                <w:rFonts w:ascii="Times New Roman" w:eastAsia="Times New Roman" w:hAnsi="Times New Roman" w:cs="Times New Roman"/>
                <w:b/>
                <w:bCs/>
                <w:iCs/>
                <w:sz w:val="24"/>
                <w:szCs w:val="24"/>
                <w:lang w:eastAsia="lv-LV"/>
              </w:rPr>
            </w:pPr>
            <w:r w:rsidRPr="00BE49D6">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E5323B" w:rsidRPr="00BE49D6" w14:paraId="69246D2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C3A3EB6" w14:textId="77777777" w:rsidR="00655F2C"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184C427" w14:textId="77777777" w:rsidR="00E5323B"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1D65E58F" w14:textId="470E4EC3" w:rsidR="00E5323B" w:rsidRPr="00BE49D6" w:rsidRDefault="00A24A10"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VARAM</w:t>
            </w:r>
            <w:r w:rsidR="00782A0A" w:rsidRPr="00BE49D6">
              <w:rPr>
                <w:rFonts w:ascii="Times New Roman" w:eastAsia="Times New Roman" w:hAnsi="Times New Roman" w:cs="Times New Roman"/>
                <w:iCs/>
                <w:sz w:val="24"/>
                <w:szCs w:val="24"/>
                <w:lang w:eastAsia="lv-LV"/>
              </w:rPr>
              <w:t>,</w:t>
            </w:r>
            <w:r w:rsidR="00EA4A94" w:rsidRPr="00BE49D6">
              <w:rPr>
                <w:rFonts w:ascii="Times New Roman" w:eastAsia="Times New Roman" w:hAnsi="Times New Roman" w:cs="Times New Roman"/>
                <w:iCs/>
                <w:sz w:val="24"/>
                <w:szCs w:val="24"/>
                <w:lang w:eastAsia="lv-LV"/>
              </w:rPr>
              <w:t xml:space="preserve"> </w:t>
            </w:r>
            <w:r w:rsidR="00EA4A94" w:rsidRPr="00BE49D6">
              <w:rPr>
                <w:rFonts w:ascii="Times New Roman" w:hAnsi="Times New Roman" w:cs="Times New Roman"/>
                <w:sz w:val="24"/>
                <w:szCs w:val="24"/>
              </w:rPr>
              <w:t>Vides pārraudzības valsts birojs, Valsts vides dienests, Valsts Uguns</w:t>
            </w:r>
            <w:r w:rsidR="0016160B" w:rsidRPr="00BE49D6">
              <w:rPr>
                <w:rFonts w:ascii="Times New Roman" w:hAnsi="Times New Roman" w:cs="Times New Roman"/>
                <w:sz w:val="24"/>
                <w:szCs w:val="24"/>
              </w:rPr>
              <w:t>dzēsības un glābšanas dienests</w:t>
            </w:r>
          </w:p>
        </w:tc>
      </w:tr>
      <w:tr w:rsidR="00E5323B" w:rsidRPr="00BE49D6" w14:paraId="0E91CB6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57D231A" w14:textId="77777777" w:rsidR="00655F2C"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CB8686D" w14:textId="77777777" w:rsidR="00E5323B"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Projekta izpildes ietekme uz pārvaldes funkcijām un institucionālo struktūru.</w:t>
            </w:r>
            <w:r w:rsidRPr="00BE49D6">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698AD81D" w14:textId="77777777" w:rsidR="00E5323B" w:rsidRPr="00BE49D6" w:rsidRDefault="00A24A10" w:rsidP="00771A23">
            <w:pPr>
              <w:spacing w:after="0" w:line="240" w:lineRule="auto"/>
              <w:jc w:val="both"/>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Nav</w:t>
            </w:r>
          </w:p>
        </w:tc>
      </w:tr>
      <w:tr w:rsidR="00E5323B" w:rsidRPr="00BE49D6" w14:paraId="07E008C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A359D85" w14:textId="77777777" w:rsidR="00655F2C"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5E89C08" w14:textId="77777777" w:rsidR="00E5323B" w:rsidRPr="00BE49D6" w:rsidRDefault="00E5323B" w:rsidP="00E5323B">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7B6B8E6" w14:textId="77777777" w:rsidR="00E5323B" w:rsidRPr="00BE49D6" w:rsidRDefault="00771A23" w:rsidP="00771A23">
            <w:pPr>
              <w:spacing w:after="0" w:line="240" w:lineRule="auto"/>
              <w:rPr>
                <w:rFonts w:ascii="Times New Roman" w:eastAsia="Times New Roman" w:hAnsi="Times New Roman" w:cs="Times New Roman"/>
                <w:iCs/>
                <w:sz w:val="24"/>
                <w:szCs w:val="24"/>
                <w:lang w:eastAsia="lv-LV"/>
              </w:rPr>
            </w:pPr>
            <w:r w:rsidRPr="00BE49D6">
              <w:rPr>
                <w:rFonts w:ascii="Times New Roman" w:eastAsia="Times New Roman" w:hAnsi="Times New Roman" w:cs="Times New Roman"/>
                <w:iCs/>
                <w:sz w:val="24"/>
                <w:szCs w:val="24"/>
                <w:lang w:eastAsia="lv-LV"/>
              </w:rPr>
              <w:t>Nav</w:t>
            </w:r>
          </w:p>
        </w:tc>
      </w:tr>
    </w:tbl>
    <w:p w14:paraId="38BE719F" w14:textId="77777777" w:rsidR="00771A23" w:rsidRPr="00BE49D6" w:rsidRDefault="00771A23" w:rsidP="00894C55">
      <w:pPr>
        <w:tabs>
          <w:tab w:val="left" w:pos="6237"/>
        </w:tabs>
        <w:spacing w:after="0" w:line="240" w:lineRule="auto"/>
        <w:ind w:firstLine="720"/>
        <w:rPr>
          <w:rFonts w:ascii="Times New Roman" w:hAnsi="Times New Roman" w:cs="Times New Roman"/>
          <w:sz w:val="24"/>
          <w:szCs w:val="24"/>
        </w:rPr>
      </w:pPr>
    </w:p>
    <w:p w14:paraId="7D19AFBC" w14:textId="77777777" w:rsidR="00771A23" w:rsidRPr="00BE49D6" w:rsidRDefault="00771A23" w:rsidP="00894C55">
      <w:pPr>
        <w:tabs>
          <w:tab w:val="left" w:pos="6237"/>
        </w:tabs>
        <w:spacing w:after="0" w:line="240" w:lineRule="auto"/>
        <w:ind w:firstLine="720"/>
        <w:rPr>
          <w:rFonts w:ascii="Times New Roman" w:hAnsi="Times New Roman" w:cs="Times New Roman"/>
          <w:sz w:val="24"/>
          <w:szCs w:val="24"/>
        </w:rPr>
      </w:pPr>
      <w:r w:rsidRPr="00BE49D6">
        <w:rPr>
          <w:rFonts w:ascii="Times New Roman" w:hAnsi="Times New Roman" w:cs="Times New Roman"/>
          <w:sz w:val="24"/>
          <w:szCs w:val="24"/>
        </w:rPr>
        <w:t xml:space="preserve">Vides aizsardzības un reģionālās attīstības </w:t>
      </w:r>
    </w:p>
    <w:p w14:paraId="5D77AA5E" w14:textId="6FA49A9C" w:rsidR="00894C55" w:rsidRPr="00BE49D6" w:rsidRDefault="00EA4A94" w:rsidP="009C3949">
      <w:pPr>
        <w:tabs>
          <w:tab w:val="left" w:pos="6237"/>
        </w:tabs>
        <w:spacing w:after="0" w:line="240" w:lineRule="auto"/>
        <w:ind w:firstLine="720"/>
        <w:rPr>
          <w:rFonts w:ascii="Times New Roman" w:hAnsi="Times New Roman" w:cs="Times New Roman"/>
          <w:sz w:val="24"/>
          <w:szCs w:val="24"/>
        </w:rPr>
      </w:pPr>
      <w:r w:rsidRPr="00BE49D6">
        <w:rPr>
          <w:rFonts w:ascii="Times New Roman" w:hAnsi="Times New Roman" w:cs="Times New Roman"/>
          <w:sz w:val="24"/>
          <w:szCs w:val="24"/>
        </w:rPr>
        <w:t>m</w:t>
      </w:r>
      <w:r w:rsidR="00894C55" w:rsidRPr="00BE49D6">
        <w:rPr>
          <w:rFonts w:ascii="Times New Roman" w:hAnsi="Times New Roman" w:cs="Times New Roman"/>
          <w:sz w:val="24"/>
          <w:szCs w:val="24"/>
        </w:rPr>
        <w:t>inistr</w:t>
      </w:r>
      <w:r w:rsidRPr="00BE49D6">
        <w:rPr>
          <w:rFonts w:ascii="Times New Roman" w:hAnsi="Times New Roman" w:cs="Times New Roman"/>
          <w:sz w:val="24"/>
          <w:szCs w:val="24"/>
        </w:rPr>
        <w:t xml:space="preserve">a </w:t>
      </w:r>
      <w:proofErr w:type="spellStart"/>
      <w:r w:rsidRPr="00BE49D6">
        <w:rPr>
          <w:rFonts w:ascii="Times New Roman" w:hAnsi="Times New Roman" w:cs="Times New Roman"/>
          <w:sz w:val="24"/>
          <w:szCs w:val="24"/>
        </w:rPr>
        <w:t>p.i</w:t>
      </w:r>
      <w:proofErr w:type="spellEnd"/>
      <w:r w:rsidRPr="00BE49D6">
        <w:rPr>
          <w:rFonts w:ascii="Times New Roman" w:hAnsi="Times New Roman" w:cs="Times New Roman"/>
          <w:sz w:val="24"/>
          <w:szCs w:val="24"/>
        </w:rPr>
        <w:t>.</w:t>
      </w:r>
      <w:r w:rsidR="00771A23" w:rsidRPr="00BE49D6">
        <w:rPr>
          <w:rFonts w:ascii="Times New Roman" w:hAnsi="Times New Roman" w:cs="Times New Roman"/>
          <w:sz w:val="24"/>
          <w:szCs w:val="24"/>
        </w:rPr>
        <w:tab/>
      </w:r>
      <w:r w:rsidR="00771A23" w:rsidRPr="00BE49D6">
        <w:rPr>
          <w:rFonts w:ascii="Times New Roman" w:hAnsi="Times New Roman" w:cs="Times New Roman"/>
          <w:sz w:val="24"/>
          <w:szCs w:val="24"/>
        </w:rPr>
        <w:tab/>
      </w:r>
      <w:r w:rsidR="00771A23" w:rsidRPr="00BE49D6">
        <w:rPr>
          <w:rFonts w:ascii="Times New Roman" w:hAnsi="Times New Roman" w:cs="Times New Roman"/>
          <w:sz w:val="24"/>
          <w:szCs w:val="24"/>
        </w:rPr>
        <w:tab/>
      </w:r>
      <w:r w:rsidRPr="00BE49D6">
        <w:rPr>
          <w:rFonts w:ascii="Times New Roman" w:hAnsi="Times New Roman" w:cs="Times New Roman"/>
          <w:sz w:val="24"/>
          <w:szCs w:val="24"/>
        </w:rPr>
        <w:t>A</w:t>
      </w:r>
      <w:r w:rsidR="00771A23" w:rsidRPr="00BE49D6">
        <w:rPr>
          <w:rFonts w:ascii="Times New Roman" w:hAnsi="Times New Roman" w:cs="Times New Roman"/>
          <w:sz w:val="24"/>
          <w:szCs w:val="24"/>
        </w:rPr>
        <w:t>. P</w:t>
      </w:r>
      <w:r w:rsidRPr="00BE49D6">
        <w:rPr>
          <w:rFonts w:ascii="Times New Roman" w:hAnsi="Times New Roman" w:cs="Times New Roman"/>
          <w:sz w:val="24"/>
          <w:szCs w:val="24"/>
        </w:rPr>
        <w:t>abriks</w:t>
      </w:r>
    </w:p>
    <w:p w14:paraId="52CFC7B7" w14:textId="77777777" w:rsidR="00894C55" w:rsidRPr="00BE49D6" w:rsidRDefault="00894C55" w:rsidP="00894C55">
      <w:pPr>
        <w:tabs>
          <w:tab w:val="left" w:pos="6237"/>
        </w:tabs>
        <w:spacing w:after="0" w:line="240" w:lineRule="auto"/>
        <w:ind w:firstLine="720"/>
        <w:rPr>
          <w:rFonts w:ascii="Times New Roman" w:hAnsi="Times New Roman" w:cs="Times New Roman"/>
          <w:sz w:val="28"/>
          <w:szCs w:val="28"/>
        </w:rPr>
      </w:pPr>
    </w:p>
    <w:p w14:paraId="082DA315" w14:textId="77777777" w:rsidR="00894C55" w:rsidRPr="00BE49D6" w:rsidRDefault="00894C55" w:rsidP="00894C55">
      <w:pPr>
        <w:tabs>
          <w:tab w:val="left" w:pos="6237"/>
        </w:tabs>
        <w:spacing w:after="0" w:line="240" w:lineRule="auto"/>
        <w:ind w:firstLine="720"/>
        <w:rPr>
          <w:rFonts w:ascii="Times New Roman" w:hAnsi="Times New Roman" w:cs="Times New Roman"/>
          <w:sz w:val="20"/>
          <w:szCs w:val="20"/>
        </w:rPr>
      </w:pPr>
    </w:p>
    <w:p w14:paraId="59D609CF" w14:textId="1CA9F6BE" w:rsidR="00894C55" w:rsidRPr="00BE49D6" w:rsidRDefault="00EA4A94" w:rsidP="00894C55">
      <w:pPr>
        <w:tabs>
          <w:tab w:val="left" w:pos="6237"/>
        </w:tabs>
        <w:spacing w:after="0" w:line="240" w:lineRule="auto"/>
        <w:rPr>
          <w:rFonts w:ascii="Times New Roman" w:hAnsi="Times New Roman" w:cs="Times New Roman"/>
          <w:sz w:val="20"/>
          <w:szCs w:val="20"/>
        </w:rPr>
      </w:pPr>
      <w:r w:rsidRPr="00BE49D6">
        <w:rPr>
          <w:rFonts w:ascii="Times New Roman" w:hAnsi="Times New Roman" w:cs="Times New Roman"/>
          <w:sz w:val="20"/>
          <w:szCs w:val="20"/>
        </w:rPr>
        <w:t>Kazerovska</w:t>
      </w:r>
      <w:r w:rsidR="005C28FE" w:rsidRPr="00BE49D6">
        <w:rPr>
          <w:rFonts w:ascii="Times New Roman" w:hAnsi="Times New Roman" w:cs="Times New Roman"/>
          <w:sz w:val="20"/>
          <w:szCs w:val="20"/>
        </w:rPr>
        <w:t xml:space="preserve"> 670</w:t>
      </w:r>
      <w:r w:rsidR="00D133F8" w:rsidRPr="00BE49D6">
        <w:rPr>
          <w:rFonts w:ascii="Times New Roman" w:hAnsi="Times New Roman" w:cs="Times New Roman"/>
          <w:sz w:val="20"/>
          <w:szCs w:val="20"/>
        </w:rPr>
        <w:t>2</w:t>
      </w:r>
      <w:r w:rsidR="00771A23" w:rsidRPr="00BE49D6">
        <w:rPr>
          <w:rFonts w:ascii="Times New Roman" w:hAnsi="Times New Roman" w:cs="Times New Roman"/>
          <w:sz w:val="20"/>
          <w:szCs w:val="20"/>
        </w:rPr>
        <w:t>65</w:t>
      </w:r>
      <w:r w:rsidRPr="00BE49D6">
        <w:rPr>
          <w:rFonts w:ascii="Times New Roman" w:hAnsi="Times New Roman" w:cs="Times New Roman"/>
          <w:sz w:val="20"/>
          <w:szCs w:val="20"/>
        </w:rPr>
        <w:t>16</w:t>
      </w:r>
    </w:p>
    <w:p w14:paraId="03433859" w14:textId="300E3273" w:rsidR="00894C55" w:rsidRPr="00BE49D6" w:rsidRDefault="00EA4A94" w:rsidP="00894C55">
      <w:pPr>
        <w:tabs>
          <w:tab w:val="left" w:pos="6237"/>
        </w:tabs>
        <w:spacing w:after="0" w:line="240" w:lineRule="auto"/>
        <w:rPr>
          <w:rFonts w:ascii="Times New Roman" w:hAnsi="Times New Roman" w:cs="Times New Roman"/>
          <w:sz w:val="20"/>
          <w:szCs w:val="20"/>
        </w:rPr>
      </w:pPr>
      <w:r w:rsidRPr="00BE49D6">
        <w:rPr>
          <w:rFonts w:ascii="Times New Roman" w:hAnsi="Times New Roman" w:cs="Times New Roman"/>
          <w:sz w:val="20"/>
          <w:szCs w:val="20"/>
        </w:rPr>
        <w:t>Kristine.Kazerovska</w:t>
      </w:r>
      <w:r w:rsidR="00894C55" w:rsidRPr="00BE49D6">
        <w:rPr>
          <w:rFonts w:ascii="Times New Roman" w:hAnsi="Times New Roman" w:cs="Times New Roman"/>
          <w:sz w:val="20"/>
          <w:szCs w:val="20"/>
        </w:rPr>
        <w:t>@</w:t>
      </w:r>
      <w:r w:rsidR="00771A23" w:rsidRPr="00BE49D6">
        <w:rPr>
          <w:rFonts w:ascii="Times New Roman" w:hAnsi="Times New Roman" w:cs="Times New Roman"/>
          <w:sz w:val="20"/>
          <w:szCs w:val="20"/>
        </w:rPr>
        <w:t>varam</w:t>
      </w:r>
      <w:r w:rsidR="00894C55" w:rsidRPr="00BE49D6">
        <w:rPr>
          <w:rFonts w:ascii="Times New Roman" w:hAnsi="Times New Roman" w:cs="Times New Roman"/>
          <w:sz w:val="20"/>
          <w:szCs w:val="20"/>
        </w:rPr>
        <w:t>.gov.lv</w:t>
      </w:r>
    </w:p>
    <w:sectPr w:rsidR="00894C55" w:rsidRPr="00BE49D6" w:rsidSect="009A2654">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86104" w14:textId="77777777" w:rsidR="00BB2278" w:rsidRDefault="00BB2278" w:rsidP="00894C55">
      <w:pPr>
        <w:spacing w:after="0" w:line="240" w:lineRule="auto"/>
      </w:pPr>
      <w:r>
        <w:separator/>
      </w:r>
    </w:p>
  </w:endnote>
  <w:endnote w:type="continuationSeparator" w:id="0">
    <w:p w14:paraId="3B9F69A7" w14:textId="77777777" w:rsidR="00BB2278" w:rsidRDefault="00BB2278"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F7D0B" w14:textId="1A966B24" w:rsidR="004D49F9" w:rsidRPr="00866E33" w:rsidRDefault="00866E33" w:rsidP="00866E33">
    <w:pPr>
      <w:pStyle w:val="Footer"/>
      <w:rPr>
        <w:rFonts w:ascii="Times New Roman" w:hAnsi="Times New Roman" w:cs="Times New Roman"/>
        <w:sz w:val="20"/>
        <w:szCs w:val="20"/>
      </w:rPr>
    </w:pPr>
    <w:r>
      <w:rPr>
        <w:rFonts w:ascii="Times New Roman" w:hAnsi="Times New Roman" w:cs="Times New Roman"/>
        <w:sz w:val="20"/>
        <w:szCs w:val="20"/>
      </w:rPr>
      <w:t>VARAManot_</w:t>
    </w:r>
    <w:r w:rsidR="002C6B6B">
      <w:rPr>
        <w:rFonts w:ascii="Times New Roman" w:hAnsi="Times New Roman" w:cs="Times New Roman"/>
        <w:sz w:val="20"/>
        <w:szCs w:val="20"/>
      </w:rPr>
      <w:t>1</w:t>
    </w:r>
    <w:r w:rsidR="0019320F">
      <w:rPr>
        <w:rFonts w:ascii="Times New Roman" w:hAnsi="Times New Roman" w:cs="Times New Roman"/>
        <w:sz w:val="20"/>
        <w:szCs w:val="20"/>
      </w:rPr>
      <w:t>6</w:t>
    </w:r>
    <w:r w:rsidR="000B7299">
      <w:rPr>
        <w:rFonts w:ascii="Times New Roman" w:hAnsi="Times New Roman" w:cs="Times New Roman"/>
        <w:sz w:val="20"/>
        <w:szCs w:val="20"/>
      </w:rPr>
      <w:t>12</w:t>
    </w:r>
    <w:r w:rsidR="002C6B6B">
      <w:rPr>
        <w:rFonts w:ascii="Times New Roman" w:hAnsi="Times New Roman" w:cs="Times New Roman"/>
        <w:sz w:val="20"/>
        <w:szCs w:val="20"/>
      </w:rPr>
      <w:t>20_</w:t>
    </w:r>
    <w:r w:rsidR="00186EE0">
      <w:rPr>
        <w:rFonts w:ascii="Times New Roman" w:hAnsi="Times New Roman" w:cs="Times New Roman"/>
        <w:sz w:val="20"/>
        <w:szCs w:val="20"/>
      </w:rPr>
      <w:t>MK_131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43AEF" w14:textId="072A4E4D" w:rsidR="004D49F9" w:rsidRPr="00771A23" w:rsidRDefault="00A629F7" w:rsidP="00771A23">
    <w:pPr>
      <w:pStyle w:val="Footer"/>
      <w:rPr>
        <w:rFonts w:ascii="Times New Roman" w:hAnsi="Times New Roman" w:cs="Times New Roman"/>
        <w:sz w:val="20"/>
        <w:szCs w:val="20"/>
      </w:rPr>
    </w:pPr>
    <w:r>
      <w:rPr>
        <w:rFonts w:ascii="Times New Roman" w:hAnsi="Times New Roman" w:cs="Times New Roman"/>
        <w:sz w:val="20"/>
        <w:szCs w:val="20"/>
      </w:rPr>
      <w:t>VARAM</w:t>
    </w:r>
    <w:r w:rsidR="00771A23">
      <w:rPr>
        <w:rFonts w:ascii="Times New Roman" w:hAnsi="Times New Roman" w:cs="Times New Roman"/>
        <w:sz w:val="20"/>
        <w:szCs w:val="20"/>
      </w:rPr>
      <w:t>anot_</w:t>
    </w:r>
    <w:r w:rsidR="002C6B6B">
      <w:rPr>
        <w:rFonts w:ascii="Times New Roman" w:hAnsi="Times New Roman" w:cs="Times New Roman"/>
        <w:sz w:val="20"/>
        <w:szCs w:val="20"/>
      </w:rPr>
      <w:t>1</w:t>
    </w:r>
    <w:r w:rsidR="0019320F">
      <w:rPr>
        <w:rFonts w:ascii="Times New Roman" w:hAnsi="Times New Roman" w:cs="Times New Roman"/>
        <w:sz w:val="20"/>
        <w:szCs w:val="20"/>
      </w:rPr>
      <w:t>6</w:t>
    </w:r>
    <w:r w:rsidR="000B7299">
      <w:rPr>
        <w:rFonts w:ascii="Times New Roman" w:hAnsi="Times New Roman" w:cs="Times New Roman"/>
        <w:sz w:val="20"/>
        <w:szCs w:val="20"/>
      </w:rPr>
      <w:t>12</w:t>
    </w:r>
    <w:r w:rsidR="00866E33">
      <w:rPr>
        <w:rFonts w:ascii="Times New Roman" w:hAnsi="Times New Roman" w:cs="Times New Roman"/>
        <w:sz w:val="20"/>
        <w:szCs w:val="20"/>
      </w:rPr>
      <w:t>20_</w:t>
    </w:r>
    <w:r w:rsidR="00186EE0">
      <w:rPr>
        <w:rFonts w:ascii="Times New Roman" w:hAnsi="Times New Roman" w:cs="Times New Roman"/>
        <w:sz w:val="20"/>
        <w:szCs w:val="20"/>
      </w:rPr>
      <w:t>MK_131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9CBAD" w14:textId="77777777" w:rsidR="00BB2278" w:rsidRDefault="00BB2278" w:rsidP="00894C55">
      <w:pPr>
        <w:spacing w:after="0" w:line="240" w:lineRule="auto"/>
      </w:pPr>
      <w:r>
        <w:separator/>
      </w:r>
    </w:p>
  </w:footnote>
  <w:footnote w:type="continuationSeparator" w:id="0">
    <w:p w14:paraId="66083E44" w14:textId="77777777" w:rsidR="00BB2278" w:rsidRDefault="00BB2278"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83D7F7D" w14:textId="49909692" w:rsidR="004D49F9" w:rsidRPr="00C25B49" w:rsidRDefault="00BE4BDC">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4D49F9"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665A8">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C4348"/>
    <w:multiLevelType w:val="hybridMultilevel"/>
    <w:tmpl w:val="8AC402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2AD39F1"/>
    <w:multiLevelType w:val="hybridMultilevel"/>
    <w:tmpl w:val="5B94BC20"/>
    <w:lvl w:ilvl="0" w:tplc="E30CD4A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7070"/>
    <w:rsid w:val="00011E2C"/>
    <w:rsid w:val="00022615"/>
    <w:rsid w:val="000611D3"/>
    <w:rsid w:val="00062C70"/>
    <w:rsid w:val="00075D7E"/>
    <w:rsid w:val="0009354F"/>
    <w:rsid w:val="00093F3C"/>
    <w:rsid w:val="000A4E8A"/>
    <w:rsid w:val="000B21E1"/>
    <w:rsid w:val="000B7299"/>
    <w:rsid w:val="000C34B6"/>
    <w:rsid w:val="000E2C04"/>
    <w:rsid w:val="000F733E"/>
    <w:rsid w:val="00104CCE"/>
    <w:rsid w:val="00134657"/>
    <w:rsid w:val="00155493"/>
    <w:rsid w:val="0016160B"/>
    <w:rsid w:val="00177169"/>
    <w:rsid w:val="001811F9"/>
    <w:rsid w:val="00183F12"/>
    <w:rsid w:val="00186EE0"/>
    <w:rsid w:val="0019320F"/>
    <w:rsid w:val="00196D4B"/>
    <w:rsid w:val="001B6ED6"/>
    <w:rsid w:val="001C6332"/>
    <w:rsid w:val="001D39AA"/>
    <w:rsid w:val="001F351E"/>
    <w:rsid w:val="00200EC8"/>
    <w:rsid w:val="002043D3"/>
    <w:rsid w:val="002147B9"/>
    <w:rsid w:val="00222EB2"/>
    <w:rsid w:val="00243426"/>
    <w:rsid w:val="0024618D"/>
    <w:rsid w:val="00250220"/>
    <w:rsid w:val="00250AC7"/>
    <w:rsid w:val="002771BF"/>
    <w:rsid w:val="002C6B6B"/>
    <w:rsid w:val="002D01A9"/>
    <w:rsid w:val="002E04ED"/>
    <w:rsid w:val="002E1C05"/>
    <w:rsid w:val="002E380F"/>
    <w:rsid w:val="002F4FF5"/>
    <w:rsid w:val="003344C2"/>
    <w:rsid w:val="003371E2"/>
    <w:rsid w:val="00350093"/>
    <w:rsid w:val="003621F1"/>
    <w:rsid w:val="003665A8"/>
    <w:rsid w:val="003861F2"/>
    <w:rsid w:val="003923B3"/>
    <w:rsid w:val="003B0314"/>
    <w:rsid w:val="003B0BF9"/>
    <w:rsid w:val="003B1E95"/>
    <w:rsid w:val="003D14C8"/>
    <w:rsid w:val="003D7537"/>
    <w:rsid w:val="003E0791"/>
    <w:rsid w:val="003E0847"/>
    <w:rsid w:val="003E17EF"/>
    <w:rsid w:val="003F28AC"/>
    <w:rsid w:val="003F2C6D"/>
    <w:rsid w:val="00402C8C"/>
    <w:rsid w:val="004309BC"/>
    <w:rsid w:val="00431989"/>
    <w:rsid w:val="004320C4"/>
    <w:rsid w:val="00444A8F"/>
    <w:rsid w:val="004454FE"/>
    <w:rsid w:val="00447A87"/>
    <w:rsid w:val="00456E40"/>
    <w:rsid w:val="004577F6"/>
    <w:rsid w:val="0046409C"/>
    <w:rsid w:val="004679A5"/>
    <w:rsid w:val="00471F27"/>
    <w:rsid w:val="00495B4F"/>
    <w:rsid w:val="004A2A00"/>
    <w:rsid w:val="004C1011"/>
    <w:rsid w:val="004C614F"/>
    <w:rsid w:val="004C6810"/>
    <w:rsid w:val="004C714A"/>
    <w:rsid w:val="004D13BA"/>
    <w:rsid w:val="004D2CBF"/>
    <w:rsid w:val="004D49F9"/>
    <w:rsid w:val="004E0857"/>
    <w:rsid w:val="0050178F"/>
    <w:rsid w:val="00504A7E"/>
    <w:rsid w:val="00516BDC"/>
    <w:rsid w:val="00523A9C"/>
    <w:rsid w:val="00523E0D"/>
    <w:rsid w:val="00542007"/>
    <w:rsid w:val="00543486"/>
    <w:rsid w:val="005449DA"/>
    <w:rsid w:val="00581919"/>
    <w:rsid w:val="005879DF"/>
    <w:rsid w:val="005953A8"/>
    <w:rsid w:val="00597735"/>
    <w:rsid w:val="005A504B"/>
    <w:rsid w:val="005A5887"/>
    <w:rsid w:val="005B0197"/>
    <w:rsid w:val="005B4740"/>
    <w:rsid w:val="005C09E2"/>
    <w:rsid w:val="005C0BAE"/>
    <w:rsid w:val="005C0F67"/>
    <w:rsid w:val="005C1308"/>
    <w:rsid w:val="005C28FE"/>
    <w:rsid w:val="005D1295"/>
    <w:rsid w:val="005F6845"/>
    <w:rsid w:val="00607BB3"/>
    <w:rsid w:val="00612513"/>
    <w:rsid w:val="00620D2A"/>
    <w:rsid w:val="00643422"/>
    <w:rsid w:val="00653315"/>
    <w:rsid w:val="00655F2C"/>
    <w:rsid w:val="00661C23"/>
    <w:rsid w:val="006825F2"/>
    <w:rsid w:val="006871A3"/>
    <w:rsid w:val="006902B0"/>
    <w:rsid w:val="00691FB4"/>
    <w:rsid w:val="006921BD"/>
    <w:rsid w:val="00693BAF"/>
    <w:rsid w:val="006D48A8"/>
    <w:rsid w:val="006E1081"/>
    <w:rsid w:val="006F3D44"/>
    <w:rsid w:val="007000A9"/>
    <w:rsid w:val="007020D5"/>
    <w:rsid w:val="007022D7"/>
    <w:rsid w:val="00712D53"/>
    <w:rsid w:val="00720585"/>
    <w:rsid w:val="00721378"/>
    <w:rsid w:val="00726019"/>
    <w:rsid w:val="00726936"/>
    <w:rsid w:val="00726BEC"/>
    <w:rsid w:val="00755F8C"/>
    <w:rsid w:val="00771A23"/>
    <w:rsid w:val="00773AF6"/>
    <w:rsid w:val="00782A0A"/>
    <w:rsid w:val="00795F71"/>
    <w:rsid w:val="007A74F3"/>
    <w:rsid w:val="007C794C"/>
    <w:rsid w:val="007D43C3"/>
    <w:rsid w:val="007E5F7A"/>
    <w:rsid w:val="007E73AB"/>
    <w:rsid w:val="00816C11"/>
    <w:rsid w:val="00817EAE"/>
    <w:rsid w:val="00822277"/>
    <w:rsid w:val="008320FF"/>
    <w:rsid w:val="00860D17"/>
    <w:rsid w:val="00866783"/>
    <w:rsid w:val="008667CC"/>
    <w:rsid w:val="00866E33"/>
    <w:rsid w:val="0088113C"/>
    <w:rsid w:val="008939F3"/>
    <w:rsid w:val="00894C55"/>
    <w:rsid w:val="008A0C91"/>
    <w:rsid w:val="008A7B78"/>
    <w:rsid w:val="008B4111"/>
    <w:rsid w:val="008C1876"/>
    <w:rsid w:val="008C1ABE"/>
    <w:rsid w:val="008C7A54"/>
    <w:rsid w:val="008E49A7"/>
    <w:rsid w:val="008E6E80"/>
    <w:rsid w:val="008F7B3D"/>
    <w:rsid w:val="00901408"/>
    <w:rsid w:val="009340E4"/>
    <w:rsid w:val="0094110C"/>
    <w:rsid w:val="009625A9"/>
    <w:rsid w:val="0096329C"/>
    <w:rsid w:val="009764A8"/>
    <w:rsid w:val="00981836"/>
    <w:rsid w:val="009822B1"/>
    <w:rsid w:val="009A2654"/>
    <w:rsid w:val="009A6A4F"/>
    <w:rsid w:val="009C3949"/>
    <w:rsid w:val="009C4C1D"/>
    <w:rsid w:val="009C6B07"/>
    <w:rsid w:val="00A10FC3"/>
    <w:rsid w:val="00A20921"/>
    <w:rsid w:val="00A24090"/>
    <w:rsid w:val="00A24A10"/>
    <w:rsid w:val="00A44932"/>
    <w:rsid w:val="00A5698A"/>
    <w:rsid w:val="00A6073E"/>
    <w:rsid w:val="00A629F7"/>
    <w:rsid w:val="00A6618F"/>
    <w:rsid w:val="00A76930"/>
    <w:rsid w:val="00A80CD2"/>
    <w:rsid w:val="00A918B6"/>
    <w:rsid w:val="00A9373B"/>
    <w:rsid w:val="00AD13E2"/>
    <w:rsid w:val="00AE5048"/>
    <w:rsid w:val="00AE5567"/>
    <w:rsid w:val="00AE6874"/>
    <w:rsid w:val="00AF03BC"/>
    <w:rsid w:val="00AF1239"/>
    <w:rsid w:val="00AF12EF"/>
    <w:rsid w:val="00B13BB7"/>
    <w:rsid w:val="00B16480"/>
    <w:rsid w:val="00B2165C"/>
    <w:rsid w:val="00B368ED"/>
    <w:rsid w:val="00B42C92"/>
    <w:rsid w:val="00B525BA"/>
    <w:rsid w:val="00B702AB"/>
    <w:rsid w:val="00B753B2"/>
    <w:rsid w:val="00B8680A"/>
    <w:rsid w:val="00BA20AA"/>
    <w:rsid w:val="00BA5DC5"/>
    <w:rsid w:val="00BA6F94"/>
    <w:rsid w:val="00BB1C4A"/>
    <w:rsid w:val="00BB2278"/>
    <w:rsid w:val="00BB3874"/>
    <w:rsid w:val="00BB7383"/>
    <w:rsid w:val="00BC2286"/>
    <w:rsid w:val="00BC2459"/>
    <w:rsid w:val="00BC7A7B"/>
    <w:rsid w:val="00BD4425"/>
    <w:rsid w:val="00BD444A"/>
    <w:rsid w:val="00BE49D6"/>
    <w:rsid w:val="00BE4BDC"/>
    <w:rsid w:val="00BE6F81"/>
    <w:rsid w:val="00BF5D84"/>
    <w:rsid w:val="00C01125"/>
    <w:rsid w:val="00C065D9"/>
    <w:rsid w:val="00C25B49"/>
    <w:rsid w:val="00C267B2"/>
    <w:rsid w:val="00C31F04"/>
    <w:rsid w:val="00C715E4"/>
    <w:rsid w:val="00C73DD3"/>
    <w:rsid w:val="00C80E77"/>
    <w:rsid w:val="00C870D3"/>
    <w:rsid w:val="00CA1AB3"/>
    <w:rsid w:val="00CA4B81"/>
    <w:rsid w:val="00CA556C"/>
    <w:rsid w:val="00CB3261"/>
    <w:rsid w:val="00CC0D2D"/>
    <w:rsid w:val="00CD0888"/>
    <w:rsid w:val="00CE5657"/>
    <w:rsid w:val="00D07C87"/>
    <w:rsid w:val="00D1198F"/>
    <w:rsid w:val="00D12A85"/>
    <w:rsid w:val="00D133F8"/>
    <w:rsid w:val="00D13E18"/>
    <w:rsid w:val="00D14A3E"/>
    <w:rsid w:val="00D20129"/>
    <w:rsid w:val="00D353B1"/>
    <w:rsid w:val="00D40305"/>
    <w:rsid w:val="00D7331C"/>
    <w:rsid w:val="00D8150F"/>
    <w:rsid w:val="00D94EC4"/>
    <w:rsid w:val="00D95A39"/>
    <w:rsid w:val="00DA42D0"/>
    <w:rsid w:val="00DA7315"/>
    <w:rsid w:val="00DC4603"/>
    <w:rsid w:val="00DD19AA"/>
    <w:rsid w:val="00DD1D7E"/>
    <w:rsid w:val="00DD4B64"/>
    <w:rsid w:val="00DD7528"/>
    <w:rsid w:val="00DE24DA"/>
    <w:rsid w:val="00E0483D"/>
    <w:rsid w:val="00E05764"/>
    <w:rsid w:val="00E21EBE"/>
    <w:rsid w:val="00E24654"/>
    <w:rsid w:val="00E26E77"/>
    <w:rsid w:val="00E3716B"/>
    <w:rsid w:val="00E46B84"/>
    <w:rsid w:val="00E52BE9"/>
    <w:rsid w:val="00E5323B"/>
    <w:rsid w:val="00E55B54"/>
    <w:rsid w:val="00E61044"/>
    <w:rsid w:val="00E73C2D"/>
    <w:rsid w:val="00E8749E"/>
    <w:rsid w:val="00E90C01"/>
    <w:rsid w:val="00E92136"/>
    <w:rsid w:val="00E92F50"/>
    <w:rsid w:val="00EA486E"/>
    <w:rsid w:val="00EA4A94"/>
    <w:rsid w:val="00EB2F6B"/>
    <w:rsid w:val="00EC0BF3"/>
    <w:rsid w:val="00EC44E8"/>
    <w:rsid w:val="00ED4AF1"/>
    <w:rsid w:val="00ED50AD"/>
    <w:rsid w:val="00EE39E6"/>
    <w:rsid w:val="00EE5B05"/>
    <w:rsid w:val="00F12660"/>
    <w:rsid w:val="00F132BF"/>
    <w:rsid w:val="00F27B1E"/>
    <w:rsid w:val="00F27B98"/>
    <w:rsid w:val="00F33E7A"/>
    <w:rsid w:val="00F37CEB"/>
    <w:rsid w:val="00F37D5A"/>
    <w:rsid w:val="00F44928"/>
    <w:rsid w:val="00F47301"/>
    <w:rsid w:val="00F54259"/>
    <w:rsid w:val="00F55D09"/>
    <w:rsid w:val="00F579C5"/>
    <w:rsid w:val="00F57B0C"/>
    <w:rsid w:val="00F60B01"/>
    <w:rsid w:val="00F66DA0"/>
    <w:rsid w:val="00F704B0"/>
    <w:rsid w:val="00F844E7"/>
    <w:rsid w:val="00FA32E9"/>
    <w:rsid w:val="00FB060B"/>
    <w:rsid w:val="00FB23DD"/>
    <w:rsid w:val="00FC2170"/>
    <w:rsid w:val="00FD5F4C"/>
    <w:rsid w:val="00FF5376"/>
    <w:rsid w:val="00FF5E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14E6D"/>
  <w15:docId w15:val="{F847F8D5-2F68-4D42-86A3-CE9CBAC5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tv213">
    <w:name w:val="tv213"/>
    <w:basedOn w:val="Normal"/>
    <w:rsid w:val="006871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itle">
    <w:name w:val="Title"/>
    <w:basedOn w:val="Normal"/>
    <w:link w:val="TitleChar"/>
    <w:uiPriority w:val="99"/>
    <w:qFormat/>
    <w:rsid w:val="002F4FF5"/>
    <w:pPr>
      <w:spacing w:after="0" w:line="240" w:lineRule="auto"/>
      <w:jc w:val="center"/>
    </w:pPr>
    <w:rPr>
      <w:rFonts w:ascii="Times New Roman" w:eastAsia="Times New Roman" w:hAnsi="Times New Roman" w:cs="Times New Roman"/>
      <w:b/>
      <w:sz w:val="24"/>
      <w:szCs w:val="24"/>
      <w:lang w:eastAsia="lv-LV"/>
    </w:rPr>
  </w:style>
  <w:style w:type="character" w:customStyle="1" w:styleId="TitleChar">
    <w:name w:val="Title Char"/>
    <w:basedOn w:val="DefaultParagraphFont"/>
    <w:link w:val="Title"/>
    <w:uiPriority w:val="99"/>
    <w:rsid w:val="002F4FF5"/>
    <w:rPr>
      <w:rFonts w:ascii="Times New Roman" w:eastAsia="Times New Roman" w:hAnsi="Times New Roman" w:cs="Times New Roman"/>
      <w:b/>
      <w:sz w:val="24"/>
      <w:szCs w:val="24"/>
      <w:lang w:eastAsia="lv-LV"/>
    </w:rPr>
  </w:style>
  <w:style w:type="table" w:styleId="TableGrid">
    <w:name w:val="Table Grid"/>
    <w:basedOn w:val="TableNormal"/>
    <w:uiPriority w:val="59"/>
    <w:rsid w:val="002F4FF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4FF5"/>
    <w:rPr>
      <w:b/>
    </w:rPr>
  </w:style>
  <w:style w:type="paragraph" w:styleId="ListParagraph">
    <w:name w:val="List Paragraph"/>
    <w:basedOn w:val="Normal"/>
    <w:uiPriority w:val="34"/>
    <w:qFormat/>
    <w:rsid w:val="009764A8"/>
    <w:pPr>
      <w:ind w:left="720"/>
      <w:contextualSpacing/>
    </w:pPr>
  </w:style>
  <w:style w:type="paragraph" w:customStyle="1" w:styleId="Default">
    <w:name w:val="Default"/>
    <w:rsid w:val="009764A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368ED"/>
    <w:rPr>
      <w:sz w:val="16"/>
      <w:szCs w:val="16"/>
    </w:rPr>
  </w:style>
  <w:style w:type="paragraph" w:styleId="CommentText">
    <w:name w:val="annotation text"/>
    <w:basedOn w:val="Normal"/>
    <w:link w:val="CommentTextChar"/>
    <w:uiPriority w:val="99"/>
    <w:semiHidden/>
    <w:unhideWhenUsed/>
    <w:rsid w:val="00B368ED"/>
    <w:pPr>
      <w:spacing w:line="240" w:lineRule="auto"/>
    </w:pPr>
    <w:rPr>
      <w:sz w:val="20"/>
      <w:szCs w:val="20"/>
    </w:rPr>
  </w:style>
  <w:style w:type="character" w:customStyle="1" w:styleId="CommentTextChar">
    <w:name w:val="Comment Text Char"/>
    <w:basedOn w:val="DefaultParagraphFont"/>
    <w:link w:val="CommentText"/>
    <w:uiPriority w:val="99"/>
    <w:semiHidden/>
    <w:rsid w:val="00B368ED"/>
    <w:rPr>
      <w:sz w:val="20"/>
      <w:szCs w:val="20"/>
    </w:rPr>
  </w:style>
  <w:style w:type="paragraph" w:styleId="CommentSubject">
    <w:name w:val="annotation subject"/>
    <w:basedOn w:val="CommentText"/>
    <w:next w:val="CommentText"/>
    <w:link w:val="CommentSubjectChar"/>
    <w:uiPriority w:val="99"/>
    <w:semiHidden/>
    <w:unhideWhenUsed/>
    <w:rsid w:val="00B368ED"/>
    <w:rPr>
      <w:b/>
      <w:bCs/>
    </w:rPr>
  </w:style>
  <w:style w:type="character" w:customStyle="1" w:styleId="CommentSubjectChar">
    <w:name w:val="Comment Subject Char"/>
    <w:basedOn w:val="CommentTextChar"/>
    <w:link w:val="CommentSubject"/>
    <w:uiPriority w:val="99"/>
    <w:semiHidden/>
    <w:rsid w:val="00B368ED"/>
    <w:rPr>
      <w:b/>
      <w:bCs/>
      <w:sz w:val="20"/>
      <w:szCs w:val="20"/>
    </w:rPr>
  </w:style>
  <w:style w:type="paragraph" w:styleId="FootnoteText">
    <w:name w:val="footnote text"/>
    <w:basedOn w:val="Normal"/>
    <w:link w:val="FootnoteTextChar"/>
    <w:rsid w:val="007A74F3"/>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rsid w:val="007A74F3"/>
    <w:rPr>
      <w:rFonts w:ascii="Times New Roman" w:eastAsia="Times New Roman" w:hAnsi="Times New Roman" w:cs="Times New Roman"/>
      <w:sz w:val="20"/>
      <w:szCs w:val="20"/>
      <w:lang w:eastAsia="lv-LV"/>
    </w:rPr>
  </w:style>
  <w:style w:type="character" w:styleId="FootnoteReference">
    <w:name w:val="footnote reference"/>
    <w:rsid w:val="007A74F3"/>
    <w:rPr>
      <w:vertAlign w:val="superscript"/>
    </w:rPr>
  </w:style>
  <w:style w:type="character" w:styleId="Emphasis">
    <w:name w:val="Emphasis"/>
    <w:uiPriority w:val="20"/>
    <w:qFormat/>
    <w:rsid w:val="007A74F3"/>
    <w:rPr>
      <w:i/>
      <w:iCs/>
    </w:rPr>
  </w:style>
  <w:style w:type="paragraph" w:customStyle="1" w:styleId="CM4">
    <w:name w:val="CM4"/>
    <w:basedOn w:val="Normal"/>
    <w:next w:val="Normal"/>
    <w:uiPriority w:val="99"/>
    <w:rsid w:val="004D2CBF"/>
    <w:pPr>
      <w:autoSpaceDE w:val="0"/>
      <w:autoSpaceDN w:val="0"/>
      <w:adjustRightInd w:val="0"/>
      <w:spacing w:after="0" w:line="240" w:lineRule="auto"/>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193762146">
      <w:bodyDiv w:val="1"/>
      <w:marLeft w:val="0"/>
      <w:marRight w:val="0"/>
      <w:marTop w:val="0"/>
      <w:marBottom w:val="0"/>
      <w:divBdr>
        <w:top w:val="none" w:sz="0" w:space="0" w:color="auto"/>
        <w:left w:val="none" w:sz="0" w:space="0" w:color="auto"/>
        <w:bottom w:val="none" w:sz="0" w:space="0" w:color="auto"/>
        <w:right w:val="none" w:sz="0" w:space="0" w:color="auto"/>
      </w:divBdr>
    </w:div>
    <w:div w:id="1333951965">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gov.lv"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varam.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46B27"/>
    <w:rsid w:val="00050549"/>
    <w:rsid w:val="00057C8B"/>
    <w:rsid w:val="00084514"/>
    <w:rsid w:val="00153A71"/>
    <w:rsid w:val="001771A4"/>
    <w:rsid w:val="00194253"/>
    <w:rsid w:val="00204F2C"/>
    <w:rsid w:val="002D28A2"/>
    <w:rsid w:val="00344186"/>
    <w:rsid w:val="00400A01"/>
    <w:rsid w:val="00472F39"/>
    <w:rsid w:val="00523A63"/>
    <w:rsid w:val="00631457"/>
    <w:rsid w:val="006A2489"/>
    <w:rsid w:val="006C1B8F"/>
    <w:rsid w:val="0079518D"/>
    <w:rsid w:val="00887C1F"/>
    <w:rsid w:val="008B623B"/>
    <w:rsid w:val="008D39C9"/>
    <w:rsid w:val="0090404F"/>
    <w:rsid w:val="00915F20"/>
    <w:rsid w:val="009C1B4C"/>
    <w:rsid w:val="009F3888"/>
    <w:rsid w:val="00A426CF"/>
    <w:rsid w:val="00A46E43"/>
    <w:rsid w:val="00A77D41"/>
    <w:rsid w:val="00AC1B85"/>
    <w:rsid w:val="00AD4A2F"/>
    <w:rsid w:val="00B3264B"/>
    <w:rsid w:val="00B3767C"/>
    <w:rsid w:val="00B5181E"/>
    <w:rsid w:val="00BE69E2"/>
    <w:rsid w:val="00C00671"/>
    <w:rsid w:val="00C071EC"/>
    <w:rsid w:val="00DD3A3E"/>
    <w:rsid w:val="00E43779"/>
    <w:rsid w:val="00E80659"/>
    <w:rsid w:val="00E83D61"/>
    <w:rsid w:val="00ED0325"/>
    <w:rsid w:val="00EF45E6"/>
    <w:rsid w:val="00F72077"/>
    <w:rsid w:val="00F801CF"/>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659"/>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5989</Words>
  <Characters>3415</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Grozījumi Ministru kabineta 2009. gada 3. novembra noteikumos Nr. 1290 "Noteikumi par gaisa kvalitāti”</vt:lpstr>
    </vt:vector>
  </TitlesOfParts>
  <Company>VARAM</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2016. gada 1. marta noteikumos Nr. 131 “Rūpniecisko avāriju riska novērtēšanas kārtība un riska samazināšanas pasākumi””</dc:title>
  <dc:subject>Anotācija</dc:subject>
  <dc:creator>Kristine Kazerovska</dc:creator>
  <dc:description>67026516, kristine.kazerovska@varam.gov.lv</dc:description>
  <cp:lastModifiedBy>Lita Trakina</cp:lastModifiedBy>
  <cp:revision>2</cp:revision>
  <dcterms:created xsi:type="dcterms:W3CDTF">2021-01-15T13:20:00Z</dcterms:created>
  <dcterms:modified xsi:type="dcterms:W3CDTF">2021-01-15T13:20:00Z</dcterms:modified>
</cp:coreProperties>
</file>