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77B42" w14:textId="77777777" w:rsidR="00DE61D9" w:rsidRDefault="004C793D">
      <w:pPr>
        <w:ind w:firstLine="720"/>
        <w:jc w:val="center"/>
        <w:rPr>
          <w:b/>
          <w:bCs/>
        </w:rPr>
      </w:pPr>
      <w:r>
        <w:rPr>
          <w:b/>
          <w:bCs/>
        </w:rPr>
        <w:t xml:space="preserve">Ministru kabineta noteikumu projekta </w:t>
      </w:r>
    </w:p>
    <w:p w14:paraId="516078F4" w14:textId="77777777" w:rsidR="00DE61D9" w:rsidRDefault="004C793D">
      <w:pPr>
        <w:ind w:firstLine="720"/>
        <w:jc w:val="center"/>
        <w:rPr>
          <w:b/>
        </w:rPr>
      </w:pPr>
      <w:r>
        <w:rPr>
          <w:b/>
        </w:rPr>
        <w:t xml:space="preserve"> “Finanšu nodrošinājuma piemērošanas kārtība atkritumu apsaimniekošanas darbībām”</w:t>
      </w:r>
    </w:p>
    <w:p w14:paraId="7D0D0AA5" w14:textId="77777777" w:rsidR="00DE61D9" w:rsidRDefault="004C793D">
      <w:pPr>
        <w:ind w:firstLine="720"/>
        <w:jc w:val="center"/>
        <w:rPr>
          <w:b/>
          <w:bCs/>
        </w:rPr>
      </w:pPr>
      <w:r>
        <w:rPr>
          <w:b/>
          <w:bCs/>
        </w:rPr>
        <w:t>sākotnējās ietekmes novērtējuma ziņojums (anotācija)</w:t>
      </w:r>
    </w:p>
    <w:p w14:paraId="785E4C41" w14:textId="77777777" w:rsidR="00DE61D9" w:rsidRDefault="00DE61D9">
      <w:pPr>
        <w:jc w:val="center"/>
        <w:rPr>
          <w:b/>
        </w:rPr>
      </w:pPr>
    </w:p>
    <w:tbl>
      <w:tblPr>
        <w:tblW w:w="91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3"/>
        <w:gridCol w:w="7087"/>
      </w:tblGrid>
      <w:tr w:rsidR="00DE61D9" w14:paraId="2840660D" w14:textId="77777777">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A0649B" w14:textId="77777777" w:rsidR="00DE61D9" w:rsidRDefault="004C793D">
            <w:pPr>
              <w:jc w:val="center"/>
              <w:rPr>
                <w:b/>
                <w:bCs/>
                <w:iCs/>
              </w:rPr>
            </w:pPr>
            <w:r>
              <w:rPr>
                <w:b/>
                <w:bCs/>
                <w:iCs/>
              </w:rPr>
              <w:t>Tiesību akta projekta anotācijas kopsavilkums</w:t>
            </w:r>
          </w:p>
        </w:tc>
      </w:tr>
      <w:tr w:rsidR="00DE61D9" w14:paraId="721CF6CD" w14:textId="7777777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997CF19" w14:textId="77777777" w:rsidR="00DE61D9" w:rsidRDefault="004C793D">
            <w:pPr>
              <w:jc w:val="center"/>
              <w:rPr>
                <w:iCs/>
              </w:rPr>
            </w:pPr>
            <w:r>
              <w:rPr>
                <w:iCs/>
              </w:rPr>
              <w:t>Mērķis, risinājums un projekta spēkā stāšanās laiks</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5FF0CBC5" w14:textId="77777777" w:rsidR="00B0431D" w:rsidRDefault="004C793D" w:rsidP="00141DFA">
            <w:pPr>
              <w:jc w:val="both"/>
            </w:pPr>
            <w:r>
              <w:t>Ministru kabineta noteikumu projekts “Finanšu nodrošinājuma piemērošanas kārtība atkritumu apsaimniekošanas darbībām” (turpmāk – Noteikumu projekts) sagatavots, lai izpildītu Atkritumu apsaimniekošanas likuma (turpmāk – Likums) 12. panta otrās daļas</w:t>
            </w:r>
            <w:r w:rsidR="00500FFB">
              <w:t xml:space="preserve"> 7.,</w:t>
            </w:r>
            <w:r>
              <w:t xml:space="preserve"> 8., 9. un 10. punktā doto deleģējumu.</w:t>
            </w:r>
            <w:r w:rsidR="00B0431D">
              <w:t xml:space="preserve"> </w:t>
            </w:r>
          </w:p>
          <w:p w14:paraId="33C62EAA" w14:textId="77777777" w:rsidR="00173A5E" w:rsidRPr="00173A5E" w:rsidRDefault="00173A5E" w:rsidP="00141DFA">
            <w:pPr>
              <w:jc w:val="both"/>
            </w:pPr>
            <w:r>
              <w:t xml:space="preserve">Noteikumu projekts paredz noteikt finanšu nodrošinājuma piemērošanas </w:t>
            </w:r>
            <w:r w:rsidRPr="00173A5E">
              <w:t>kārtību atkritumu apsaimniekošanas darbībām.</w:t>
            </w:r>
          </w:p>
          <w:p w14:paraId="54F91163" w14:textId="77777777" w:rsidR="00DE61D9" w:rsidRDefault="002A4B13" w:rsidP="00B0431D">
            <w:pPr>
              <w:jc w:val="both"/>
            </w:pPr>
            <w:r w:rsidRPr="009F0206">
              <w:t>Noteikumu projekts stājas spēkā Oficiālo publikāciju un tiesiskās informācijas likuma 7. panta otrajā daļā noteiktajā kārtībā.</w:t>
            </w:r>
          </w:p>
        </w:tc>
      </w:tr>
    </w:tbl>
    <w:p w14:paraId="5C350FA1" w14:textId="77777777" w:rsidR="00DE61D9" w:rsidRDefault="00DE61D9">
      <w:pPr>
        <w:pStyle w:val="Title"/>
        <w:spacing w:before="130" w:line="260" w:lineRule="exact"/>
        <w:ind w:firstLine="539"/>
        <w:jc w:val="both"/>
        <w:rPr>
          <w:sz w:val="24"/>
          <w:szCs w:val="24"/>
        </w:rPr>
      </w:pPr>
    </w:p>
    <w:tbl>
      <w:tblPr>
        <w:tblW w:w="5000" w:type="pct"/>
        <w:tblInd w:w="-164" w:type="dxa"/>
        <w:tblBorders>
          <w:top w:val="outset" w:sz="6" w:space="0" w:color="414142"/>
          <w:left w:val="outset" w:sz="6" w:space="0" w:color="414142"/>
          <w:bottom w:val="outset" w:sz="6" w:space="0" w:color="414142"/>
          <w:right w:val="outset" w:sz="6" w:space="0" w:color="414142"/>
          <w:insideH w:val="outset" w:sz="6" w:space="0" w:color="414142"/>
          <w:insideV w:val="outset" w:sz="6" w:space="0" w:color="414142"/>
        </w:tblBorders>
        <w:tblCellMar>
          <w:top w:w="24" w:type="dxa"/>
          <w:left w:w="19" w:type="dxa"/>
          <w:bottom w:w="24" w:type="dxa"/>
          <w:right w:w="24" w:type="dxa"/>
        </w:tblCellMar>
        <w:tblLook w:val="0000" w:firstRow="0" w:lastRow="0" w:firstColumn="0" w:lastColumn="0" w:noHBand="0" w:noVBand="0"/>
      </w:tblPr>
      <w:tblGrid>
        <w:gridCol w:w="405"/>
        <w:gridCol w:w="2305"/>
        <w:gridCol w:w="6345"/>
      </w:tblGrid>
      <w:tr w:rsidR="00DE61D9" w14:paraId="3B7C11DB" w14:textId="77777777">
        <w:trPr>
          <w:trHeight w:val="324"/>
        </w:trPr>
        <w:tc>
          <w:tcPr>
            <w:tcW w:w="9071" w:type="dxa"/>
            <w:gridSpan w:val="3"/>
            <w:tcBorders>
              <w:top w:val="outset" w:sz="6" w:space="0" w:color="414142"/>
              <w:left w:val="outset" w:sz="6" w:space="0" w:color="414142"/>
              <w:bottom w:val="outset" w:sz="6" w:space="0" w:color="414142"/>
              <w:right w:val="outset" w:sz="6" w:space="0" w:color="414142"/>
            </w:tcBorders>
            <w:shd w:val="clear" w:color="auto" w:fill="auto"/>
            <w:vAlign w:val="center"/>
          </w:tcPr>
          <w:p w14:paraId="7AA588BF" w14:textId="77777777" w:rsidR="00DE61D9" w:rsidRDefault="004C793D">
            <w:pPr>
              <w:spacing w:before="280" w:after="280" w:line="293" w:lineRule="atLeast"/>
              <w:jc w:val="center"/>
              <w:rPr>
                <w:b/>
                <w:bCs/>
              </w:rPr>
            </w:pPr>
            <w:r>
              <w:rPr>
                <w:b/>
                <w:bCs/>
              </w:rPr>
              <w:t>I. Tiesību akta projekta izstrādes nepieciešamība</w:t>
            </w:r>
          </w:p>
        </w:tc>
      </w:tr>
      <w:tr w:rsidR="00DE61D9" w14:paraId="73A8ECB0" w14:textId="77777777">
        <w:trPr>
          <w:trHeight w:val="659"/>
        </w:trPr>
        <w:tc>
          <w:tcPr>
            <w:tcW w:w="438" w:type="dxa"/>
            <w:tcBorders>
              <w:top w:val="outset" w:sz="6" w:space="0" w:color="414142"/>
              <w:left w:val="outset" w:sz="6" w:space="0" w:color="414142"/>
              <w:bottom w:val="outset" w:sz="6" w:space="0" w:color="414142"/>
              <w:right w:val="outset" w:sz="6" w:space="0" w:color="414142"/>
            </w:tcBorders>
            <w:shd w:val="clear" w:color="auto" w:fill="auto"/>
          </w:tcPr>
          <w:p w14:paraId="21C5CBD0" w14:textId="77777777" w:rsidR="00DE61D9" w:rsidRDefault="004C793D">
            <w:pPr>
              <w:spacing w:before="280" w:after="280" w:line="293" w:lineRule="atLeast"/>
              <w:jc w:val="center"/>
            </w:pPr>
            <w:r>
              <w:t>1.</w:t>
            </w:r>
          </w:p>
        </w:tc>
        <w:tc>
          <w:tcPr>
            <w:tcW w:w="2399" w:type="dxa"/>
            <w:tcBorders>
              <w:top w:val="outset" w:sz="6" w:space="0" w:color="414142"/>
              <w:left w:val="outset" w:sz="6" w:space="0" w:color="414142"/>
              <w:bottom w:val="outset" w:sz="6" w:space="0" w:color="414142"/>
              <w:right w:val="outset" w:sz="6" w:space="0" w:color="414142"/>
            </w:tcBorders>
            <w:shd w:val="clear" w:color="auto" w:fill="auto"/>
          </w:tcPr>
          <w:p w14:paraId="3C28A874" w14:textId="77777777" w:rsidR="00DE61D9" w:rsidRDefault="004C793D">
            <w:r>
              <w:t>Pamatojums</w:t>
            </w:r>
          </w:p>
        </w:tc>
        <w:tc>
          <w:tcPr>
            <w:tcW w:w="6234" w:type="dxa"/>
            <w:tcBorders>
              <w:top w:val="outset" w:sz="6" w:space="0" w:color="414142"/>
              <w:left w:val="outset" w:sz="6" w:space="0" w:color="414142"/>
              <w:bottom w:val="outset" w:sz="6" w:space="0" w:color="414142"/>
              <w:right w:val="outset" w:sz="6" w:space="0" w:color="414142"/>
            </w:tcBorders>
            <w:shd w:val="clear" w:color="auto" w:fill="auto"/>
          </w:tcPr>
          <w:p w14:paraId="7ED34553" w14:textId="77777777" w:rsidR="00DE61D9" w:rsidRDefault="004C793D">
            <w:pPr>
              <w:tabs>
                <w:tab w:val="left" w:pos="6580"/>
              </w:tabs>
              <w:jc w:val="both"/>
            </w:pPr>
            <w:r>
              <w:rPr>
                <w:iCs/>
              </w:rPr>
              <w:t>Saeima 2020. gada 9. jūlijā ir pieņēmusi grozījumus</w:t>
            </w:r>
            <w:r w:rsidR="00040FAA">
              <w:rPr>
                <w:iCs/>
              </w:rPr>
              <w:t xml:space="preserve"> (Likums “Grozījumi Atkritumu apsaimniekošanas likumā” stājies spēkā 2020. gada 1. augustā)</w:t>
            </w:r>
            <w:r w:rsidR="00040FAA">
              <w:rPr>
                <w:rStyle w:val="FootnoteReference"/>
                <w:iCs/>
              </w:rPr>
              <w:footnoteReference w:id="1"/>
            </w:r>
            <w:r>
              <w:rPr>
                <w:iCs/>
              </w:rPr>
              <w:t xml:space="preserve"> Likumā, izsakot jaunā redakcijā 12. panta otrās daļas 8. punktu (izdošanas pamatojumu Ministru </w:t>
            </w:r>
            <w:r>
              <w:t>kabineta 2019. gada 8. janvāra noteikumiem Nr. 2 “Finanšu nodrošinājuma piemērošanas kārtība atkritumu apsaimniekošanas darbībām”) un papildinot Likuma otro daļu ar 9. un 10. punktu. Likuma 12. panta otrās daļas 7., 8., 9. un 10. punktā dotais deleģējums noteic Ministru kabinetam izstrādāt:</w:t>
            </w:r>
          </w:p>
          <w:p w14:paraId="0A178388" w14:textId="77777777" w:rsidR="00DE61D9" w:rsidRDefault="004C793D">
            <w:pPr>
              <w:pStyle w:val="FootnoteText"/>
              <w:numPr>
                <w:ilvl w:val="0"/>
                <w:numId w:val="2"/>
              </w:numPr>
              <w:ind w:left="350" w:hanging="284"/>
              <w:jc w:val="both"/>
              <w:rPr>
                <w:sz w:val="24"/>
                <w:szCs w:val="24"/>
              </w:rPr>
            </w:pPr>
            <w:r>
              <w:rPr>
                <w:sz w:val="24"/>
                <w:szCs w:val="24"/>
              </w:rPr>
              <w:t xml:space="preserve">kārtību, kādā atkritumu </w:t>
            </w:r>
            <w:proofErr w:type="spellStart"/>
            <w:r>
              <w:rPr>
                <w:sz w:val="24"/>
                <w:szCs w:val="24"/>
              </w:rPr>
              <w:t>apsaimniekotājs</w:t>
            </w:r>
            <w:proofErr w:type="spellEnd"/>
            <w:r>
              <w:rPr>
                <w:sz w:val="24"/>
                <w:szCs w:val="24"/>
              </w:rPr>
              <w:t xml:space="preserve"> iesniedz Valsts vides dienestam finanšu nodrošinājumu, tā pagarinājumu vai atjaunojumu;</w:t>
            </w:r>
          </w:p>
          <w:p w14:paraId="431DADFB" w14:textId="77777777" w:rsidR="00DE61D9" w:rsidRDefault="004C793D">
            <w:pPr>
              <w:pStyle w:val="FootnoteText"/>
              <w:numPr>
                <w:ilvl w:val="0"/>
                <w:numId w:val="2"/>
              </w:numPr>
              <w:ind w:left="350" w:hanging="284"/>
              <w:jc w:val="both"/>
              <w:rPr>
                <w:iCs/>
                <w:sz w:val="24"/>
                <w:szCs w:val="24"/>
              </w:rPr>
            </w:pPr>
            <w:r>
              <w:rPr>
                <w:iCs/>
                <w:sz w:val="24"/>
                <w:szCs w:val="24"/>
              </w:rPr>
              <w:t>finanšu nodrošinājuma pieprasīšanas kārtību, tā apmēru un apmēra diferencēšanas nosacījumus, termiņu, uz kādu izsniedzams, pagarināms vai atjaunojams nodrošinājums, kā arī finanšu nodrošinājuma dokumentu paraugus;</w:t>
            </w:r>
          </w:p>
          <w:p w14:paraId="64A84B26" w14:textId="77777777" w:rsidR="00DE61D9" w:rsidRDefault="004C793D">
            <w:pPr>
              <w:pStyle w:val="FootnoteText"/>
              <w:numPr>
                <w:ilvl w:val="0"/>
                <w:numId w:val="2"/>
              </w:numPr>
              <w:ind w:left="350" w:hanging="284"/>
              <w:jc w:val="both"/>
              <w:rPr>
                <w:sz w:val="24"/>
                <w:szCs w:val="24"/>
              </w:rPr>
            </w:pPr>
            <w:r>
              <w:rPr>
                <w:sz w:val="24"/>
                <w:szCs w:val="24"/>
              </w:rPr>
              <w:t>kārtību, kādā atkritumu tirgotājs un atkritumu apsaimniekošanas starpnieks iesniedz Valsts vides dienestam finanšu nodrošinājumu, tā pagarinājumu vai atjaunojumu;</w:t>
            </w:r>
          </w:p>
          <w:p w14:paraId="2757F042" w14:textId="77777777" w:rsidR="00DE61D9" w:rsidRDefault="004C793D">
            <w:pPr>
              <w:pStyle w:val="FootnoteText"/>
              <w:numPr>
                <w:ilvl w:val="0"/>
                <w:numId w:val="2"/>
              </w:numPr>
              <w:ind w:left="350" w:hanging="284"/>
              <w:jc w:val="both"/>
              <w:rPr>
                <w:sz w:val="24"/>
                <w:szCs w:val="24"/>
              </w:rPr>
            </w:pPr>
            <w:r>
              <w:rPr>
                <w:sz w:val="24"/>
                <w:szCs w:val="24"/>
              </w:rPr>
              <w:t>atkritumu tirdzniecības un atkritumu apsaimniekošanas starpniecības finanšu nodrošinājuma pieprasīšanas kārtību, tā apmēru, termiņu, uz kādu izsniedzams, pagarināms vai atjaunojams nodrošinājums, kā arī finanšu nodrošinājuma dokumentu paraugus.</w:t>
            </w:r>
          </w:p>
        </w:tc>
      </w:tr>
      <w:tr w:rsidR="00DE61D9" w14:paraId="1C98B2A3" w14:textId="77777777">
        <w:trPr>
          <w:trHeight w:val="372"/>
        </w:trPr>
        <w:tc>
          <w:tcPr>
            <w:tcW w:w="438" w:type="dxa"/>
            <w:tcBorders>
              <w:top w:val="outset" w:sz="6" w:space="0" w:color="414142"/>
              <w:left w:val="outset" w:sz="6" w:space="0" w:color="414142"/>
              <w:bottom w:val="outset" w:sz="6" w:space="0" w:color="414142"/>
              <w:right w:val="outset" w:sz="6" w:space="0" w:color="414142"/>
            </w:tcBorders>
            <w:shd w:val="clear" w:color="auto" w:fill="auto"/>
          </w:tcPr>
          <w:p w14:paraId="328D1E8A" w14:textId="77777777" w:rsidR="00DE61D9" w:rsidRDefault="004C793D">
            <w:pPr>
              <w:spacing w:before="280" w:after="280" w:line="293" w:lineRule="atLeast"/>
              <w:jc w:val="center"/>
            </w:pPr>
            <w:r>
              <w:t>2.</w:t>
            </w:r>
          </w:p>
        </w:tc>
        <w:tc>
          <w:tcPr>
            <w:tcW w:w="2399" w:type="dxa"/>
            <w:tcBorders>
              <w:top w:val="outset" w:sz="6" w:space="0" w:color="414142"/>
              <w:left w:val="outset" w:sz="6" w:space="0" w:color="414142"/>
              <w:bottom w:val="outset" w:sz="6" w:space="0" w:color="414142"/>
              <w:right w:val="outset" w:sz="6" w:space="0" w:color="414142"/>
            </w:tcBorders>
            <w:shd w:val="clear" w:color="auto" w:fill="auto"/>
          </w:tcPr>
          <w:p w14:paraId="6AD95EAF" w14:textId="77777777" w:rsidR="00DE61D9" w:rsidRDefault="004C793D">
            <w:r>
              <w:t>Pašreizējā situācija un problēmas, kuru risināšanai tiesību akta projekts izstrādāts, tiesiskā regulējuma mērķis un būtība</w:t>
            </w:r>
          </w:p>
        </w:tc>
        <w:tc>
          <w:tcPr>
            <w:tcW w:w="6234" w:type="dxa"/>
            <w:tcBorders>
              <w:top w:val="outset" w:sz="6" w:space="0" w:color="414142"/>
              <w:left w:val="outset" w:sz="6" w:space="0" w:color="414142"/>
              <w:bottom w:val="outset" w:sz="6" w:space="0" w:color="414142"/>
              <w:right w:val="outset" w:sz="6" w:space="0" w:color="414142"/>
            </w:tcBorders>
            <w:shd w:val="clear" w:color="auto" w:fill="auto"/>
          </w:tcPr>
          <w:p w14:paraId="30125583" w14:textId="77777777" w:rsidR="00DE61D9" w:rsidRDefault="004C793D">
            <w:pPr>
              <w:spacing w:after="120"/>
              <w:jc w:val="both"/>
              <w:rPr>
                <w:i/>
              </w:rPr>
            </w:pPr>
            <w:r>
              <w:rPr>
                <w:i/>
              </w:rPr>
              <w:t>Pašreizējā situācija un problēmas</w:t>
            </w:r>
          </w:p>
          <w:p w14:paraId="4A6758D5" w14:textId="77777777" w:rsidR="00DE61D9" w:rsidRDefault="004C793D">
            <w:pPr>
              <w:spacing w:after="280"/>
              <w:jc w:val="both"/>
            </w:pPr>
            <w:r>
              <w:t xml:space="preserve">Atbilstoši </w:t>
            </w:r>
            <w:r w:rsidR="00D57772">
              <w:t xml:space="preserve">spēkā esošo </w:t>
            </w:r>
            <w:r>
              <w:t xml:space="preserve">Ministru kabineta 2019. gada 8. janvāra noteikumu Nr. 2 “Finanšu nodrošinājuma piemērošanas kārtība atkritumu apsaimniekošanas darbībām” (turpmāk – MKN 2) 9.2. apakšpunktam kopš 2020. gada 1. janvāra atkritumu </w:t>
            </w:r>
            <w:proofErr w:type="spellStart"/>
            <w:r>
              <w:t>apsaimniekotājiem</w:t>
            </w:r>
            <w:proofErr w:type="spellEnd"/>
            <w:r>
              <w:t xml:space="preserve">, kuriem ir izsniegta atļauja A vai B kategorijas </w:t>
            </w:r>
            <w:r>
              <w:lastRenderedPageBreak/>
              <w:t>piesārņojošo darbību veikšanai saistībā ar atkritumiem, vai kuriem ir izsniegta atkritumu apsaimniekošanas atļauja atkritumu savākšanai, pārvadāšanai, uzglabāšanai vai pārkraušanai, ir jāiesniedz Valsts vides dienestā (turpmāk – VVD) finanšu nodrošinājums 100 000 </w:t>
            </w:r>
            <w:proofErr w:type="spellStart"/>
            <w:r>
              <w:rPr>
                <w:i/>
              </w:rPr>
              <w:t>euro</w:t>
            </w:r>
            <w:proofErr w:type="spellEnd"/>
            <w:r>
              <w:t xml:space="preserve"> vai 50 000 </w:t>
            </w:r>
            <w:proofErr w:type="spellStart"/>
            <w:r>
              <w:rPr>
                <w:i/>
              </w:rPr>
              <w:t>euro</w:t>
            </w:r>
            <w:proofErr w:type="spellEnd"/>
            <w:r>
              <w:t xml:space="preserve"> apmērā</w:t>
            </w:r>
            <w:r w:rsidR="001801F6">
              <w:t xml:space="preserve"> gadā</w:t>
            </w:r>
            <w:r>
              <w:t xml:space="preserve"> atkarībā no atļauj</w:t>
            </w:r>
            <w:r w:rsidR="00D57772">
              <w:t>as veida.</w:t>
            </w:r>
          </w:p>
          <w:p w14:paraId="79C7BFD6" w14:textId="77777777" w:rsidR="00DE61D9" w:rsidRDefault="004C793D">
            <w:pPr>
              <w:jc w:val="both"/>
            </w:pPr>
            <w:r>
              <w:rPr>
                <w:bCs/>
              </w:rPr>
              <w:t xml:space="preserve">Saskaņā ar VVD sniegto informāciju </w:t>
            </w:r>
            <w:r>
              <w:t xml:space="preserve">kopš ir spēkā MKN 2 </w:t>
            </w:r>
            <w:r>
              <w:rPr>
                <w:rFonts w:eastAsia="Verdana"/>
                <w:bCs/>
              </w:rPr>
              <w:t>52 % gadījumā nav spēkā esoš</w:t>
            </w:r>
            <w:r w:rsidR="00A34EBA">
              <w:rPr>
                <w:rFonts w:eastAsia="Verdana"/>
                <w:bCs/>
              </w:rPr>
              <w:t xml:space="preserve">a finanšu nodrošinājuma (skatīt </w:t>
            </w:r>
            <w:r>
              <w:rPr>
                <w:rFonts w:eastAsia="Verdana"/>
                <w:bCs/>
              </w:rPr>
              <w:t>1. tabulu)</w:t>
            </w:r>
            <w:r>
              <w:rPr>
                <w:bCs/>
              </w:rPr>
              <w:t xml:space="preserve">: </w:t>
            </w:r>
          </w:p>
          <w:p w14:paraId="7F177A7C" w14:textId="77777777" w:rsidR="00DE61D9" w:rsidRDefault="004C793D">
            <w:pPr>
              <w:spacing w:after="280"/>
              <w:jc w:val="right"/>
              <w:rPr>
                <w:bCs/>
              </w:rPr>
            </w:pPr>
            <w:r>
              <w:rPr>
                <w:bCs/>
              </w:rPr>
              <w:t xml:space="preserve">1. tabula. </w:t>
            </w:r>
          </w:p>
          <w:p w14:paraId="42C2F017" w14:textId="77777777" w:rsidR="00DE61D9" w:rsidRDefault="004C793D">
            <w:pPr>
              <w:spacing w:before="280" w:after="280"/>
              <w:jc w:val="center"/>
              <w:rPr>
                <w:bCs/>
              </w:rPr>
            </w:pPr>
            <w:r>
              <w:rPr>
                <w:bCs/>
              </w:rPr>
              <w:t>VVD iesniegtie finanšu nodrošinājumi atkritumu apsaimniekošanas darbībai</w:t>
            </w:r>
          </w:p>
          <w:tbl>
            <w:tblPr>
              <w:tblW w:w="6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950"/>
              <w:gridCol w:w="1083"/>
              <w:gridCol w:w="1630"/>
              <w:gridCol w:w="1629"/>
            </w:tblGrid>
            <w:tr w:rsidR="00DE61D9" w14:paraId="20E2B9BC" w14:textId="77777777">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4B8184BC" w14:textId="77777777" w:rsidR="00DE61D9" w:rsidRDefault="004C793D">
                  <w:pPr>
                    <w:spacing w:before="280" w:after="280" w:line="252" w:lineRule="auto"/>
                  </w:pPr>
                  <w:r>
                    <w:t>Atļaujas veids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42CE0D18" w14:textId="77777777" w:rsidR="00DE61D9" w:rsidRDefault="004C793D">
                  <w:pPr>
                    <w:spacing w:before="280" w:after="280" w:line="252" w:lineRule="auto"/>
                    <w:rPr>
                      <w:bCs/>
                    </w:rPr>
                  </w:pPr>
                  <w:r>
                    <w:rPr>
                      <w:bCs/>
                    </w:rPr>
                    <w:t>Kopējais izsniegto atļauju skaits</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5D921AA" w14:textId="77777777" w:rsidR="00DE61D9" w:rsidRDefault="004C793D">
                  <w:pPr>
                    <w:spacing w:before="280" w:after="280" w:line="252" w:lineRule="auto"/>
                    <w:rPr>
                      <w:bCs/>
                    </w:rPr>
                  </w:pPr>
                  <w:r>
                    <w:rPr>
                      <w:bCs/>
                    </w:rPr>
                    <w:t>Atļauju skaits, kurām ir spēkā esošs finanšu nodrošinājums</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25ED6FB2" w14:textId="77777777" w:rsidR="00DE61D9" w:rsidRDefault="004C793D">
                  <w:pPr>
                    <w:spacing w:before="280" w:after="280" w:line="252" w:lineRule="auto"/>
                    <w:rPr>
                      <w:bCs/>
                    </w:rPr>
                  </w:pPr>
                  <w:r>
                    <w:rPr>
                      <w:bCs/>
                    </w:rPr>
                    <w:t>Atļauju skaits, par kurām nav saņemts finanšu nodrošinājums</w:t>
                  </w:r>
                </w:p>
              </w:tc>
            </w:tr>
            <w:tr w:rsidR="00DE61D9" w14:paraId="14693D1A" w14:textId="77777777">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4FC325F" w14:textId="77777777" w:rsidR="00DE61D9" w:rsidRDefault="004C793D">
                  <w:pPr>
                    <w:spacing w:before="280" w:after="280" w:line="252" w:lineRule="auto"/>
                  </w:pPr>
                  <w:r>
                    <w:t>B kategorijas piesārņojošas darbības atļaujas nolietoto transportlīdzekļu  apsaimniekošanai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4A252E84" w14:textId="77777777" w:rsidR="00DE61D9" w:rsidRDefault="004C793D">
                  <w:pPr>
                    <w:spacing w:before="280" w:after="280" w:line="252" w:lineRule="auto"/>
                  </w:pPr>
                  <w:r>
                    <w:t>160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F766D26" w14:textId="77777777" w:rsidR="00DE61D9" w:rsidRDefault="004C793D">
                  <w:pPr>
                    <w:spacing w:before="280" w:after="280" w:line="252" w:lineRule="auto"/>
                  </w:pPr>
                  <w:r>
                    <w:t>44 (28 %)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4D46138F" w14:textId="77777777" w:rsidR="00DE61D9" w:rsidRDefault="004C793D">
                  <w:pPr>
                    <w:spacing w:before="280" w:after="280" w:line="252" w:lineRule="auto"/>
                  </w:pPr>
                  <w:r>
                    <w:t>116</w:t>
                  </w:r>
                </w:p>
              </w:tc>
            </w:tr>
            <w:tr w:rsidR="00DE61D9" w14:paraId="1CB08925" w14:textId="77777777">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459D45B" w14:textId="77777777" w:rsidR="00DE61D9" w:rsidRDefault="004C793D">
                  <w:pPr>
                    <w:spacing w:before="280" w:after="280" w:line="252" w:lineRule="auto"/>
                  </w:pPr>
                  <w:r>
                    <w:t>B kategorijas piesārņojošas darbības atļaujas atkritumu apsaimniekošanas jomā</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25346C98" w14:textId="77777777" w:rsidR="00DE61D9" w:rsidRDefault="004C793D">
                  <w:pPr>
                    <w:spacing w:before="280" w:after="280" w:line="252" w:lineRule="auto"/>
                  </w:pPr>
                  <w:r>
                    <w:t>213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736CC46" w14:textId="77777777" w:rsidR="00DE61D9" w:rsidRDefault="004C793D">
                  <w:pPr>
                    <w:spacing w:before="280" w:after="280" w:line="252" w:lineRule="auto"/>
                  </w:pPr>
                  <w:r>
                    <w:t>130 (61 %)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3C477717" w14:textId="77777777" w:rsidR="00DE61D9" w:rsidRDefault="004C793D">
                  <w:pPr>
                    <w:spacing w:before="280" w:after="280" w:line="252" w:lineRule="auto"/>
                  </w:pPr>
                  <w:r>
                    <w:t>83</w:t>
                  </w:r>
                </w:p>
              </w:tc>
            </w:tr>
            <w:tr w:rsidR="00DE61D9" w14:paraId="0070A1F1" w14:textId="77777777">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B8A1779" w14:textId="77777777" w:rsidR="00DE61D9" w:rsidRDefault="004C793D">
                  <w:pPr>
                    <w:spacing w:before="280" w:after="280" w:line="252" w:lineRule="auto"/>
                  </w:pPr>
                  <w:r>
                    <w:t>Atkritumu apsaimniekošanas atļaujas atbilstoši MKN 703</w:t>
                  </w:r>
                  <w:r>
                    <w:rPr>
                      <w:rStyle w:val="Vresenkurs"/>
                    </w:rPr>
                    <w:footnoteReference w:id="2"/>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5E4A" w14:textId="77777777" w:rsidR="00DE61D9" w:rsidRDefault="004C793D">
                  <w:pPr>
                    <w:spacing w:before="280" w:after="280" w:line="252" w:lineRule="auto"/>
                  </w:pPr>
                  <w:r>
                    <w:t>495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14D9" w14:textId="77777777" w:rsidR="00DE61D9" w:rsidRDefault="004C793D">
                  <w:pPr>
                    <w:spacing w:before="280" w:after="280" w:line="252" w:lineRule="auto"/>
                  </w:pPr>
                  <w:r>
                    <w:t>271 (55 %)</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AC1C" w14:textId="77777777" w:rsidR="00DE61D9" w:rsidRDefault="004C793D">
                  <w:pPr>
                    <w:spacing w:before="280" w:after="280" w:line="252" w:lineRule="auto"/>
                  </w:pPr>
                  <w:r>
                    <w:t>224</w:t>
                  </w:r>
                </w:p>
              </w:tc>
            </w:tr>
            <w:tr w:rsidR="00DE61D9" w14:paraId="55A90BF1" w14:textId="77777777">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C014016" w14:textId="77777777" w:rsidR="00DE61D9" w:rsidRDefault="004C793D">
                  <w:pPr>
                    <w:spacing w:before="280" w:after="280" w:line="252" w:lineRule="auto"/>
                  </w:pPr>
                  <w:r>
                    <w:t xml:space="preserve">Licences melno un krāsaino </w:t>
                  </w:r>
                  <w:r>
                    <w:lastRenderedPageBreak/>
                    <w:t>metāla atgriezumu un lūžņu iepirkšanai Latvijā atbilstoši MKN 960</w:t>
                  </w:r>
                  <w:r>
                    <w:rPr>
                      <w:rStyle w:val="Vresenkurs"/>
                    </w:rPr>
                    <w:footnoteReference w:id="3"/>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8C45" w14:textId="77777777" w:rsidR="00DE61D9" w:rsidRDefault="004C793D">
                  <w:pPr>
                    <w:spacing w:before="280" w:after="280" w:line="252" w:lineRule="auto"/>
                  </w:pPr>
                  <w:r>
                    <w:lastRenderedPageBreak/>
                    <w:t>155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6173E" w14:textId="77777777" w:rsidR="00DE61D9" w:rsidRDefault="004C793D">
                  <w:pPr>
                    <w:spacing w:before="280" w:after="280" w:line="252" w:lineRule="auto"/>
                  </w:pPr>
                  <w:r>
                    <w:t>81 (53 %)</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A01C" w14:textId="77777777" w:rsidR="00DE61D9" w:rsidRDefault="004C793D">
                  <w:pPr>
                    <w:spacing w:before="280" w:after="280" w:line="252" w:lineRule="auto"/>
                  </w:pPr>
                  <w:r>
                    <w:t>74</w:t>
                  </w:r>
                </w:p>
              </w:tc>
            </w:tr>
            <w:tr w:rsidR="00DE61D9" w14:paraId="095E0BD4" w14:textId="77777777">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13BF81D" w14:textId="77777777" w:rsidR="00DE61D9" w:rsidRDefault="004C793D">
                  <w:pPr>
                    <w:spacing w:before="280" w:after="280" w:line="252" w:lineRule="auto"/>
                  </w:pPr>
                  <w:r>
                    <w:t>Kopā:</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4908" w14:textId="77777777" w:rsidR="00DE61D9" w:rsidRDefault="004C793D">
                  <w:pPr>
                    <w:spacing w:before="280" w:after="280" w:line="252" w:lineRule="auto"/>
                  </w:pPr>
                  <w:r>
                    <w:t>1</w:t>
                  </w:r>
                  <w:r w:rsidR="00B52BAF">
                    <w:t> </w:t>
                  </w:r>
                  <w:r>
                    <w:t>023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58E1" w14:textId="77777777" w:rsidR="00DE61D9" w:rsidRDefault="004C793D">
                  <w:pPr>
                    <w:spacing w:before="280" w:after="280" w:line="252" w:lineRule="auto"/>
                  </w:pPr>
                  <w:r>
                    <w:t>526 (52 %)</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E6037" w14:textId="77777777" w:rsidR="00DE61D9" w:rsidRDefault="004C793D">
                  <w:pPr>
                    <w:spacing w:before="280" w:after="280" w:line="252" w:lineRule="auto"/>
                  </w:pPr>
                  <w:r>
                    <w:t>497</w:t>
                  </w:r>
                </w:p>
              </w:tc>
            </w:tr>
          </w:tbl>
          <w:p w14:paraId="77F8826E" w14:textId="77777777" w:rsidR="007872EB" w:rsidRDefault="00320432">
            <w:pPr>
              <w:spacing w:before="280"/>
              <w:jc w:val="both"/>
            </w:pPr>
            <w:r>
              <w:t>Secināms</w:t>
            </w:r>
            <w:r w:rsidR="004C793D">
              <w:t xml:space="preserve">, ka gandrīz pusei atkritumu </w:t>
            </w:r>
            <w:proofErr w:type="spellStart"/>
            <w:r w:rsidR="004C793D">
              <w:t>apsaimniekotāju</w:t>
            </w:r>
            <w:proofErr w:type="spellEnd"/>
            <w:r w:rsidR="004C793D">
              <w:t xml:space="preserve"> izsniegtajām atļaujām nav iesniegta finanšu garantija. Īpaši tas vērojams B kategorijas piesārņojošas darbības atļauju nolietoto transportlīdzekļu  apsaimniekošanai gadījumā. Līdz ar to netiek sasniegts tiesību normas mērķis –</w:t>
            </w:r>
            <w:r w:rsidR="00A34EBA">
              <w:rPr>
                <w:lang w:eastAsia="x-none"/>
              </w:rPr>
              <w:t xml:space="preserve"> ierobežot </w:t>
            </w:r>
            <w:r w:rsidR="004C793D">
              <w:rPr>
                <w:lang w:eastAsia="x-none"/>
              </w:rPr>
              <w:t>komersantu nepārdomātu rīcību ar atkritumiem un darbības “pelēkajā zonā”,</w:t>
            </w:r>
            <w:r w:rsidR="004C793D">
              <w:t xml:space="preserve"> nodrošinot līdzekļus gadījumā, ja komersants nav atbilstoši veicis savas darbības ar atkritumiem</w:t>
            </w:r>
            <w:r w:rsidR="00040FAA">
              <w:t>,</w:t>
            </w:r>
            <w:r w:rsidR="004C793D">
              <w:t xml:space="preserve"> un valstij jāiesaistās uzkrāto un nepārstrādāto atkritumu savākšanā un apsaimniekošanas organizēšanā. </w:t>
            </w:r>
          </w:p>
          <w:p w14:paraId="13B09B91" w14:textId="358AE6DF" w:rsidR="007872EB" w:rsidRDefault="007872EB" w:rsidP="00A44A98">
            <w:pPr>
              <w:spacing w:before="120"/>
              <w:jc w:val="both"/>
            </w:pPr>
            <w:r>
              <w:t xml:space="preserve">Saskaņā ar VVD sniegto informāciju par atļaujām </w:t>
            </w:r>
            <w:r w:rsidR="00952B32">
              <w:t xml:space="preserve">atkritumu apsaimniekošanai </w:t>
            </w:r>
            <w:r>
              <w:t xml:space="preserve">un finanšu nodrošinājuma apmēru, šobrīd vērojama </w:t>
            </w:r>
            <w:r w:rsidR="00604971">
              <w:t>šāda</w:t>
            </w:r>
            <w:r>
              <w:t xml:space="preserve"> situācija:</w:t>
            </w:r>
          </w:p>
          <w:p w14:paraId="794CC8D6" w14:textId="77777777" w:rsidR="007872EB" w:rsidRPr="00593AD1" w:rsidRDefault="007872EB" w:rsidP="00604971">
            <w:pPr>
              <w:jc w:val="both"/>
              <w:rPr>
                <w:b/>
              </w:rPr>
            </w:pPr>
            <w:r w:rsidRPr="00593AD1">
              <w:rPr>
                <w:b/>
              </w:rPr>
              <w:t>Situācija Nr.1 (Uzņēmums A</w:t>
            </w:r>
            <w:r w:rsidR="00604971">
              <w:rPr>
                <w:b/>
              </w:rPr>
              <w:t>, izsniegtas vairākas atļaujas atkritumu apsaimniekošanai</w:t>
            </w:r>
            <w:r w:rsidRPr="00593AD1">
              <w:rPr>
                <w:b/>
              </w:rPr>
              <w:t xml:space="preserve">): </w:t>
            </w:r>
          </w:p>
          <w:p w14:paraId="11C1BEAB" w14:textId="77777777" w:rsidR="007872EB" w:rsidRPr="007872EB" w:rsidRDefault="007872EB" w:rsidP="007872EB">
            <w:pPr>
              <w:jc w:val="both"/>
            </w:pPr>
            <w:r w:rsidRPr="007872EB">
              <w:t xml:space="preserve">Apsaimniekotais atkritumu apjoms atbilstoši atkritumu apsaimniekošanas atļaujai – 18 000 tonnas gadā. Finanšu nodrošinājuma summa atbilstoši MKN 2 – 50 000 </w:t>
            </w:r>
            <w:proofErr w:type="spellStart"/>
            <w:r w:rsidRPr="007872EB">
              <w:rPr>
                <w:i/>
              </w:rPr>
              <w:t>euro</w:t>
            </w:r>
            <w:proofErr w:type="spellEnd"/>
            <w:r>
              <w:t xml:space="preserve"> gadā</w:t>
            </w:r>
            <w:r w:rsidRPr="007872EB">
              <w:t>.</w:t>
            </w:r>
          </w:p>
          <w:p w14:paraId="50BC6296" w14:textId="37ED05FD" w:rsidR="007872EB" w:rsidRPr="007872EB" w:rsidRDefault="007872EB" w:rsidP="007872EB">
            <w:pPr>
              <w:jc w:val="both"/>
            </w:pPr>
            <w:r w:rsidRPr="007872EB">
              <w:t>A</w:t>
            </w:r>
            <w:r w:rsidR="00952B32">
              <w:t>psaimniekotais atkritumu apjoms, kas norādīts atļaujā</w:t>
            </w:r>
            <w:r w:rsidRPr="007872EB">
              <w:t xml:space="preserve"> atbilstoši normatīvajiem aktiem par </w:t>
            </w:r>
            <w:r w:rsidR="00952B32">
              <w:t>piesārņojošām darbībām – 10 000 </w:t>
            </w:r>
            <w:r w:rsidRPr="007872EB">
              <w:t>tonnas. Finanšu nodrošinājuma summa</w:t>
            </w:r>
            <w:r>
              <w:t xml:space="preserve"> </w:t>
            </w:r>
            <w:r w:rsidRPr="007872EB">
              <w:t xml:space="preserve">– 100 000 </w:t>
            </w:r>
            <w:proofErr w:type="spellStart"/>
            <w:r w:rsidR="00952B32" w:rsidRPr="00952B32">
              <w:rPr>
                <w:i/>
              </w:rPr>
              <w:t>eur</w:t>
            </w:r>
            <w:r w:rsidRPr="00952B32">
              <w:rPr>
                <w:i/>
              </w:rPr>
              <w:t>o</w:t>
            </w:r>
            <w:proofErr w:type="spellEnd"/>
            <w:r w:rsidR="00952B32">
              <w:rPr>
                <w:i/>
              </w:rPr>
              <w:t xml:space="preserve"> </w:t>
            </w:r>
            <w:r w:rsidR="00952B32" w:rsidRPr="00952B32">
              <w:t>gadā</w:t>
            </w:r>
            <w:r w:rsidRPr="007872EB">
              <w:t>.</w:t>
            </w:r>
          </w:p>
          <w:p w14:paraId="661F04BC" w14:textId="77777777" w:rsidR="007872EB" w:rsidRDefault="007872EB" w:rsidP="007872EB">
            <w:pPr>
              <w:jc w:val="both"/>
            </w:pPr>
            <w:r w:rsidRPr="007872EB">
              <w:t>Uzņēmum</w:t>
            </w:r>
            <w:r w:rsidR="001B5DED">
              <w:t>s saņēmis</w:t>
            </w:r>
            <w:r w:rsidRPr="007872EB">
              <w:t xml:space="preserve"> finanšu nodrošinājum</w:t>
            </w:r>
            <w:r w:rsidR="001B5DED">
              <w:t>u</w:t>
            </w:r>
            <w:r w:rsidRPr="007872EB">
              <w:t xml:space="preserve"> 50 000 </w:t>
            </w:r>
            <w:proofErr w:type="spellStart"/>
            <w:r w:rsidRPr="007872EB">
              <w:rPr>
                <w:i/>
              </w:rPr>
              <w:t>euro</w:t>
            </w:r>
            <w:proofErr w:type="spellEnd"/>
            <w:r w:rsidRPr="007872EB">
              <w:t xml:space="preserve"> apmērā gadā</w:t>
            </w:r>
            <w:r>
              <w:t>, jo atkritumu apsaimniekošanas atļaujā norādīts lielāks apsaimniekojamo atkritumu daudzums</w:t>
            </w:r>
            <w:r w:rsidR="001B5DED">
              <w:t xml:space="preserve"> nekā </w:t>
            </w:r>
            <w:r w:rsidR="001B5DED" w:rsidRPr="007872EB">
              <w:t>atļauj</w:t>
            </w:r>
            <w:r w:rsidR="001B5DED">
              <w:t>ā</w:t>
            </w:r>
            <w:r w:rsidR="001B5DED" w:rsidRPr="007872EB">
              <w:t xml:space="preserve"> atbilstoši normatīvajiem aktiem par piesārņojošām darbībām</w:t>
            </w:r>
            <w:r w:rsidRPr="007872EB">
              <w:t>.</w:t>
            </w:r>
          </w:p>
          <w:p w14:paraId="4F057DE2" w14:textId="77777777" w:rsidR="007872EB" w:rsidRPr="00593AD1" w:rsidRDefault="007872EB" w:rsidP="00A44A98">
            <w:pPr>
              <w:spacing w:before="120"/>
              <w:jc w:val="both"/>
              <w:rPr>
                <w:b/>
              </w:rPr>
            </w:pPr>
            <w:r w:rsidRPr="00593AD1">
              <w:rPr>
                <w:b/>
              </w:rPr>
              <w:t>Situācija Nr. 2. (Uzņēmums B</w:t>
            </w:r>
            <w:r w:rsidR="00604971">
              <w:rPr>
                <w:b/>
              </w:rPr>
              <w:t>, apsaimnieko nolietotos transportlīdzekļus</w:t>
            </w:r>
            <w:r w:rsidRPr="00593AD1">
              <w:rPr>
                <w:b/>
              </w:rPr>
              <w:t>):</w:t>
            </w:r>
          </w:p>
          <w:p w14:paraId="20BB1BEC" w14:textId="029BCC47" w:rsidR="007872EB" w:rsidRPr="00A44A98" w:rsidRDefault="00A44A98" w:rsidP="00A44A98">
            <w:pPr>
              <w:jc w:val="both"/>
            </w:pPr>
            <w:r w:rsidRPr="00A44A98">
              <w:t>Apsaimniekotais nolietoto transportlīdzekļu apjoms 90 </w:t>
            </w:r>
            <w:r>
              <w:t xml:space="preserve">tonnas </w:t>
            </w:r>
            <w:r w:rsidRPr="00A44A98">
              <w:t>gadā.</w:t>
            </w:r>
            <w:r w:rsidR="009408F7">
              <w:t xml:space="preserve"> </w:t>
            </w:r>
            <w:r w:rsidR="009408F7" w:rsidRPr="00DF2593">
              <w:rPr>
                <w:bCs/>
                <w:color w:val="000000"/>
              </w:rPr>
              <w:t xml:space="preserve">Saskaņā ar VVD sniegto informāciju </w:t>
            </w:r>
            <w:r w:rsidR="009408F7" w:rsidRPr="00DF2593">
              <w:rPr>
                <w:bCs/>
              </w:rPr>
              <w:t>atkritumu apsaimniekošanas izmaksas vidēji ir sākot no 200 </w:t>
            </w:r>
            <w:proofErr w:type="spellStart"/>
            <w:r w:rsidR="009408F7" w:rsidRPr="00DF2593">
              <w:rPr>
                <w:bCs/>
                <w:i/>
              </w:rPr>
              <w:t>euro</w:t>
            </w:r>
            <w:proofErr w:type="spellEnd"/>
            <w:r w:rsidR="009408F7" w:rsidRPr="00DF2593">
              <w:rPr>
                <w:bCs/>
              </w:rPr>
              <w:t xml:space="preserve"> līdz 500 </w:t>
            </w:r>
            <w:proofErr w:type="spellStart"/>
            <w:r w:rsidR="009408F7" w:rsidRPr="00DF2593">
              <w:rPr>
                <w:bCs/>
                <w:i/>
              </w:rPr>
              <w:t>euro</w:t>
            </w:r>
            <w:proofErr w:type="spellEnd"/>
            <w:r w:rsidR="009408F7" w:rsidRPr="00DF2593">
              <w:rPr>
                <w:bCs/>
              </w:rPr>
              <w:t xml:space="preserve"> </w:t>
            </w:r>
            <w:r w:rsidR="009408F7">
              <w:rPr>
                <w:bCs/>
              </w:rPr>
              <w:t xml:space="preserve">par tonnu </w:t>
            </w:r>
            <w:r w:rsidR="009408F7" w:rsidRPr="00DF2593">
              <w:rPr>
                <w:bCs/>
              </w:rPr>
              <w:t>(piemēram, riepas</w:t>
            </w:r>
            <w:r w:rsidR="009408F7">
              <w:rPr>
                <w:bCs/>
              </w:rPr>
              <w:t xml:space="preserve"> šobrīd uz Lietuvu var izvest 25</w:t>
            </w:r>
            <w:r w:rsidR="009408F7" w:rsidRPr="00DF2593">
              <w:rPr>
                <w:bCs/>
              </w:rPr>
              <w:t>0 </w:t>
            </w:r>
            <w:proofErr w:type="spellStart"/>
            <w:r w:rsidR="009408F7" w:rsidRPr="00DF2593">
              <w:rPr>
                <w:bCs/>
                <w:i/>
              </w:rPr>
              <w:t>euro</w:t>
            </w:r>
            <w:proofErr w:type="spellEnd"/>
            <w:r w:rsidR="009408F7" w:rsidRPr="00DF2593">
              <w:rPr>
                <w:bCs/>
              </w:rPr>
              <w:t>/t)</w:t>
            </w:r>
            <w:r w:rsidR="009408F7">
              <w:rPr>
                <w:bCs/>
              </w:rPr>
              <w:t>.</w:t>
            </w:r>
            <w:r w:rsidRPr="00A44A98">
              <w:t xml:space="preserve"> Ja uzņēmuma neveiksmīgas atkritumu apsaimniekošanas rezultātā VVD būtu ne</w:t>
            </w:r>
            <w:r w:rsidR="00503691">
              <w:t xml:space="preserve">pieciešams </w:t>
            </w:r>
            <w:r w:rsidR="009408F7">
              <w:t>nodrošināt atkritumu apsaimniekošanu</w:t>
            </w:r>
            <w:r w:rsidRPr="00A44A98">
              <w:t xml:space="preserve">, tad minimālā nepieciešamā summa būtu vismaz </w:t>
            </w:r>
            <w:r w:rsidR="009408F7">
              <w:t>22</w:t>
            </w:r>
            <w:r>
              <w:t> </w:t>
            </w:r>
            <w:r w:rsidR="009408F7">
              <w:t>5</w:t>
            </w:r>
            <w:r w:rsidRPr="00A44A98">
              <w:t>00 </w:t>
            </w:r>
            <w:proofErr w:type="spellStart"/>
            <w:r w:rsidRPr="00A44A98">
              <w:rPr>
                <w:i/>
              </w:rPr>
              <w:t>euro</w:t>
            </w:r>
            <w:proofErr w:type="spellEnd"/>
            <w:r w:rsidR="003531CA">
              <w:t xml:space="preserve"> vai 25 000 </w:t>
            </w:r>
            <w:proofErr w:type="spellStart"/>
            <w:r w:rsidR="003531CA" w:rsidRPr="003531CA">
              <w:rPr>
                <w:i/>
              </w:rPr>
              <w:t>euro</w:t>
            </w:r>
            <w:proofErr w:type="spellEnd"/>
            <w:r w:rsidR="003531CA">
              <w:t>, ja apsaimnieko 100 tonnas gadā</w:t>
            </w:r>
            <w:r w:rsidRPr="00A44A98">
              <w:t xml:space="preserve">. Atbilstoši MKN 2 finanšu nodrošinājuma </w:t>
            </w:r>
            <w:r w:rsidRPr="00A44A98">
              <w:lastRenderedPageBreak/>
              <w:t>apmērs</w:t>
            </w:r>
            <w:r w:rsidR="00952B32">
              <w:t xml:space="preserve"> jāiesniedz</w:t>
            </w:r>
            <w:r w:rsidRPr="00A44A98">
              <w:t xml:space="preserve"> 100 000 </w:t>
            </w:r>
            <w:proofErr w:type="spellStart"/>
            <w:r w:rsidRPr="00A44A98">
              <w:rPr>
                <w:i/>
              </w:rPr>
              <w:t>euro</w:t>
            </w:r>
            <w:proofErr w:type="spellEnd"/>
            <w:r w:rsidRPr="00A44A98">
              <w:t xml:space="preserve"> gad</w:t>
            </w:r>
            <w:r>
              <w:t>ā, kas</w:t>
            </w:r>
            <w:r w:rsidR="00503691">
              <w:t xml:space="preserve"> šobrīd</w:t>
            </w:r>
            <w:r>
              <w:t xml:space="preserve"> nav samērīgs uzņēmuma apgrozījumam.</w:t>
            </w:r>
          </w:p>
          <w:p w14:paraId="452AF7E3" w14:textId="77777777" w:rsidR="00DE61D9" w:rsidRDefault="008D2FF6">
            <w:pPr>
              <w:spacing w:before="280"/>
              <w:jc w:val="both"/>
            </w:pPr>
            <w:r>
              <w:t>Izvērtējot pašreizējo situāciju un problēmas, i</w:t>
            </w:r>
            <w:r w:rsidR="004C793D">
              <w:t xml:space="preserve">r lietderīgi </w:t>
            </w:r>
            <w:r w:rsidR="002B43C5">
              <w:t xml:space="preserve">izstrādāt </w:t>
            </w:r>
            <w:r w:rsidR="00040FAA">
              <w:t>jaunu normatīvo regulējumu</w:t>
            </w:r>
            <w:r>
              <w:t xml:space="preserve"> – </w:t>
            </w:r>
            <w:r w:rsidR="002B43C5">
              <w:t xml:space="preserve">jaunus Ministru kabineta noteikumus un </w:t>
            </w:r>
            <w:r w:rsidR="004C793D">
              <w:t>pārskatīt finanšu nodrošinājuma apmēru</w:t>
            </w:r>
            <w:r w:rsidR="00040FAA">
              <w:t>,</w:t>
            </w:r>
            <w:r w:rsidR="004C793D">
              <w:t xml:space="preserve"> un noteikt finanšu nodrošinājuma pieprasīšanas kārtību, tā apmēru un apmēra diferencēšanas nosacījumus un termiņu, uz kādu izsniedzams, pagarināms vai atjaunojams nodrošinājums, kā arī finanšu nodrošinājuma dokumentu paraugus.</w:t>
            </w:r>
            <w:r w:rsidR="004C793D">
              <w:rPr>
                <w:b/>
              </w:rPr>
              <w:t xml:space="preserve"> </w:t>
            </w:r>
            <w:r w:rsidR="004C793D">
              <w:t>Attiecībā uz finanšu nodrošinājuma apmēra diferencēšanas nosacījumiem ir jāņem vērā Atkritumu aps</w:t>
            </w:r>
            <w:r w:rsidR="00A34EBA">
              <w:t xml:space="preserve">aimniekošanas likuma 12. panta </w:t>
            </w:r>
            <w:r w:rsidR="004C793D">
              <w:t>1.</w:t>
            </w:r>
            <w:r w:rsidR="004C793D">
              <w:rPr>
                <w:vertAlign w:val="superscript"/>
              </w:rPr>
              <w:t>5</w:t>
            </w:r>
            <w:r w:rsidR="00A34EBA">
              <w:t> </w:t>
            </w:r>
            <w:r w:rsidR="004C793D">
              <w:t xml:space="preserve">daļā noteiktais, ka finanšu nodrošinājuma apmēru nosaka, ņemot vērā atkritumu apsaimniekošanas, pārstrādes vai reģenerācijas darbības atļaujas veidu. Piemērojot praksē MKN 2, </w:t>
            </w:r>
            <w:r w:rsidR="00040FAA">
              <w:t xml:space="preserve">Vides aizsardzības un reģionālās attīstības ministrija (turpmāk – </w:t>
            </w:r>
            <w:r w:rsidR="004C793D">
              <w:t>VARAM</w:t>
            </w:r>
            <w:r w:rsidR="00040FAA">
              <w:t>)</w:t>
            </w:r>
            <w:r w:rsidR="004C793D">
              <w:t xml:space="preserve"> ir secinājusi, ka </w:t>
            </w:r>
            <w:r w:rsidR="00320432">
              <w:t>būtu</w:t>
            </w:r>
            <w:r w:rsidR="004C793D">
              <w:t xml:space="preserve"> lietderīgi</w:t>
            </w:r>
            <w:r w:rsidR="00D57772">
              <w:t xml:space="preserve"> un samērīgi</w:t>
            </w:r>
            <w:r w:rsidR="004C793D">
              <w:t xml:space="preserve"> finanšu nodrošinājuma apmēru diferencēt arī pēc citiem kritērijiem, piemēra</w:t>
            </w:r>
            <w:r w:rsidR="00500FFB">
              <w:t>m, apsaimniekoto atkritumu daudzuma</w:t>
            </w:r>
            <w:r w:rsidR="004056CF">
              <w:t xml:space="preserve"> </w:t>
            </w:r>
            <w:r w:rsidR="004056CF" w:rsidRPr="00C55892">
              <w:t>un apsaimniekoto atkritumu veida – bīstami vai nebīstami</w:t>
            </w:r>
            <w:r w:rsidR="004C793D" w:rsidRPr="00C55892">
              <w:t>.</w:t>
            </w:r>
          </w:p>
          <w:p w14:paraId="1C74A06D" w14:textId="77777777" w:rsidR="00DE61D9" w:rsidRDefault="00DE61D9">
            <w:pPr>
              <w:tabs>
                <w:tab w:val="left" w:pos="6580"/>
              </w:tabs>
              <w:jc w:val="both"/>
            </w:pPr>
          </w:p>
          <w:p w14:paraId="413B2AB9" w14:textId="77777777" w:rsidR="00DE61D9" w:rsidRDefault="004C793D">
            <w:pPr>
              <w:pStyle w:val="naiskr"/>
              <w:spacing w:before="0" w:after="120"/>
              <w:jc w:val="both"/>
              <w:rPr>
                <w:i/>
              </w:rPr>
            </w:pPr>
            <w:r>
              <w:rPr>
                <w:i/>
              </w:rPr>
              <w:t>Noteikumu projekta mērķis un būtība</w:t>
            </w:r>
          </w:p>
          <w:p w14:paraId="15E2CCBB" w14:textId="77777777" w:rsidR="00DE61D9" w:rsidRDefault="004C793D">
            <w:pPr>
              <w:tabs>
                <w:tab w:val="left" w:pos="6580"/>
              </w:tabs>
              <w:spacing w:after="120"/>
              <w:jc w:val="both"/>
            </w:pPr>
            <w:r>
              <w:t>Ar Noteikumu projektu:</w:t>
            </w:r>
          </w:p>
          <w:p w14:paraId="0B4A7E46" w14:textId="77777777" w:rsidR="002B53E2" w:rsidRDefault="004C793D">
            <w:pPr>
              <w:pStyle w:val="BodyText"/>
              <w:numPr>
                <w:ilvl w:val="0"/>
                <w:numId w:val="1"/>
              </w:numPr>
              <w:spacing w:after="0" w:line="240" w:lineRule="auto"/>
              <w:ind w:left="408" w:hanging="357"/>
              <w:jc w:val="both"/>
            </w:pPr>
            <w:r>
              <w:t xml:space="preserve">noteikta kārtība, kādā atkritumu </w:t>
            </w:r>
            <w:proofErr w:type="spellStart"/>
            <w:r>
              <w:t>apsaimniekotājs</w:t>
            </w:r>
            <w:proofErr w:type="spellEnd"/>
            <w:r>
              <w:t xml:space="preserve">, atkritumu tirgotājs un atkritumu apsaimniekošanas starpnieks iesniedz </w:t>
            </w:r>
            <w:r w:rsidR="00044986">
              <w:t>VVD</w:t>
            </w:r>
            <w:r>
              <w:t xml:space="preserve"> finanšu nodrošinājumu, tā pagarinājumu vai atjaunojumu. </w:t>
            </w:r>
            <w:r w:rsidRPr="00816557">
              <w:t>Finanšu nodrošinājuma pieprasījuma gadījumā VVD izdo</w:t>
            </w:r>
            <w:r w:rsidR="00816557" w:rsidRPr="00816557">
              <w:t>s</w:t>
            </w:r>
            <w:r w:rsidRPr="00816557">
              <w:t xml:space="preserve"> administratīvo aktu</w:t>
            </w:r>
            <w:r w:rsidR="00816557" w:rsidRPr="00816557">
              <w:t xml:space="preserve"> (lēmumu)</w:t>
            </w:r>
            <w:r w:rsidRPr="00816557">
              <w:t xml:space="preserve"> par attiecīgo pārkāpumu, informējot par to arī finanšu nodrošinājuma izsniedzēju. Ja </w:t>
            </w:r>
            <w:r w:rsidR="00816557" w:rsidRPr="00816557">
              <w:t>30 dienu laikā no lēmuma paziņošanas</w:t>
            </w:r>
            <w:r w:rsidRPr="00816557">
              <w:t xml:space="preserve"> </w:t>
            </w:r>
            <w:r w:rsidR="00044986">
              <w:t xml:space="preserve">atkritumu </w:t>
            </w:r>
            <w:proofErr w:type="spellStart"/>
            <w:r w:rsidR="00044986">
              <w:t>apsaimniekotājs</w:t>
            </w:r>
            <w:proofErr w:type="spellEnd"/>
            <w:r w:rsidR="00044986">
              <w:t>, atkritumu tirgotājs vai atkritumu apsaimniekošanas starpnieks</w:t>
            </w:r>
            <w:r w:rsidRPr="00816557">
              <w:t xml:space="preserve"> n</w:t>
            </w:r>
            <w:r w:rsidR="00816557" w:rsidRPr="00816557">
              <w:t>ebūs</w:t>
            </w:r>
            <w:r w:rsidRPr="00816557">
              <w:t xml:space="preserve"> izpildījis savas saistības, tad VVD </w:t>
            </w:r>
            <w:r w:rsidR="00816557" w:rsidRPr="00816557">
              <w:t>būs</w:t>
            </w:r>
            <w:r w:rsidRPr="00816557">
              <w:t xml:space="preserve"> tiesīgs vērsties pie finanšu nodrošinājuma izsniedzēja, jo saskaņā ar </w:t>
            </w:r>
            <w:r w:rsidR="00622365">
              <w:t>L</w:t>
            </w:r>
            <w:r w:rsidR="00044986">
              <w:t>ikuma</w:t>
            </w:r>
            <w:r w:rsidR="00816557" w:rsidRPr="00816557">
              <w:t xml:space="preserve"> 12. panta 1.</w:t>
            </w:r>
            <w:r w:rsidR="00816557" w:rsidRPr="00816557">
              <w:rPr>
                <w:vertAlign w:val="superscript"/>
              </w:rPr>
              <w:t>2</w:t>
            </w:r>
            <w:r w:rsidR="00816557" w:rsidRPr="00816557">
              <w:t> daļu</w:t>
            </w:r>
            <w:r w:rsidRPr="00816557">
              <w:t xml:space="preserve"> finanšu nodrošinājums ir kredītiestādes izsniegta pirmā pieprasījuma garantijas vēstule vai apdrošinātāja izsniegta apdrošināšanas polise, kurā ietverta apdrošinātāja neatsaucama apņemšanās izmaksāt apdrošināšanas atlīdzību pēc </w:t>
            </w:r>
            <w:r w:rsidR="00044986">
              <w:t>VVD</w:t>
            </w:r>
            <w:r w:rsidRPr="00816557">
              <w:t xml:space="preserve"> pirmā pieprasījuma, kā arī šā pieprasījuma neapstrīdamība. Tālākās attiecības starp </w:t>
            </w:r>
            <w:r w:rsidR="00044986">
              <w:t xml:space="preserve">atkritumu </w:t>
            </w:r>
            <w:proofErr w:type="spellStart"/>
            <w:r w:rsidR="00044986">
              <w:t>apsaimniekotāju</w:t>
            </w:r>
            <w:proofErr w:type="spellEnd"/>
            <w:r w:rsidR="00044986">
              <w:t>, atkritumu tirgotāju vai atkritumu apsaimniekošanas starpnieku</w:t>
            </w:r>
            <w:r w:rsidRPr="00816557">
              <w:t xml:space="preserve"> un finanšu nodrošinājuma izsniedzēju ir risināmas civilprocesa kārtībā.</w:t>
            </w:r>
            <w:r w:rsidR="002B53E2">
              <w:t xml:space="preserve"> </w:t>
            </w:r>
          </w:p>
          <w:p w14:paraId="38D4ED63" w14:textId="43DB07D7" w:rsidR="00DE61D9" w:rsidRDefault="002B53E2" w:rsidP="002B53E2">
            <w:pPr>
              <w:pStyle w:val="BodyText"/>
              <w:spacing w:after="0" w:line="240" w:lineRule="auto"/>
              <w:ind w:left="408"/>
              <w:jc w:val="both"/>
            </w:pPr>
            <w:r>
              <w:t xml:space="preserve">Ja finanšu nodrošinājums tā darbības laikā netiks pieprasīts, atkritumu </w:t>
            </w:r>
            <w:proofErr w:type="spellStart"/>
            <w:r>
              <w:t>apsaimniekotājam</w:t>
            </w:r>
            <w:proofErr w:type="spellEnd"/>
            <w:r>
              <w:t>, atkritumu tirgotājam</w:t>
            </w:r>
            <w:r w:rsidRPr="00F079CC">
              <w:t xml:space="preserve"> vai atkri</w:t>
            </w:r>
            <w:r>
              <w:t>tumu apsaimniekošanas starpniekam</w:t>
            </w:r>
            <w:r w:rsidRPr="00F079CC">
              <w:t xml:space="preserve"> trīs nedēļas pirms finanšu nodroš</w:t>
            </w:r>
            <w:r>
              <w:t>inājuma termiņa beigām būs jāiesniedz</w:t>
            </w:r>
            <w:r w:rsidRPr="00F079CC">
              <w:t xml:space="preserve"> </w:t>
            </w:r>
            <w:r>
              <w:t>VVD</w:t>
            </w:r>
            <w:r w:rsidRPr="00F079CC">
              <w:t xml:space="preserve"> finanšu nodrošinājuma pagarinājumu uz nākamo periodu vai </w:t>
            </w:r>
            <w:r>
              <w:t>jā</w:t>
            </w:r>
            <w:r w:rsidRPr="00F079CC">
              <w:t xml:space="preserve">iesniedz jaunu finanšu nodrošinājumu, ja atkritumu </w:t>
            </w:r>
            <w:proofErr w:type="spellStart"/>
            <w:r w:rsidRPr="00F079CC">
              <w:t>apsaimniekotājs</w:t>
            </w:r>
            <w:proofErr w:type="spellEnd"/>
            <w:r w:rsidRPr="00F079CC">
              <w:t>, atkritumu tirgotājs vai atkritumu apsaimniekošanas starpnieks</w:t>
            </w:r>
            <w:r>
              <w:t xml:space="preserve"> nolemj izvēlēties citu finanšu nodrošinājuma sniedzēju.</w:t>
            </w:r>
          </w:p>
          <w:p w14:paraId="5BA3C56E" w14:textId="5306F887" w:rsidR="00DE61D9" w:rsidRPr="00320432" w:rsidRDefault="004C793D">
            <w:pPr>
              <w:pStyle w:val="BodyText"/>
              <w:numPr>
                <w:ilvl w:val="0"/>
                <w:numId w:val="1"/>
              </w:numPr>
              <w:spacing w:after="0" w:line="240" w:lineRule="auto"/>
              <w:ind w:left="408" w:hanging="357"/>
              <w:jc w:val="both"/>
            </w:pPr>
            <w:r>
              <w:lastRenderedPageBreak/>
              <w:t>noteikta finanšu nodrošinājuma, ta</w:t>
            </w:r>
            <w:r w:rsidR="00320432">
              <w:t>i skaitā atkritumu tirdzniecībai</w:t>
            </w:r>
            <w:r>
              <w:t xml:space="preserve"> un atkritumu apsaimniekošanas starpniecībai, pieprasīšanas kārtība, </w:t>
            </w:r>
            <w:r w:rsidR="00044986">
              <w:t>finanšu nodrošinājuma</w:t>
            </w:r>
            <w:r>
              <w:t xml:space="preserve"> apmērs, termiņš, uz kādu izsniedzams, pagarināms vai atjaunojams nodrošinājums, kā arī finanšu nodrošinājuma dokumentu paraugi</w:t>
            </w:r>
            <w:r w:rsidR="00D57772">
              <w:t xml:space="preserve"> (Noteikumu projekta 1. un 2. pielikums)</w:t>
            </w:r>
            <w:r>
              <w:t xml:space="preserve">. </w:t>
            </w:r>
            <w:r w:rsidR="00044986" w:rsidRPr="00320432">
              <w:t>Paredzēts, ka f</w:t>
            </w:r>
            <w:r w:rsidR="00A34EBA">
              <w:t xml:space="preserve">inanšu nodrošinājumu </w:t>
            </w:r>
            <w:r w:rsidRPr="00320432">
              <w:t xml:space="preserve">būs iespējams saņemt uz laika periodu no viena līdz trīs gadiem, pēc </w:t>
            </w:r>
            <w:r w:rsidR="00044986" w:rsidRPr="00320432">
              <w:t xml:space="preserve">atkritumu </w:t>
            </w:r>
            <w:proofErr w:type="spellStart"/>
            <w:r w:rsidR="00044986" w:rsidRPr="00320432">
              <w:t>apsaimniekotāja</w:t>
            </w:r>
            <w:proofErr w:type="spellEnd"/>
            <w:r w:rsidR="00044986" w:rsidRPr="00320432">
              <w:t>, atkritumu tirgotāja vai atkritumu apsaimniekošanas starpnieka</w:t>
            </w:r>
            <w:r w:rsidRPr="00320432">
              <w:t xml:space="preserve"> izvēles.</w:t>
            </w:r>
            <w:r w:rsidR="00383560">
              <w:t xml:space="preserve"> </w:t>
            </w:r>
          </w:p>
          <w:p w14:paraId="48FEB974" w14:textId="0218C334" w:rsidR="00DF2593" w:rsidRDefault="004C793D" w:rsidP="00DF2593">
            <w:pPr>
              <w:pStyle w:val="BodyText"/>
              <w:numPr>
                <w:ilvl w:val="0"/>
                <w:numId w:val="1"/>
              </w:numPr>
              <w:spacing w:after="0" w:line="240" w:lineRule="auto"/>
              <w:ind w:left="408" w:hanging="357"/>
              <w:jc w:val="both"/>
            </w:pPr>
            <w:r>
              <w:t>noteikta finanšu nodrošinājuma diferencēšanas kārtība. Noteikumu projekts paredz, ka finanšu nodrošinājums tiek diferencēts atkarībā no atļauj</w:t>
            </w:r>
            <w:r w:rsidR="004056CF">
              <w:t xml:space="preserve">as veida, </w:t>
            </w:r>
            <w:r>
              <w:t>apsaimniekojamā atkritumu daudzuma</w:t>
            </w:r>
            <w:r w:rsidR="004056CF">
              <w:t xml:space="preserve"> </w:t>
            </w:r>
            <w:r w:rsidR="004056CF" w:rsidRPr="00C55892">
              <w:t>un apsaimniekoto atkritumu veida – bīstami vai nebīstami</w:t>
            </w:r>
            <w:r w:rsidRPr="00C55892">
              <w:t>,</w:t>
            </w:r>
            <w:r>
              <w:t xml:space="preserve"> nosakot to atbilstoši paredzamajiem izdevumiem, kas saistās ar atkritumu </w:t>
            </w:r>
            <w:proofErr w:type="spellStart"/>
            <w:r>
              <w:t>apsaimniekotāju</w:t>
            </w:r>
            <w:proofErr w:type="spellEnd"/>
            <w:r>
              <w:t xml:space="preserve">, atkritumu tirgotāju un atkritumu apsaimniekošanas starpnieku radīto </w:t>
            </w:r>
            <w:bookmarkStart w:id="0" w:name="__DdeLink__994_1968447536"/>
            <w:r>
              <w:t>potenciālo vides piesārņojumu</w:t>
            </w:r>
            <w:bookmarkEnd w:id="0"/>
            <w:r w:rsidR="008B1668">
              <w:t xml:space="preserve"> valstij.</w:t>
            </w:r>
            <w:r w:rsidR="005E245A">
              <w:t xml:space="preserve"> </w:t>
            </w:r>
            <w:r w:rsidR="00653906">
              <w:t>Attiecīgi f</w:t>
            </w:r>
            <w:r w:rsidR="00653906" w:rsidRPr="00653906">
              <w:t>inanšu nodrošinājuma apmērs par atkritumu apsaimniekošanas atļauju atbilstoši normatīvajiem aktiem par atkritumu apsaimniekošanas atļaujas izsniegšanas un anulēšanas kārtību, atkritumu tirgotāju un atkritumu apsaimniekošanas starpnieku reģistrācijas un informācijas sniegšanas kārtību, kā arī par valsts nodevu un tās maksāšanas kārtību paredzēts 50 000 </w:t>
            </w:r>
            <w:proofErr w:type="spellStart"/>
            <w:r w:rsidR="00653906" w:rsidRPr="00653906">
              <w:rPr>
                <w:i/>
              </w:rPr>
              <w:t>euro</w:t>
            </w:r>
            <w:proofErr w:type="spellEnd"/>
            <w:r w:rsidR="00653906" w:rsidRPr="00653906">
              <w:t xml:space="preserve"> gadā, tikmēr par atļauju atkritumu pārstrādes vai reģenerācijas darbībām atbilstoši normatīvajiem aktiem par piesārņojumu – 100 000 </w:t>
            </w:r>
            <w:proofErr w:type="spellStart"/>
            <w:r w:rsidR="00653906" w:rsidRPr="00653906">
              <w:rPr>
                <w:i/>
              </w:rPr>
              <w:t>euro</w:t>
            </w:r>
            <w:proofErr w:type="spellEnd"/>
            <w:r w:rsidR="00653906" w:rsidRPr="00653906">
              <w:t xml:space="preserve"> gadā.</w:t>
            </w:r>
          </w:p>
          <w:p w14:paraId="29FEAF8A" w14:textId="5B8A5A26" w:rsidR="00593AD1" w:rsidRDefault="00062378" w:rsidP="00DF2593">
            <w:pPr>
              <w:pStyle w:val="BodyText"/>
              <w:numPr>
                <w:ilvl w:val="0"/>
                <w:numId w:val="1"/>
              </w:numPr>
              <w:spacing w:after="0" w:line="240" w:lineRule="auto"/>
              <w:ind w:left="408" w:hanging="357"/>
              <w:jc w:val="both"/>
            </w:pPr>
            <w:r>
              <w:t xml:space="preserve">paredzēts, ka, </w:t>
            </w:r>
            <w:r w:rsidRPr="00062378">
              <w:t>ja</w:t>
            </w:r>
            <w:r w:rsidR="005E2DE4">
              <w:t xml:space="preserve"> atkritumu </w:t>
            </w:r>
            <w:proofErr w:type="spellStart"/>
            <w:r w:rsidR="005E2DE4">
              <w:t>apsaimniekotājs</w:t>
            </w:r>
            <w:proofErr w:type="spellEnd"/>
            <w:r w:rsidRPr="00062378">
              <w:t xml:space="preserve"> </w:t>
            </w:r>
            <w:r w:rsidR="005E2DE4">
              <w:t>veiks</w:t>
            </w:r>
            <w:r w:rsidRPr="00062378">
              <w:t xml:space="preserve"> tikai nolietoto transportlīdzekļu apsaimniekošan</w:t>
            </w:r>
            <w:r w:rsidR="005E2DE4">
              <w:t>u</w:t>
            </w:r>
            <w:r w:rsidRPr="00062378">
              <w:t xml:space="preserve"> un ja</w:t>
            </w:r>
            <w:r w:rsidR="005E2DE4">
              <w:t xml:space="preserve"> tam izsniegtajā</w:t>
            </w:r>
            <w:r w:rsidRPr="00062378">
              <w:t xml:space="preserve"> pārstrādes vai reģenerācijas atļaujā vai iesniegumā pārstrādes vai reģenerācijas darbības atļaujas saņemšanai norādītais kopējais</w:t>
            </w:r>
            <w:r w:rsidR="005B3125">
              <w:t xml:space="preserve"> </w:t>
            </w:r>
            <w:r w:rsidR="005B3125" w:rsidRPr="005B3125">
              <w:t>pārstrādājamo</w:t>
            </w:r>
            <w:r w:rsidRPr="00062378">
              <w:t xml:space="preserve"> nolietoto transportlīdzekļu apjoms </w:t>
            </w:r>
            <w:r w:rsidR="005E2DE4">
              <w:t>ir</w:t>
            </w:r>
            <w:r w:rsidRPr="00062378">
              <w:t xml:space="preserve"> mazāks par 100 tonnām gadā,</w:t>
            </w:r>
            <w:r>
              <w:t xml:space="preserve"> finanšu nodrošin</w:t>
            </w:r>
            <w:r w:rsidR="005E2DE4">
              <w:t>ājuma apmērs</w:t>
            </w:r>
            <w:r>
              <w:t xml:space="preserve"> </w:t>
            </w:r>
            <w:r w:rsidR="00FE717C">
              <w:t xml:space="preserve">ir </w:t>
            </w:r>
            <w:r w:rsidR="001B069C">
              <w:t>25</w:t>
            </w:r>
            <w:r w:rsidR="005E2DE4">
              <w:t> 000 </w:t>
            </w:r>
            <w:proofErr w:type="spellStart"/>
            <w:r w:rsidRPr="00DF2593">
              <w:rPr>
                <w:i/>
              </w:rPr>
              <w:t>euro</w:t>
            </w:r>
            <w:proofErr w:type="spellEnd"/>
            <w:r w:rsidRPr="00062378">
              <w:t xml:space="preserve"> gadā</w:t>
            </w:r>
            <w:r>
              <w:t xml:space="preserve">. </w:t>
            </w:r>
            <w:r w:rsidR="00FE717C">
              <w:t xml:space="preserve">Nolietoto transportlīdzekļu apsaimniekošanas ietvaros tiek </w:t>
            </w:r>
            <w:r w:rsidR="00570660">
              <w:t xml:space="preserve">ievēroti aprites ekonomikas principi un </w:t>
            </w:r>
            <w:r w:rsidR="00FE717C">
              <w:t xml:space="preserve">veikta derīgo detaļu atgriešana saimnieciskajā apritē, tādēļ paredzams, ka izdevumi </w:t>
            </w:r>
            <w:r w:rsidR="00570660">
              <w:t xml:space="preserve">neliela daudzuma </w:t>
            </w:r>
            <w:r w:rsidR="00A77757">
              <w:t>atkritumu</w:t>
            </w:r>
            <w:r w:rsidR="00FE717C">
              <w:t xml:space="preserve"> apsaimniekošanas gadījumā būs mazāki.</w:t>
            </w:r>
            <w:r w:rsidR="00DF2593">
              <w:t xml:space="preserve"> Finanšu nodrošinājuma apmērs noteikts, ņemot vērā paredzamās nolietoto transportlīdzekļu </w:t>
            </w:r>
            <w:r w:rsidR="00DF2593" w:rsidRPr="00DF2593">
              <w:rPr>
                <w:bCs/>
              </w:rPr>
              <w:t>apsaimniekošanas izmaksas</w:t>
            </w:r>
            <w:r w:rsidR="00DF2593">
              <w:rPr>
                <w:bCs/>
              </w:rPr>
              <w:t xml:space="preserve">. </w:t>
            </w:r>
            <w:r w:rsidR="00DF2593" w:rsidRPr="00DF2593">
              <w:rPr>
                <w:bCs/>
                <w:color w:val="000000"/>
              </w:rPr>
              <w:t xml:space="preserve">Saskaņā ar VVD sniegto informāciju </w:t>
            </w:r>
            <w:r w:rsidR="00DF2593" w:rsidRPr="00DF2593">
              <w:rPr>
                <w:bCs/>
              </w:rPr>
              <w:t>atkritumu apsaimniekošanas izmaksas vidēji ir sākot no 200 </w:t>
            </w:r>
            <w:proofErr w:type="spellStart"/>
            <w:r w:rsidR="00DF2593" w:rsidRPr="00DF2593">
              <w:rPr>
                <w:bCs/>
                <w:i/>
              </w:rPr>
              <w:t>euro</w:t>
            </w:r>
            <w:proofErr w:type="spellEnd"/>
            <w:r w:rsidR="00DF2593" w:rsidRPr="00DF2593">
              <w:rPr>
                <w:bCs/>
              </w:rPr>
              <w:t xml:space="preserve"> līdz 500 </w:t>
            </w:r>
            <w:proofErr w:type="spellStart"/>
            <w:r w:rsidR="00DF2593" w:rsidRPr="00DF2593">
              <w:rPr>
                <w:bCs/>
                <w:i/>
              </w:rPr>
              <w:t>euro</w:t>
            </w:r>
            <w:proofErr w:type="spellEnd"/>
            <w:r w:rsidR="00DF2593" w:rsidRPr="00DF2593">
              <w:rPr>
                <w:bCs/>
              </w:rPr>
              <w:t xml:space="preserve"> </w:t>
            </w:r>
            <w:r w:rsidR="00DF2593">
              <w:rPr>
                <w:bCs/>
              </w:rPr>
              <w:t xml:space="preserve">par tonnu </w:t>
            </w:r>
            <w:r w:rsidR="00DF2593" w:rsidRPr="00DF2593">
              <w:rPr>
                <w:bCs/>
              </w:rPr>
              <w:t>(piemēram, riepas šobrīd uz Lietuvu var izvest 2</w:t>
            </w:r>
            <w:r w:rsidR="00653906">
              <w:rPr>
                <w:bCs/>
              </w:rPr>
              <w:t>5</w:t>
            </w:r>
            <w:r w:rsidR="00DF2593" w:rsidRPr="00DF2593">
              <w:rPr>
                <w:bCs/>
              </w:rPr>
              <w:t>0 </w:t>
            </w:r>
            <w:proofErr w:type="spellStart"/>
            <w:r w:rsidR="00DF2593" w:rsidRPr="00DF2593">
              <w:rPr>
                <w:bCs/>
                <w:i/>
              </w:rPr>
              <w:t>euro</w:t>
            </w:r>
            <w:proofErr w:type="spellEnd"/>
            <w:r w:rsidR="00DF2593" w:rsidRPr="00DF2593">
              <w:rPr>
                <w:bCs/>
              </w:rPr>
              <w:t>/t)</w:t>
            </w:r>
            <w:r w:rsidR="00DF2593" w:rsidRPr="00DF2593">
              <w:rPr>
                <w:bCs/>
                <w:color w:val="000000"/>
              </w:rPr>
              <w:t xml:space="preserve">. </w:t>
            </w:r>
            <w:r w:rsidR="00FE717C">
              <w:t>Papildus noteikts</w:t>
            </w:r>
            <w:r w:rsidRPr="00FE717C">
              <w:t>, ka</w:t>
            </w:r>
            <w:r w:rsidR="00FE717C" w:rsidRPr="00FE717C">
              <w:t>,</w:t>
            </w:r>
            <w:r w:rsidRPr="00FE717C">
              <w:t xml:space="preserve"> ja </w:t>
            </w:r>
            <w:r w:rsidR="00FE717C" w:rsidRPr="00FE717C">
              <w:t xml:space="preserve">atkritumu </w:t>
            </w:r>
            <w:proofErr w:type="spellStart"/>
            <w:r w:rsidR="00FE717C" w:rsidRPr="00FE717C">
              <w:t>apsaimniekotājs</w:t>
            </w:r>
            <w:proofErr w:type="spellEnd"/>
            <w:r w:rsidR="00FE717C" w:rsidRPr="00FE717C">
              <w:t xml:space="preserve"> ir saņēmis atļauju </w:t>
            </w:r>
            <w:r w:rsidRPr="00FE717C">
              <w:t>tikai atkritumu pārvadāšana</w:t>
            </w:r>
            <w:r w:rsidR="00FE717C" w:rsidRPr="00FE717C">
              <w:t>i</w:t>
            </w:r>
            <w:r w:rsidRPr="00FE717C">
              <w:t xml:space="preserve">, </w:t>
            </w:r>
            <w:r w:rsidR="00FE717C" w:rsidRPr="00FE717C">
              <w:t>finanšu nodrošin</w:t>
            </w:r>
            <w:r w:rsidR="00C07A09">
              <w:t>ājuma apmērs</w:t>
            </w:r>
            <w:r w:rsidR="00FE717C" w:rsidRPr="00FE717C">
              <w:t xml:space="preserve"> </w:t>
            </w:r>
            <w:r w:rsidRPr="00FE717C">
              <w:t>ir 10 000 </w:t>
            </w:r>
            <w:proofErr w:type="spellStart"/>
            <w:r w:rsidRPr="00DF2593">
              <w:rPr>
                <w:i/>
              </w:rPr>
              <w:t>euro</w:t>
            </w:r>
            <w:proofErr w:type="spellEnd"/>
            <w:r w:rsidR="00FE717C">
              <w:t xml:space="preserve"> gadā, jo</w:t>
            </w:r>
            <w:r w:rsidR="00C07A09">
              <w:t>, veicot tikai atkritumu pārvadāšanas darbības,</w:t>
            </w:r>
            <w:r w:rsidR="00FE717C">
              <w:t xml:space="preserve"> netiek veikta atkritumu uzglabāšana.</w:t>
            </w:r>
            <w:r w:rsidR="00FE717C" w:rsidRPr="00FE717C">
              <w:t xml:space="preserve"> </w:t>
            </w:r>
          </w:p>
          <w:p w14:paraId="2AA0FE80" w14:textId="77777777" w:rsidR="00593AD1" w:rsidRDefault="00062378" w:rsidP="00593AD1">
            <w:pPr>
              <w:pStyle w:val="BodyText"/>
              <w:numPr>
                <w:ilvl w:val="0"/>
                <w:numId w:val="1"/>
              </w:numPr>
              <w:spacing w:after="0" w:line="240" w:lineRule="auto"/>
              <w:ind w:left="408" w:hanging="357"/>
              <w:jc w:val="both"/>
            </w:pPr>
            <w:r>
              <w:t>ievērojot</w:t>
            </w:r>
            <w:r w:rsidR="00FC4E86">
              <w:t xml:space="preserve"> </w:t>
            </w:r>
            <w:r w:rsidR="00320363">
              <w:t>Likuma 12. panta 1.</w:t>
            </w:r>
            <w:r w:rsidR="00320363" w:rsidRPr="00320363">
              <w:rPr>
                <w:vertAlign w:val="superscript"/>
              </w:rPr>
              <w:t>5</w:t>
            </w:r>
            <w:r w:rsidR="00320363">
              <w:t xml:space="preserve"> un 1.</w:t>
            </w:r>
            <w:r w:rsidR="00320363" w:rsidRPr="00320363">
              <w:rPr>
                <w:vertAlign w:val="superscript"/>
              </w:rPr>
              <w:t>7</w:t>
            </w:r>
            <w:r w:rsidR="00320363">
              <w:t xml:space="preserve"> daļā noteikto, Noteikumu projekts paredz, ka, ja atkritumu </w:t>
            </w:r>
            <w:proofErr w:type="spellStart"/>
            <w:r w:rsidR="00320363">
              <w:t>apsaimniekotājam</w:t>
            </w:r>
            <w:proofErr w:type="spellEnd"/>
            <w:r w:rsidR="00320363">
              <w:t xml:space="preserve"> ir izsniegtas vairākas atļaujas</w:t>
            </w:r>
            <w:r w:rsidR="00773B4A">
              <w:t xml:space="preserve"> Likuma</w:t>
            </w:r>
            <w:r w:rsidR="00320363">
              <w:t xml:space="preserve"> </w:t>
            </w:r>
            <w:r w:rsidR="00773B4A">
              <w:t>12. </w:t>
            </w:r>
            <w:r w:rsidR="00320363">
              <w:t>panta pirmajā daļā minētajām darbībām</w:t>
            </w:r>
            <w:r w:rsidR="00773B4A">
              <w:t xml:space="preserve">, tas iesniedz VVD </w:t>
            </w:r>
            <w:r w:rsidR="00773B4A">
              <w:lastRenderedPageBreak/>
              <w:t>vienu finanšu nodrošinājumu par to atļauju, kurā norādīts lielākais apsaimniekojamo atkritumu apjoms. Tāpat, ja</w:t>
            </w:r>
            <w:r w:rsidR="00320363">
              <w:t xml:space="preserve"> </w:t>
            </w:r>
            <w:r w:rsidR="00773B4A">
              <w:t xml:space="preserve">atkritumu </w:t>
            </w:r>
            <w:proofErr w:type="spellStart"/>
            <w:r w:rsidR="00773B4A">
              <w:t>apsaimniekotājam</w:t>
            </w:r>
            <w:proofErr w:type="spellEnd"/>
            <w:r w:rsidR="00773B4A">
              <w:t xml:space="preserve"> ir izsniegtas vairākas atļaujas </w:t>
            </w:r>
            <w:r w:rsidR="00320363">
              <w:t xml:space="preserve">atkritumu pārstrādei vai reģenerācijai atbilstoši normatīvajiem aktiem par piesārņojumu, tas iesniedz </w:t>
            </w:r>
            <w:r w:rsidR="00773B4A">
              <w:t>VVD</w:t>
            </w:r>
            <w:r w:rsidR="00320363">
              <w:t xml:space="preserve"> vienu finanšu nodrošinājumu par to atļauju, kurā norādīts lielākais apsaimniekojamo atkritumu apjoms. </w:t>
            </w:r>
            <w:r w:rsidR="00773B4A">
              <w:t>Tas precizēs</w:t>
            </w:r>
            <w:r w:rsidR="00593AD1">
              <w:t xml:space="preserve"> gadījumus, kad </w:t>
            </w:r>
            <w:r w:rsidR="00773B4A">
              <w:t xml:space="preserve">atkritumu </w:t>
            </w:r>
            <w:proofErr w:type="spellStart"/>
            <w:r w:rsidR="00773B4A">
              <w:t>apsaimniekotājam</w:t>
            </w:r>
            <w:proofErr w:type="spellEnd"/>
            <w:r w:rsidR="00FC4E86">
              <w:t xml:space="preserve"> ir izsniegtas vairākas atļaujas (gan </w:t>
            </w:r>
            <w:r w:rsidR="00773B4A">
              <w:t xml:space="preserve">Likuma 12. panta pirmajā daļā minētajām darbībām, gan atkritumu pārstrādei vai reģenerācijai atbilstoši normatīvajiem aktiem par piesārņojumu), un tas </w:t>
            </w:r>
            <w:r>
              <w:t>iesniedz</w:t>
            </w:r>
            <w:r w:rsidR="00773B4A">
              <w:t xml:space="preserve"> mazāk</w:t>
            </w:r>
            <w:r>
              <w:t>o</w:t>
            </w:r>
            <w:r w:rsidR="00773B4A">
              <w:t xml:space="preserve"> finanšu nodrošinājumu, jo atļaujā Likuma 12. panta pirmajā daļā minētajām darbībām </w:t>
            </w:r>
            <w:r w:rsidR="00593AD1" w:rsidRPr="00593AD1">
              <w:t>norādīts lielāks apsaimniekojamo atkritumu daudzums.</w:t>
            </w:r>
          </w:p>
          <w:p w14:paraId="7D504545" w14:textId="6C8FB142" w:rsidR="00997DC0" w:rsidRPr="00C55892" w:rsidRDefault="00997DC0" w:rsidP="005E3CFD">
            <w:pPr>
              <w:pStyle w:val="BodyText"/>
              <w:numPr>
                <w:ilvl w:val="0"/>
                <w:numId w:val="1"/>
              </w:numPr>
              <w:spacing w:after="0" w:line="240" w:lineRule="auto"/>
              <w:ind w:left="408" w:hanging="357"/>
              <w:jc w:val="both"/>
            </w:pPr>
            <w:r w:rsidRPr="00C55892">
              <w:t>ievērojot, ka bīstamo atkritumu apsaimniekošanas izmaksas ir būtiski lielākas nekā nebīstamo atkritumu izmaksas, f</w:t>
            </w:r>
            <w:r w:rsidR="004056CF" w:rsidRPr="00C55892">
              <w:t xml:space="preserve">inanšu nodrošinājums būs jāpalielina, piemērojot koeficientu </w:t>
            </w:r>
            <w:r w:rsidR="0087370F">
              <w:t>2</w:t>
            </w:r>
            <w:r w:rsidR="004056CF" w:rsidRPr="00C55892">
              <w:t xml:space="preserve">,5, ja </w:t>
            </w:r>
            <w:r w:rsidR="007B687E" w:rsidRPr="00C55892">
              <w:t xml:space="preserve">atbilstoši atļaujai </w:t>
            </w:r>
            <w:r w:rsidR="004056CF" w:rsidRPr="00C55892">
              <w:t>tiks apsaimniekoti bīstamie atkritumi</w:t>
            </w:r>
            <w:r w:rsidR="00383560">
              <w:t xml:space="preserve">. </w:t>
            </w:r>
            <w:r w:rsidR="00C76B9B" w:rsidRPr="00C55892">
              <w:t>Piemēram, maksa par Zebrenes bīstamo atkritumu poligonā bīstamo atkritumu apglabāšanu sastāda 145,20 </w:t>
            </w:r>
            <w:proofErr w:type="spellStart"/>
            <w:r w:rsidR="00C76B9B" w:rsidRPr="00C55892">
              <w:rPr>
                <w:i/>
              </w:rPr>
              <w:t>euro</w:t>
            </w:r>
            <w:proofErr w:type="spellEnd"/>
            <w:r w:rsidR="00C76B9B" w:rsidRPr="00C55892">
              <w:t>/t</w:t>
            </w:r>
            <w:r w:rsidR="00C76B9B" w:rsidRPr="00C55892">
              <w:rPr>
                <w:rStyle w:val="FootnoteReference"/>
              </w:rPr>
              <w:footnoteReference w:id="4"/>
            </w:r>
            <w:r w:rsidR="00C76B9B" w:rsidRPr="00C55892">
              <w:t xml:space="preserve">, tikmēr par nebīstamo atkritumu apglabāšanu – vidēji 60 </w:t>
            </w:r>
            <w:proofErr w:type="spellStart"/>
            <w:r w:rsidR="00C76B9B" w:rsidRPr="00C55892">
              <w:rPr>
                <w:i/>
              </w:rPr>
              <w:t>eur</w:t>
            </w:r>
            <w:r w:rsidR="00C76B9B" w:rsidRPr="00C55892">
              <w:t>o</w:t>
            </w:r>
            <w:proofErr w:type="spellEnd"/>
            <w:r w:rsidR="00C76B9B" w:rsidRPr="00C55892">
              <w:t>/t</w:t>
            </w:r>
            <w:r w:rsidR="00C76B9B" w:rsidRPr="00C55892">
              <w:rPr>
                <w:rStyle w:val="FootnoteReference"/>
              </w:rPr>
              <w:footnoteReference w:id="5"/>
            </w:r>
            <w:r w:rsidR="00C76B9B" w:rsidRPr="00C55892">
              <w:t>. J</w:t>
            </w:r>
            <w:r w:rsidR="004056CF" w:rsidRPr="00C55892">
              <w:t>a būs paredzēts apsaimniekot arī bīstamos atkritumus,</w:t>
            </w:r>
            <w:r w:rsidR="00EE389A" w:rsidRPr="00C55892">
              <w:t xml:space="preserve"> finanšu nodrošinājums</w:t>
            </w:r>
            <w:r w:rsidR="007F09A4" w:rsidRPr="00C55892">
              <w:t xml:space="preserve"> 10 000 </w:t>
            </w:r>
            <w:proofErr w:type="spellStart"/>
            <w:r w:rsidR="007F09A4" w:rsidRPr="00C55892">
              <w:rPr>
                <w:i/>
              </w:rPr>
              <w:t>euro</w:t>
            </w:r>
            <w:proofErr w:type="spellEnd"/>
            <w:r w:rsidR="007F09A4" w:rsidRPr="00C55892">
              <w:t xml:space="preserve"> vai</w:t>
            </w:r>
            <w:r w:rsidR="004056CF" w:rsidRPr="00C55892">
              <w:t xml:space="preserve"> </w:t>
            </w:r>
            <w:r w:rsidRPr="00C55892">
              <w:t>5</w:t>
            </w:r>
            <w:r w:rsidR="00EE389A" w:rsidRPr="00C55892">
              <w:t>0</w:t>
            </w:r>
            <w:r w:rsidR="004056CF" w:rsidRPr="00C55892">
              <w:t xml:space="preserve"> 000 </w:t>
            </w:r>
            <w:proofErr w:type="spellStart"/>
            <w:r w:rsidR="004056CF" w:rsidRPr="00C55892">
              <w:rPr>
                <w:i/>
              </w:rPr>
              <w:t>euro</w:t>
            </w:r>
            <w:proofErr w:type="spellEnd"/>
            <w:r w:rsidR="004056CF" w:rsidRPr="00C55892">
              <w:t xml:space="preserve"> </w:t>
            </w:r>
            <w:r w:rsidR="00EE389A" w:rsidRPr="00C55892">
              <w:t xml:space="preserve">apmērā </w:t>
            </w:r>
            <w:r w:rsidR="004056CF" w:rsidRPr="00C55892">
              <w:t xml:space="preserve">būs jāreizina ar koeficientu </w:t>
            </w:r>
            <w:r w:rsidR="003376DF">
              <w:t>2</w:t>
            </w:r>
            <w:r w:rsidR="004056CF" w:rsidRPr="00C55892">
              <w:t>,5</w:t>
            </w:r>
            <w:r w:rsidR="007F09A4" w:rsidRPr="00C55892">
              <w:t>,</w:t>
            </w:r>
            <w:r w:rsidR="004056CF" w:rsidRPr="00C55892">
              <w:t xml:space="preserve"> un VVD jāiesniedz finanšu nodrošinājums</w:t>
            </w:r>
            <w:r w:rsidR="00653906">
              <w:t xml:space="preserve"> 2</w:t>
            </w:r>
            <w:r w:rsidR="007F09A4" w:rsidRPr="00C55892">
              <w:t>5 000 </w:t>
            </w:r>
            <w:proofErr w:type="spellStart"/>
            <w:r w:rsidR="007F09A4" w:rsidRPr="00C55892">
              <w:rPr>
                <w:i/>
              </w:rPr>
              <w:t>euro</w:t>
            </w:r>
            <w:proofErr w:type="spellEnd"/>
            <w:r w:rsidR="007F09A4" w:rsidRPr="00C55892">
              <w:t xml:space="preserve"> vai</w:t>
            </w:r>
            <w:r w:rsidR="004056CF" w:rsidRPr="00C55892">
              <w:t xml:space="preserve"> </w:t>
            </w:r>
            <w:r w:rsidR="00653906">
              <w:t>125</w:t>
            </w:r>
            <w:r w:rsidR="00EE389A" w:rsidRPr="00C55892">
              <w:t> 000</w:t>
            </w:r>
            <w:r w:rsidR="004056CF" w:rsidRPr="00C55892">
              <w:t> </w:t>
            </w:r>
            <w:proofErr w:type="spellStart"/>
            <w:r w:rsidR="004056CF" w:rsidRPr="00C55892">
              <w:rPr>
                <w:i/>
              </w:rPr>
              <w:t>euro</w:t>
            </w:r>
            <w:proofErr w:type="spellEnd"/>
            <w:r w:rsidR="004056CF" w:rsidRPr="00C55892">
              <w:t xml:space="preserve"> apmērā</w:t>
            </w:r>
            <w:r w:rsidR="00E06C7D" w:rsidRPr="00C55892">
              <w:t xml:space="preserve"> gadā</w:t>
            </w:r>
            <w:r w:rsidR="00593AD1" w:rsidRPr="00C55892">
              <w:t xml:space="preserve"> vai</w:t>
            </w:r>
            <w:r w:rsidR="00C07A09" w:rsidRPr="00C55892">
              <w:t>, ja</w:t>
            </w:r>
            <w:r w:rsidR="00593AD1" w:rsidRPr="00C55892">
              <w:t xml:space="preserve"> 100</w:t>
            </w:r>
            <w:r w:rsidR="00C07A09" w:rsidRPr="00C55892">
              <w:t> </w:t>
            </w:r>
            <w:r w:rsidR="00593AD1" w:rsidRPr="00C55892">
              <w:t>000</w:t>
            </w:r>
            <w:r w:rsidR="00C07A09" w:rsidRPr="00C55892">
              <w:t> </w:t>
            </w:r>
            <w:proofErr w:type="spellStart"/>
            <w:r w:rsidR="00C07A09" w:rsidRPr="00C55892">
              <w:rPr>
                <w:i/>
              </w:rPr>
              <w:t>euro</w:t>
            </w:r>
            <w:proofErr w:type="spellEnd"/>
            <w:r w:rsidR="00593AD1" w:rsidRPr="00C55892">
              <w:t xml:space="preserve"> apmērā</w:t>
            </w:r>
            <w:r w:rsidR="00C07A09" w:rsidRPr="00C55892">
              <w:t>,</w:t>
            </w:r>
            <w:r w:rsidR="00653906">
              <w:t xml:space="preserve"> – 2</w:t>
            </w:r>
            <w:r w:rsidR="00593AD1" w:rsidRPr="00C55892">
              <w:t xml:space="preserve">50 000 </w:t>
            </w:r>
            <w:proofErr w:type="spellStart"/>
            <w:r w:rsidR="00593AD1" w:rsidRPr="00C55892">
              <w:rPr>
                <w:i/>
              </w:rPr>
              <w:t>euro</w:t>
            </w:r>
            <w:proofErr w:type="spellEnd"/>
            <w:r w:rsidR="00593AD1" w:rsidRPr="00C55892">
              <w:t xml:space="preserve"> gadā</w:t>
            </w:r>
            <w:r w:rsidR="00597D9F" w:rsidRPr="00C55892">
              <w:t xml:space="preserve">. </w:t>
            </w:r>
            <w:r w:rsidR="00653906">
              <w:t xml:space="preserve">Finanšu nodrošinājums un koeficients piemērojams atkritumu apsaimniekošanai, nevis radītajiem atkritumiem. </w:t>
            </w:r>
            <w:r w:rsidR="009E3017">
              <w:t>Koeficients</w:t>
            </w:r>
            <w:r w:rsidRPr="00C55892">
              <w:t xml:space="preserve"> n</w:t>
            </w:r>
            <w:r w:rsidR="0054304A" w:rsidRPr="00C55892">
              <w:t>eattieksies uz gadījumiem, kad izsniegta atļauja</w:t>
            </w:r>
            <w:r w:rsidRPr="00C55892">
              <w:t xml:space="preserve"> tikai nolietoto transportlīdzekļu </w:t>
            </w:r>
            <w:r w:rsidR="0054304A" w:rsidRPr="00C55892">
              <w:t>apsaimniekošanai</w:t>
            </w:r>
            <w:r w:rsidRPr="00C55892">
              <w:t xml:space="preserve"> līdz 100 tonnām gadā</w:t>
            </w:r>
            <w:r w:rsidR="0054304A" w:rsidRPr="00C55892">
              <w:t xml:space="preserve">, jo saskaņā ar Ministru kabineta 2011. gada 19. aprīļa noteikumu Nr. 302 “Noteikumi par atkritumu klasifikatoru un īpašībām, kuras padara atkritumus bīstamus” pielikuma 669. punktu nolietotie transportlīdzekļi ir bīstamie atkritumi un finanšu nodrošinājums noteikts </w:t>
            </w:r>
            <w:r w:rsidR="0082793A">
              <w:t>25</w:t>
            </w:r>
            <w:r w:rsidR="0054304A" w:rsidRPr="00C55892">
              <w:t> 000 </w:t>
            </w:r>
            <w:proofErr w:type="spellStart"/>
            <w:r w:rsidR="0054304A" w:rsidRPr="00C55892">
              <w:rPr>
                <w:i/>
              </w:rPr>
              <w:t>euro</w:t>
            </w:r>
            <w:proofErr w:type="spellEnd"/>
            <w:r w:rsidR="0054304A" w:rsidRPr="00C55892">
              <w:t xml:space="preserve"> gadā</w:t>
            </w:r>
            <w:r w:rsidRPr="00C55892">
              <w:t>.</w:t>
            </w:r>
            <w:r w:rsidR="0087370F">
              <w:t xml:space="preserve"> </w:t>
            </w:r>
            <w:r w:rsidR="009E3017">
              <w:t>K</w:t>
            </w:r>
            <w:r w:rsidR="0087370F">
              <w:t>oeficients</w:t>
            </w:r>
            <w:r w:rsidR="00443247">
              <w:t xml:space="preserve"> finanšu nodrošinājuma apmēram</w:t>
            </w:r>
            <w:r w:rsidR="0087370F">
              <w:t xml:space="preserve"> neti</w:t>
            </w:r>
            <w:r w:rsidR="00383560">
              <w:t>ks</w:t>
            </w:r>
            <w:r w:rsidR="0087370F">
              <w:t xml:space="preserve"> </w:t>
            </w:r>
            <w:r w:rsidR="009E3017">
              <w:t>piemērot</w:t>
            </w:r>
            <w:r w:rsidR="003531CA">
              <w:t>s</w:t>
            </w:r>
            <w:r w:rsidR="009E3017">
              <w:t xml:space="preserve"> arī </w:t>
            </w:r>
            <w:r w:rsidR="009E3017" w:rsidRPr="00906DD3">
              <w:t xml:space="preserve">gadījumā, </w:t>
            </w:r>
            <w:r w:rsidR="00906DD3" w:rsidRPr="00311330">
              <w:t xml:space="preserve">ja </w:t>
            </w:r>
            <w:r w:rsidR="00311330" w:rsidRPr="00311330">
              <w:t>atļauja ir izsniegta bīstamo atkritumu savākšanai šķiroto atkritumu savākšanas laukumos</w:t>
            </w:r>
            <w:r w:rsidR="00311330">
              <w:rPr>
                <w:sz w:val="28"/>
                <w:szCs w:val="28"/>
              </w:rPr>
              <w:t xml:space="preserve"> </w:t>
            </w:r>
            <w:r w:rsidR="00906DD3" w:rsidRPr="00906DD3">
              <w:t xml:space="preserve">atbilstoši </w:t>
            </w:r>
            <w:r w:rsidR="0087370F" w:rsidRPr="00906DD3">
              <w:t>Ministru kabineta 2016. gada 13. decembra noteikumiem Nr. 788 “Noteikumi par atkritumu savākšanas un šķirošanas vietām”</w:t>
            </w:r>
            <w:r w:rsidR="00587C8C" w:rsidRPr="00906DD3">
              <w:t xml:space="preserve"> (turpmāk – MKN 788)</w:t>
            </w:r>
            <w:r w:rsidR="0087370F" w:rsidRPr="00906DD3">
              <w:t>.</w:t>
            </w:r>
            <w:r w:rsidR="00383560">
              <w:t xml:space="preserve"> </w:t>
            </w:r>
          </w:p>
          <w:p w14:paraId="0B7E60EE" w14:textId="77777777" w:rsidR="005E3CFD" w:rsidRDefault="00997DC0" w:rsidP="005E3CFD">
            <w:pPr>
              <w:pStyle w:val="BodyText"/>
              <w:numPr>
                <w:ilvl w:val="0"/>
                <w:numId w:val="1"/>
              </w:numPr>
              <w:spacing w:after="0" w:line="240" w:lineRule="auto"/>
              <w:ind w:left="408" w:hanging="357"/>
              <w:jc w:val="both"/>
            </w:pPr>
            <w:r>
              <w:t>a</w:t>
            </w:r>
            <w:r w:rsidR="00875D05" w:rsidRPr="00875D05">
              <w:t>tkritumu tirdzniecības un atkritumu apsaimniekošanas starpniecības darbībām finanšu nodrošinājums noteikts</w:t>
            </w:r>
            <w:r w:rsidR="00E7092B">
              <w:t xml:space="preserve"> fiksētā</w:t>
            </w:r>
            <w:r w:rsidR="00875D05" w:rsidRPr="00875D05">
              <w:t xml:space="preserve"> </w:t>
            </w:r>
            <w:r>
              <w:t>50</w:t>
            </w:r>
            <w:r w:rsidR="00875D05" w:rsidRPr="00875D05">
              <w:t xml:space="preserve"> 000 </w:t>
            </w:r>
            <w:proofErr w:type="spellStart"/>
            <w:r w:rsidR="00875D05" w:rsidRPr="00875D05">
              <w:rPr>
                <w:i/>
              </w:rPr>
              <w:t>euro</w:t>
            </w:r>
            <w:proofErr w:type="spellEnd"/>
            <w:r w:rsidR="00875D05" w:rsidRPr="00875D05">
              <w:t xml:space="preserve"> apmērā</w:t>
            </w:r>
            <w:r w:rsidR="00E06C7D">
              <w:t xml:space="preserve"> gadā</w:t>
            </w:r>
            <w:r w:rsidR="00875D05" w:rsidRPr="00875D05">
              <w:t xml:space="preserve">, tikmēr par slēgtas vai </w:t>
            </w:r>
            <w:proofErr w:type="spellStart"/>
            <w:r w:rsidR="00875D05" w:rsidRPr="00875D05">
              <w:t>rekultivētas</w:t>
            </w:r>
            <w:proofErr w:type="spellEnd"/>
            <w:r w:rsidR="00875D05" w:rsidRPr="00875D05">
              <w:t xml:space="preserve"> atkritumu izgāztuves atrakšanu un a</w:t>
            </w:r>
            <w:r w:rsidR="00FC7EDA">
              <w:t>tkritumu pāršķirošanu – 100 000 </w:t>
            </w:r>
            <w:proofErr w:type="spellStart"/>
            <w:r w:rsidR="00875D05" w:rsidRPr="00875D05">
              <w:rPr>
                <w:i/>
                <w:iCs/>
              </w:rPr>
              <w:t>euro</w:t>
            </w:r>
            <w:proofErr w:type="spellEnd"/>
            <w:r w:rsidR="00875D05" w:rsidRPr="00875D05">
              <w:rPr>
                <w:iCs/>
              </w:rPr>
              <w:t xml:space="preserve"> apmērā</w:t>
            </w:r>
            <w:r w:rsidR="00E06C7D">
              <w:rPr>
                <w:iCs/>
              </w:rPr>
              <w:t xml:space="preserve"> gadā</w:t>
            </w:r>
            <w:r w:rsidR="00875D05" w:rsidRPr="00875D05">
              <w:rPr>
                <w:iCs/>
              </w:rPr>
              <w:t>.</w:t>
            </w:r>
          </w:p>
          <w:p w14:paraId="0A593D7E" w14:textId="77777777" w:rsidR="005C33BA" w:rsidRPr="005C33BA" w:rsidRDefault="00FC4E86" w:rsidP="00C07A09">
            <w:pPr>
              <w:pStyle w:val="BodyText"/>
              <w:numPr>
                <w:ilvl w:val="0"/>
                <w:numId w:val="1"/>
              </w:numPr>
              <w:spacing w:after="0" w:line="240" w:lineRule="auto"/>
              <w:ind w:left="408" w:hanging="357"/>
              <w:jc w:val="both"/>
            </w:pPr>
            <w:r>
              <w:lastRenderedPageBreak/>
              <w:t>lai nodrošinātu pārejas laiku (īpaši</w:t>
            </w:r>
            <w:r w:rsidR="00C07A09">
              <w:t xml:space="preserve"> ievērojot to, ka</w:t>
            </w:r>
            <w:r>
              <w:t xml:space="preserve"> finanšu nodrošin</w:t>
            </w:r>
            <w:r w:rsidR="00C07A09">
              <w:t>ājums pieaugs</w:t>
            </w:r>
            <w:r>
              <w:t xml:space="preserve"> par bīstamo atkritumu apsaimnieko</w:t>
            </w:r>
            <w:r w:rsidR="00C07A09">
              <w:t>šanu</w:t>
            </w:r>
            <w:r>
              <w:t xml:space="preserve">), </w:t>
            </w:r>
            <w:r w:rsidR="004C793D">
              <w:t xml:space="preserve">paredzēts, ka finanšu nodrošinājums, kas izsniegts līdz šo noteikumu spēkā stāšanās dienai, būs derīgs līdz tajā norādītā termiņa beigām. </w:t>
            </w:r>
            <w:r w:rsidR="005E4595" w:rsidRPr="005E4595">
              <w:t>Pirms finanšu nodrošinājuma termiņa beigām</w:t>
            </w:r>
            <w:r w:rsidR="004C793D">
              <w:t xml:space="preserve"> atkritumu </w:t>
            </w:r>
            <w:proofErr w:type="spellStart"/>
            <w:r w:rsidR="004C793D">
              <w:t>apsaimniekotājam</w:t>
            </w:r>
            <w:proofErr w:type="spellEnd"/>
            <w:r w:rsidR="004C793D">
              <w:t xml:space="preserve"> būs jāiesniedz V</w:t>
            </w:r>
            <w:r w:rsidR="00040FAA">
              <w:t>VD</w:t>
            </w:r>
            <w:r w:rsidR="004C793D">
              <w:t xml:space="preserve"> jauns finanšu nodrošinājums, kas atbilst jaunajam regulējumam.</w:t>
            </w:r>
            <w:r w:rsidR="002B43C5">
              <w:t xml:space="preserve"> Papildus </w:t>
            </w:r>
            <w:r w:rsidR="005C33BA">
              <w:t xml:space="preserve">paredzēts, ka </w:t>
            </w:r>
            <w:r w:rsidR="005C33BA" w:rsidRPr="005C33BA">
              <w:t>spēku zaudē</w:t>
            </w:r>
            <w:r w:rsidR="005C33BA">
              <w:t>s MKN 2.</w:t>
            </w:r>
          </w:p>
        </w:tc>
      </w:tr>
      <w:tr w:rsidR="00DE61D9" w14:paraId="5230FAD4" w14:textId="77777777">
        <w:trPr>
          <w:trHeight w:val="372"/>
        </w:trPr>
        <w:tc>
          <w:tcPr>
            <w:tcW w:w="438" w:type="dxa"/>
            <w:tcBorders>
              <w:top w:val="outset" w:sz="6" w:space="0" w:color="414142"/>
              <w:left w:val="outset" w:sz="6" w:space="0" w:color="414142"/>
              <w:bottom w:val="outset" w:sz="6" w:space="0" w:color="414142"/>
              <w:right w:val="outset" w:sz="6" w:space="0" w:color="414142"/>
            </w:tcBorders>
            <w:shd w:val="clear" w:color="auto" w:fill="auto"/>
          </w:tcPr>
          <w:p w14:paraId="2909E2F8" w14:textId="77777777" w:rsidR="00DE61D9" w:rsidRDefault="004C793D">
            <w:pPr>
              <w:spacing w:before="280" w:after="280" w:line="293" w:lineRule="atLeast"/>
              <w:jc w:val="center"/>
            </w:pPr>
            <w:r>
              <w:lastRenderedPageBreak/>
              <w:t>3.</w:t>
            </w:r>
          </w:p>
        </w:tc>
        <w:tc>
          <w:tcPr>
            <w:tcW w:w="2399" w:type="dxa"/>
            <w:tcBorders>
              <w:top w:val="outset" w:sz="6" w:space="0" w:color="414142"/>
              <w:left w:val="outset" w:sz="6" w:space="0" w:color="414142"/>
              <w:bottom w:val="outset" w:sz="6" w:space="0" w:color="414142"/>
              <w:right w:val="outset" w:sz="6" w:space="0" w:color="414142"/>
            </w:tcBorders>
            <w:shd w:val="clear" w:color="auto" w:fill="auto"/>
          </w:tcPr>
          <w:p w14:paraId="7B551011" w14:textId="77777777" w:rsidR="00DE61D9" w:rsidRDefault="004C793D">
            <w:r>
              <w:t>Projekta izstrādē iesaistītās institūcijas un publiskas personas kapitālsabiedrības</w:t>
            </w:r>
          </w:p>
        </w:tc>
        <w:tc>
          <w:tcPr>
            <w:tcW w:w="6234" w:type="dxa"/>
            <w:tcBorders>
              <w:top w:val="outset" w:sz="6" w:space="0" w:color="414142"/>
              <w:left w:val="outset" w:sz="6" w:space="0" w:color="414142"/>
              <w:bottom w:val="outset" w:sz="6" w:space="0" w:color="414142"/>
              <w:right w:val="outset" w:sz="6" w:space="0" w:color="414142"/>
            </w:tcBorders>
            <w:shd w:val="clear" w:color="auto" w:fill="auto"/>
          </w:tcPr>
          <w:p w14:paraId="0956636D" w14:textId="77777777" w:rsidR="00DE61D9" w:rsidRDefault="004C793D">
            <w:pPr>
              <w:ind w:left="57" w:right="57"/>
              <w:jc w:val="both"/>
            </w:pPr>
            <w:r>
              <w:t>VARAM</w:t>
            </w:r>
          </w:p>
        </w:tc>
      </w:tr>
      <w:tr w:rsidR="00DE61D9" w14:paraId="75421F60" w14:textId="77777777">
        <w:tc>
          <w:tcPr>
            <w:tcW w:w="438" w:type="dxa"/>
            <w:tcBorders>
              <w:top w:val="outset" w:sz="6" w:space="0" w:color="414142"/>
              <w:left w:val="outset" w:sz="6" w:space="0" w:color="414142"/>
              <w:bottom w:val="outset" w:sz="6" w:space="0" w:color="414142"/>
              <w:right w:val="outset" w:sz="6" w:space="0" w:color="414142"/>
            </w:tcBorders>
            <w:shd w:val="clear" w:color="auto" w:fill="auto"/>
          </w:tcPr>
          <w:p w14:paraId="3C1373A1" w14:textId="77777777" w:rsidR="00DE61D9" w:rsidRDefault="004C793D">
            <w:pPr>
              <w:spacing w:before="280" w:after="280" w:line="293" w:lineRule="atLeast"/>
              <w:jc w:val="center"/>
            </w:pPr>
            <w:r>
              <w:t>4.</w:t>
            </w:r>
          </w:p>
        </w:tc>
        <w:tc>
          <w:tcPr>
            <w:tcW w:w="2399" w:type="dxa"/>
            <w:tcBorders>
              <w:top w:val="outset" w:sz="6" w:space="0" w:color="414142"/>
              <w:left w:val="outset" w:sz="6" w:space="0" w:color="414142"/>
              <w:bottom w:val="outset" w:sz="6" w:space="0" w:color="414142"/>
              <w:right w:val="outset" w:sz="6" w:space="0" w:color="414142"/>
            </w:tcBorders>
            <w:shd w:val="clear" w:color="auto" w:fill="auto"/>
          </w:tcPr>
          <w:p w14:paraId="5147AE72" w14:textId="77777777" w:rsidR="00DE61D9" w:rsidRDefault="004C793D">
            <w:r>
              <w:t>Cita informācija</w:t>
            </w:r>
          </w:p>
        </w:tc>
        <w:tc>
          <w:tcPr>
            <w:tcW w:w="6234" w:type="dxa"/>
            <w:tcBorders>
              <w:top w:val="outset" w:sz="6" w:space="0" w:color="414142"/>
              <w:left w:val="outset" w:sz="6" w:space="0" w:color="414142"/>
              <w:bottom w:val="outset" w:sz="6" w:space="0" w:color="414142"/>
              <w:right w:val="outset" w:sz="6" w:space="0" w:color="414142"/>
            </w:tcBorders>
            <w:shd w:val="clear" w:color="auto" w:fill="auto"/>
          </w:tcPr>
          <w:p w14:paraId="45FC25C7" w14:textId="77777777" w:rsidR="00DE61D9" w:rsidRDefault="004C793D">
            <w:pPr>
              <w:ind w:left="57" w:right="57"/>
              <w:jc w:val="both"/>
            </w:pPr>
            <w:r>
              <w:t>Nav</w:t>
            </w:r>
          </w:p>
        </w:tc>
      </w:tr>
    </w:tbl>
    <w:p w14:paraId="04BAAF26" w14:textId="77777777" w:rsidR="00DE61D9" w:rsidRDefault="00DE61D9">
      <w:pPr>
        <w:pStyle w:val="Title"/>
        <w:spacing w:before="130" w:line="260" w:lineRule="exact"/>
        <w:jc w:val="both"/>
        <w:rPr>
          <w:sz w:val="24"/>
          <w:szCs w:val="24"/>
        </w:rPr>
      </w:pPr>
    </w:p>
    <w:tbl>
      <w:tblPr>
        <w:tblW w:w="918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2782"/>
        <w:gridCol w:w="5977"/>
      </w:tblGrid>
      <w:tr w:rsidR="00DE61D9" w14:paraId="4531C359" w14:textId="77777777">
        <w:tc>
          <w:tcPr>
            <w:tcW w:w="9185" w:type="dxa"/>
            <w:gridSpan w:val="3"/>
            <w:tcBorders>
              <w:top w:val="single" w:sz="4" w:space="0" w:color="000000"/>
              <w:left w:val="single" w:sz="4" w:space="0" w:color="000000"/>
              <w:bottom w:val="single" w:sz="4" w:space="0" w:color="000000"/>
              <w:right w:val="single" w:sz="4" w:space="0" w:color="000000"/>
            </w:tcBorders>
            <w:shd w:val="clear" w:color="auto" w:fill="auto"/>
          </w:tcPr>
          <w:p w14:paraId="08DDEF4B" w14:textId="77777777" w:rsidR="00DE61D9" w:rsidRDefault="004C793D">
            <w:pPr>
              <w:pStyle w:val="Title"/>
              <w:spacing w:before="130" w:line="260" w:lineRule="exact"/>
              <w:rPr>
                <w:b/>
                <w:bCs/>
                <w:sz w:val="24"/>
                <w:szCs w:val="24"/>
              </w:rPr>
            </w:pPr>
            <w:r>
              <w:rPr>
                <w:b/>
                <w:bCs/>
                <w:sz w:val="24"/>
                <w:szCs w:val="24"/>
              </w:rPr>
              <w:t>II. Tiesību akta projekta ietekme uz sabiedrību, tautsaimniecības attīstību un administratīvo slogu</w:t>
            </w:r>
          </w:p>
        </w:tc>
      </w:tr>
      <w:tr w:rsidR="00DE61D9" w14:paraId="2E3052E4"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1200287" w14:textId="77777777" w:rsidR="00DE61D9" w:rsidRDefault="004C793D">
            <w:pPr>
              <w:pStyle w:val="Title"/>
              <w:spacing w:before="130" w:line="260" w:lineRule="exact"/>
              <w:jc w:val="both"/>
              <w:rPr>
                <w:sz w:val="24"/>
                <w:szCs w:val="24"/>
              </w:rPr>
            </w:pPr>
            <w:r>
              <w:rPr>
                <w:sz w:val="24"/>
                <w:szCs w:val="24"/>
              </w:rPr>
              <w:t>1.</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14:paraId="640DBCAC" w14:textId="77777777" w:rsidR="00DE61D9" w:rsidRDefault="004C793D">
            <w:pPr>
              <w:pStyle w:val="Title"/>
              <w:spacing w:before="130" w:line="260" w:lineRule="exact"/>
              <w:jc w:val="both"/>
              <w:rPr>
                <w:sz w:val="24"/>
                <w:szCs w:val="24"/>
              </w:rPr>
            </w:pPr>
            <w:r>
              <w:rPr>
                <w:sz w:val="24"/>
                <w:szCs w:val="24"/>
              </w:rPr>
              <w:t xml:space="preserve">Sabiedrības </w:t>
            </w:r>
            <w:proofErr w:type="spellStart"/>
            <w:r>
              <w:rPr>
                <w:sz w:val="24"/>
                <w:szCs w:val="24"/>
              </w:rPr>
              <w:t>mērķgrupas</w:t>
            </w:r>
            <w:proofErr w:type="spellEnd"/>
            <w:r>
              <w:rPr>
                <w:sz w:val="24"/>
                <w:szCs w:val="24"/>
              </w:rPr>
              <w:t>, kuras tiesiskais regulējums ietekmē vai varētu ietekmēt</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14:paraId="7E0C0532" w14:textId="77777777" w:rsidR="00DE61D9" w:rsidRDefault="004C793D" w:rsidP="005C33BA">
            <w:pPr>
              <w:pStyle w:val="Title"/>
              <w:spacing w:line="260" w:lineRule="exact"/>
              <w:jc w:val="both"/>
              <w:rPr>
                <w:sz w:val="24"/>
                <w:szCs w:val="24"/>
              </w:rPr>
            </w:pPr>
            <w:r>
              <w:rPr>
                <w:sz w:val="24"/>
                <w:szCs w:val="24"/>
              </w:rPr>
              <w:t xml:space="preserve">Atkritumu </w:t>
            </w:r>
            <w:proofErr w:type="spellStart"/>
            <w:r>
              <w:rPr>
                <w:sz w:val="24"/>
                <w:szCs w:val="24"/>
              </w:rPr>
              <w:t>apsaimniekotāji</w:t>
            </w:r>
            <w:proofErr w:type="spellEnd"/>
            <w:r>
              <w:rPr>
                <w:sz w:val="24"/>
                <w:szCs w:val="24"/>
              </w:rPr>
              <w:t xml:space="preserve">, kas veic atkritumu savākšanu, pārvadāšanu, šķirošanu, uzglabāšanu, slēgtas vai </w:t>
            </w:r>
            <w:proofErr w:type="spellStart"/>
            <w:r>
              <w:rPr>
                <w:sz w:val="24"/>
                <w:szCs w:val="24"/>
              </w:rPr>
              <w:t>rekultivētas</w:t>
            </w:r>
            <w:proofErr w:type="spellEnd"/>
            <w:r>
              <w:rPr>
                <w:sz w:val="24"/>
                <w:szCs w:val="24"/>
              </w:rPr>
              <w:t xml:space="preserve"> atkritumu izgāztuves atrakšanu un atkritumu pāršķirošanu, atkritumu pārstrādi vai reģenerāciju, atkritumu tirgotāji, atkritumu apsaimniekošanas starpnieki, kredītiestādes, apdrošinātāji.</w:t>
            </w:r>
          </w:p>
        </w:tc>
      </w:tr>
      <w:tr w:rsidR="00DE61D9" w14:paraId="0771D1B0"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EE8B4E5" w14:textId="77777777" w:rsidR="00DE61D9" w:rsidRDefault="004C793D">
            <w:pPr>
              <w:pStyle w:val="Title"/>
              <w:spacing w:before="130" w:line="260" w:lineRule="exact"/>
              <w:jc w:val="both"/>
              <w:rPr>
                <w:sz w:val="24"/>
                <w:szCs w:val="24"/>
              </w:rPr>
            </w:pPr>
            <w:r>
              <w:rPr>
                <w:sz w:val="24"/>
                <w:szCs w:val="24"/>
              </w:rPr>
              <w:t>2.</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14:paraId="10707449" w14:textId="77777777" w:rsidR="00DE61D9" w:rsidRDefault="004C793D">
            <w:pPr>
              <w:pStyle w:val="Title"/>
              <w:spacing w:before="130" w:line="260" w:lineRule="exact"/>
              <w:jc w:val="both"/>
              <w:rPr>
                <w:sz w:val="24"/>
                <w:szCs w:val="24"/>
              </w:rPr>
            </w:pPr>
            <w:r>
              <w:rPr>
                <w:sz w:val="24"/>
                <w:szCs w:val="24"/>
              </w:rPr>
              <w:t>Tiesiskā regulējuma ietekme uz tautsaimniecību un administratīvo slogu</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14:paraId="4529C5BF" w14:textId="77777777" w:rsidR="00DE61D9" w:rsidRDefault="004C793D">
            <w:pPr>
              <w:jc w:val="both"/>
            </w:pPr>
            <w:r>
              <w:t>Noteikumu projekts ļaus efektīvāk kontrolēt un novērst nelikumīgas atkritumu apsaimniekošanas</w:t>
            </w:r>
            <w:r w:rsidR="00320432">
              <w:t>, tirdzniecības un apsaimniekošanas starpniecības</w:t>
            </w:r>
            <w:r>
              <w:t xml:space="preserve"> darbības, un nepieciešamības gadījumā segt izdevumus, kas saistās ar atkritumu </w:t>
            </w:r>
            <w:proofErr w:type="spellStart"/>
            <w:r>
              <w:t>apsaimniekotāju</w:t>
            </w:r>
            <w:proofErr w:type="spellEnd"/>
            <w:r>
              <w:t>, atkritumu tirgotāju un atkritumu apsaimniekošanas starpnieku radīto potenciālo vides piesārņojumu valstij.</w:t>
            </w:r>
          </w:p>
          <w:p w14:paraId="6E941730" w14:textId="77777777" w:rsidR="00EE5F42" w:rsidRDefault="00EE5F42">
            <w:pPr>
              <w:jc w:val="both"/>
            </w:pPr>
            <w:r>
              <w:t>Noteikumu projekts palielinās administratīvo slogu atkritumu tirgotājiem un atkritumu apsaimniekošanas starpniekiem, ņemot vērā, ka līdz šim atkritumu tirgotāji un atkritumu apsaimniekošanas starpnieki finanšu nodrošinājumu nesniedza.</w:t>
            </w:r>
          </w:p>
          <w:p w14:paraId="424A6E5E" w14:textId="5E7AE69E" w:rsidR="00DE61D9" w:rsidRDefault="004C793D">
            <w:pPr>
              <w:jc w:val="both"/>
            </w:pPr>
            <w:r>
              <w:t xml:space="preserve">Noteikumu projektam </w:t>
            </w:r>
            <w:r w:rsidR="00177D9E">
              <w:t xml:space="preserve">kopumā </w:t>
            </w:r>
            <w:r>
              <w:t xml:space="preserve">būs pozitīva ietekme uz </w:t>
            </w:r>
            <w:r w:rsidR="008D6816">
              <w:t>uzņēmumiem, kas veic tikai atkritumu pārvadāšanu un pārstrādā nolietotos transportlīdzekļus līdz 100 tonnām gadā,</w:t>
            </w:r>
            <w:r w:rsidR="009B1387">
              <w:t xml:space="preserve"> konkurenci, </w:t>
            </w:r>
            <w:r>
              <w:t>vidi</w:t>
            </w:r>
            <w:r w:rsidR="009B1387">
              <w:t xml:space="preserve"> un veselību</w:t>
            </w:r>
            <w:r>
              <w:t>,</w:t>
            </w:r>
            <w:r w:rsidR="00A34EBA">
              <w:t xml:space="preserve"> jo</w:t>
            </w:r>
            <w:r>
              <w:t xml:space="preserve"> tas nodrošinās atbildīgāku atkritumu apsaimniekošanu</w:t>
            </w:r>
            <w:r w:rsidR="00A34EBA">
              <w:t xml:space="preserve"> un samērīgu finanšu nodrošinājuma apmēru</w:t>
            </w:r>
            <w:r w:rsidR="00177D9E">
              <w:t xml:space="preserve"> nolietoto transportlīdzekļu apsaimniekošanas un atkritumu pārvadāšanas gadījumā</w:t>
            </w:r>
            <w:r>
              <w:t>.</w:t>
            </w:r>
          </w:p>
          <w:p w14:paraId="3C78F593" w14:textId="77777777" w:rsidR="009B1387" w:rsidRDefault="009B1387">
            <w:pPr>
              <w:jc w:val="both"/>
            </w:pPr>
            <w:r>
              <w:t xml:space="preserve">Noteikumu projektam nav ietekme uz nevalstiskajām organizācijām, </w:t>
            </w:r>
            <w:r w:rsidRPr="009B1387">
              <w:t xml:space="preserve">Nacionālā attīstības plāna rādītājiem </w:t>
            </w:r>
            <w:proofErr w:type="spellStart"/>
            <w:r w:rsidRPr="009B1387">
              <w:t>mikrolīmenī</w:t>
            </w:r>
            <w:proofErr w:type="spellEnd"/>
            <w:r w:rsidRPr="009B1387">
              <w:t xml:space="preserve"> vai </w:t>
            </w:r>
            <w:proofErr w:type="spellStart"/>
            <w:r w:rsidRPr="009B1387">
              <w:t>makrolīmenī</w:t>
            </w:r>
            <w:proofErr w:type="spellEnd"/>
            <w:r>
              <w:t>.</w:t>
            </w:r>
          </w:p>
        </w:tc>
      </w:tr>
      <w:tr w:rsidR="00DE61D9" w14:paraId="3F282AC6"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485F2C7" w14:textId="77777777" w:rsidR="00DE61D9" w:rsidRDefault="004C793D">
            <w:pPr>
              <w:pStyle w:val="Title"/>
              <w:spacing w:before="130" w:line="260" w:lineRule="exact"/>
              <w:jc w:val="both"/>
              <w:rPr>
                <w:sz w:val="24"/>
                <w:szCs w:val="24"/>
              </w:rPr>
            </w:pPr>
            <w:r>
              <w:rPr>
                <w:sz w:val="24"/>
                <w:szCs w:val="24"/>
              </w:rPr>
              <w:t>3.</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14:paraId="11BF8BB8" w14:textId="77777777" w:rsidR="00DE61D9" w:rsidRDefault="004C793D">
            <w:pPr>
              <w:pStyle w:val="Title"/>
              <w:spacing w:before="130" w:line="260" w:lineRule="exact"/>
              <w:jc w:val="both"/>
              <w:rPr>
                <w:sz w:val="24"/>
                <w:szCs w:val="24"/>
              </w:rPr>
            </w:pPr>
            <w:r>
              <w:rPr>
                <w:sz w:val="24"/>
                <w:szCs w:val="24"/>
              </w:rPr>
              <w:t>Administratīvo izmaksu monetārs novērtējums</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14:paraId="7C5FD9FF" w14:textId="77777777" w:rsidR="00EE5F42" w:rsidRPr="00EE5F42" w:rsidRDefault="00EE5F42" w:rsidP="00EE5F42">
            <w:pPr>
              <w:spacing w:before="100" w:beforeAutospacing="1" w:after="100" w:afterAutospacing="1"/>
              <w:ind w:right="108"/>
              <w:jc w:val="both"/>
            </w:pPr>
            <w:r w:rsidRPr="00EE5F42">
              <w:t xml:space="preserve">Administratīvo izmaksu novērtējumā iekļauts aprēķins par finanšu nodrošinājuma sagatavošanu, kas ir jāveic </w:t>
            </w:r>
            <w:r w:rsidRPr="00EE5F42">
              <w:lastRenderedPageBreak/>
              <w:t>atkritumu tirgotājam vai atkritumu apsaimniekošanas starpniekam.</w:t>
            </w:r>
          </w:p>
          <w:p w14:paraId="043B08C5" w14:textId="77777777" w:rsidR="00EE5F42" w:rsidRPr="00EE5F42" w:rsidRDefault="00EE5F42" w:rsidP="00EE5F42">
            <w:pPr>
              <w:spacing w:before="100" w:beforeAutospacing="1" w:after="100" w:afterAutospacing="1"/>
              <w:ind w:left="110" w:right="108"/>
              <w:jc w:val="center"/>
            </w:pPr>
            <w:r w:rsidRPr="00EE5F42">
              <w:t>C = (f x l) x (n x b), kur</w:t>
            </w:r>
          </w:p>
          <w:p w14:paraId="67CC2E3A" w14:textId="77777777" w:rsidR="00EE5F42" w:rsidRPr="00EE5F42" w:rsidRDefault="00EE5F42" w:rsidP="00EE5F42">
            <w:pPr>
              <w:spacing w:before="100" w:beforeAutospacing="1" w:after="100" w:afterAutospacing="1"/>
              <w:ind w:left="110" w:right="108"/>
              <w:jc w:val="both"/>
            </w:pPr>
            <w:r w:rsidRPr="00EE5F42">
              <w:rPr>
                <w:b/>
                <w:bCs/>
              </w:rPr>
              <w:t>C</w:t>
            </w:r>
            <w:r w:rsidRPr="00EE5F42">
              <w:t xml:space="preserve"> – iesniegto finanšu nodrošinājumu uzskaites un apkopošanas izmaksas jeb administratīvās izmaksas;</w:t>
            </w:r>
          </w:p>
          <w:p w14:paraId="1F165DE9" w14:textId="77777777" w:rsidR="00EE5F42" w:rsidRPr="00EE5F42" w:rsidRDefault="00EE5F42" w:rsidP="00EE5F42">
            <w:pPr>
              <w:ind w:left="110" w:right="108"/>
              <w:jc w:val="both"/>
            </w:pPr>
            <w:r w:rsidRPr="00EE5F42">
              <w:rPr>
                <w:b/>
                <w:bCs/>
              </w:rPr>
              <w:t>f</w:t>
            </w:r>
            <w:r w:rsidRPr="00EE5F42">
              <w:t xml:space="preserve"> – finanšu līdzekļu apjoms, kas nepieciešams, lai nodrošinātu noteikumu projektā paredzēto finanšu nodrošinājuma sagatavošanu (stundas samaksas likme) – privātajā sektorā stundas likme ir aprēķināta, dalot vidējo mēneša algu privātajā sektorā (pēc Centrālās statistikas pārvaldes tīmekļa vietnes</w:t>
            </w:r>
            <w:r>
              <w:t xml:space="preserve"> datiem</w:t>
            </w:r>
            <w:r w:rsidR="00805D19">
              <w:rPr>
                <w:rStyle w:val="FootnoteReference"/>
              </w:rPr>
              <w:footnoteReference w:id="6"/>
            </w:r>
            <w:r>
              <w:t xml:space="preserve"> 2019</w:t>
            </w:r>
            <w:r w:rsidRPr="00EE5F42">
              <w:t xml:space="preserve">. gadā tā bija </w:t>
            </w:r>
            <w:r>
              <w:t>1</w:t>
            </w:r>
            <w:r w:rsidR="004F239C">
              <w:t> </w:t>
            </w:r>
            <w:r>
              <w:t>067</w:t>
            </w:r>
            <w:r w:rsidRPr="00EE5F42">
              <w:t>,00 </w:t>
            </w:r>
            <w:proofErr w:type="spellStart"/>
            <w:r w:rsidRPr="00EE5F42">
              <w:rPr>
                <w:i/>
                <w:iCs/>
              </w:rPr>
              <w:t>euro</w:t>
            </w:r>
            <w:proofErr w:type="spellEnd"/>
            <w:r w:rsidRPr="00EE5F42">
              <w:rPr>
                <w:i/>
                <w:iCs/>
              </w:rPr>
              <w:t>/</w:t>
            </w:r>
            <w:r w:rsidRPr="00EE5F42">
              <w:t xml:space="preserve">mēnesī) ar Darba likuma 131. panta pirmajā daļā minēto normālo darba laiku (40 stundas nedēļā x 4 = 160 stundas mēnesī) = </w:t>
            </w:r>
            <w:r w:rsidRPr="00EE5F42">
              <w:rPr>
                <w:bCs/>
              </w:rPr>
              <w:t>6,</w:t>
            </w:r>
            <w:r>
              <w:rPr>
                <w:bCs/>
              </w:rPr>
              <w:t>67</w:t>
            </w:r>
            <w:r w:rsidRPr="00EE5F42">
              <w:rPr>
                <w:bCs/>
              </w:rPr>
              <w:t> </w:t>
            </w:r>
            <w:proofErr w:type="spellStart"/>
            <w:r w:rsidRPr="00EE5F42">
              <w:rPr>
                <w:bCs/>
                <w:i/>
                <w:iCs/>
              </w:rPr>
              <w:t>euro</w:t>
            </w:r>
            <w:proofErr w:type="spellEnd"/>
            <w:r w:rsidRPr="00EE5F42">
              <w:rPr>
                <w:bCs/>
              </w:rPr>
              <w:t>/stundā</w:t>
            </w:r>
            <w:r w:rsidRPr="00EE5F42">
              <w:t>;</w:t>
            </w:r>
          </w:p>
          <w:p w14:paraId="381D6A45" w14:textId="77777777" w:rsidR="00EE5F42" w:rsidRPr="00EE5F42" w:rsidRDefault="00EE5F42" w:rsidP="00EE5F42">
            <w:pPr>
              <w:ind w:left="110" w:right="108"/>
              <w:jc w:val="both"/>
            </w:pPr>
            <w:r w:rsidRPr="00EE5F42">
              <w:rPr>
                <w:b/>
                <w:bCs/>
              </w:rPr>
              <w:t xml:space="preserve">l </w:t>
            </w:r>
            <w:r w:rsidRPr="00EE5F42">
              <w:t xml:space="preserve">– laika patēriņš, kas nepieciešams, lai veiktu finanšu nodrošinājuma sagatavošanu – </w:t>
            </w:r>
            <w:r w:rsidRPr="00EE5F42">
              <w:rPr>
                <w:bCs/>
              </w:rPr>
              <w:t>80 stundas</w:t>
            </w:r>
            <w:r w:rsidRPr="00EE5F42">
              <w:t>;</w:t>
            </w:r>
          </w:p>
          <w:p w14:paraId="5B829C80" w14:textId="77777777" w:rsidR="00EE5F42" w:rsidRPr="00EE5F42" w:rsidRDefault="00EE5F42" w:rsidP="00EE5F42">
            <w:pPr>
              <w:ind w:left="110" w:right="108"/>
              <w:jc w:val="both"/>
            </w:pPr>
            <w:r w:rsidRPr="00EE5F42">
              <w:rPr>
                <w:b/>
                <w:bCs/>
              </w:rPr>
              <w:t>n</w:t>
            </w:r>
            <w:r w:rsidRPr="00EE5F42">
              <w:t xml:space="preserve"> – </w:t>
            </w:r>
            <w:r w:rsidR="00697C7B">
              <w:rPr>
                <w:bCs/>
              </w:rPr>
              <w:t>atkritumu tirgotāju</w:t>
            </w:r>
            <w:r w:rsidR="00697C7B" w:rsidRPr="00EE5F42">
              <w:rPr>
                <w:bCs/>
              </w:rPr>
              <w:t xml:space="preserve"> un atkri</w:t>
            </w:r>
            <w:r w:rsidR="00697C7B">
              <w:rPr>
                <w:bCs/>
              </w:rPr>
              <w:t>tumu apsaimniekošanas starpnieku</w:t>
            </w:r>
            <w:r w:rsidRPr="00EE5F42">
              <w:t xml:space="preserve"> skaits, uz ko attiecas projektā paredzētās prasības – </w:t>
            </w:r>
            <w:r w:rsidRPr="00EE5F42">
              <w:rPr>
                <w:bCs/>
              </w:rPr>
              <w:t>1</w:t>
            </w:r>
            <w:r w:rsidR="00697C7B">
              <w:rPr>
                <w:bCs/>
              </w:rPr>
              <w:t>7</w:t>
            </w:r>
            <w:r w:rsidR="004F239C">
              <w:rPr>
                <w:bCs/>
              </w:rPr>
              <w:t>6 atkritumu tirgotāji</w:t>
            </w:r>
            <w:r w:rsidRPr="00EE5F42">
              <w:rPr>
                <w:bCs/>
              </w:rPr>
              <w:t xml:space="preserve"> un atkri</w:t>
            </w:r>
            <w:r w:rsidR="004F239C">
              <w:rPr>
                <w:bCs/>
              </w:rPr>
              <w:t>tumu apsaimniekošanas starpnieki</w:t>
            </w:r>
            <w:r w:rsidRPr="00EE5F42">
              <w:t>;</w:t>
            </w:r>
          </w:p>
          <w:p w14:paraId="3CBAC69F" w14:textId="77777777" w:rsidR="00EE5F42" w:rsidRPr="00EE5F42" w:rsidRDefault="00EE5F42" w:rsidP="00EE5F42">
            <w:pPr>
              <w:ind w:left="110" w:right="108"/>
              <w:jc w:val="both"/>
            </w:pPr>
            <w:r w:rsidRPr="00EE5F42">
              <w:rPr>
                <w:b/>
                <w:bCs/>
              </w:rPr>
              <w:t>b</w:t>
            </w:r>
            <w:r w:rsidRPr="00EE5F42">
              <w:t xml:space="preserve"> – biežums finanš</w:t>
            </w:r>
            <w:r w:rsidR="00E77686">
              <w:t xml:space="preserve">u nodrošinājuma sagatavošanai – </w:t>
            </w:r>
            <w:r w:rsidRPr="00EE5F42">
              <w:rPr>
                <w:bCs/>
              </w:rPr>
              <w:t>reizi 3 gados</w:t>
            </w:r>
            <w:r w:rsidRPr="00EE5F42">
              <w:t>.</w:t>
            </w:r>
          </w:p>
          <w:p w14:paraId="64629FB8" w14:textId="77777777" w:rsidR="00EE5F42" w:rsidRPr="00EE5F42" w:rsidRDefault="00EE5F42" w:rsidP="005D3DE5">
            <w:pPr>
              <w:spacing w:before="100" w:beforeAutospacing="1" w:after="100" w:afterAutospacing="1"/>
              <w:jc w:val="both"/>
            </w:pPr>
            <w:r w:rsidRPr="00EE5F42">
              <w:t>Aprēķins: (6,</w:t>
            </w:r>
            <w:r>
              <w:t>67</w:t>
            </w:r>
            <w:r w:rsidR="005D3DE5">
              <w:t xml:space="preserve"> x 80) x (1</w:t>
            </w:r>
            <w:r w:rsidR="00697C7B">
              <w:t>76</w:t>
            </w:r>
            <w:r w:rsidRPr="00EE5F42">
              <w:t xml:space="preserve"> x 0,3) = </w:t>
            </w:r>
            <w:r w:rsidR="005D3DE5">
              <w:t>533,6</w:t>
            </w:r>
            <w:r w:rsidRPr="00EE5F42">
              <w:t xml:space="preserve"> x </w:t>
            </w:r>
            <w:r w:rsidR="00697C7B">
              <w:t>52,8</w:t>
            </w:r>
            <w:r w:rsidRPr="00EE5F42">
              <w:t xml:space="preserve"> = </w:t>
            </w:r>
            <w:r w:rsidR="00697C7B">
              <w:t>28 174,08</w:t>
            </w:r>
            <w:r w:rsidRPr="00EE5F42">
              <w:t xml:space="preserve"> </w:t>
            </w:r>
            <w:proofErr w:type="spellStart"/>
            <w:r w:rsidRPr="00EE5F42">
              <w:rPr>
                <w:i/>
              </w:rPr>
              <w:t>euro</w:t>
            </w:r>
            <w:proofErr w:type="spellEnd"/>
            <w:r w:rsidRPr="00EE5F42">
              <w:rPr>
                <w:i/>
              </w:rPr>
              <w:t>/gadā.</w:t>
            </w:r>
          </w:p>
          <w:p w14:paraId="36964D81" w14:textId="77777777" w:rsidR="00DE61D9" w:rsidRDefault="00EE5F42" w:rsidP="00EE5F42">
            <w:pPr>
              <w:spacing w:before="100" w:beforeAutospacing="1" w:after="100" w:afterAutospacing="1"/>
              <w:jc w:val="both"/>
            </w:pPr>
            <w:r w:rsidRPr="00EE5F42">
              <w:rPr>
                <w:i/>
              </w:rPr>
              <w:t>Pārējās administratīvās izmaksas nav iespējams monetāri novērtēt.</w:t>
            </w:r>
          </w:p>
        </w:tc>
      </w:tr>
      <w:tr w:rsidR="00DE61D9" w14:paraId="1858B9C9"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2FDD0C4" w14:textId="77777777" w:rsidR="00DE61D9" w:rsidRDefault="004C793D">
            <w:pPr>
              <w:pStyle w:val="Title"/>
              <w:spacing w:before="130" w:line="260" w:lineRule="exact"/>
              <w:jc w:val="both"/>
              <w:rPr>
                <w:sz w:val="24"/>
                <w:szCs w:val="24"/>
              </w:rPr>
            </w:pPr>
            <w:r>
              <w:rPr>
                <w:sz w:val="24"/>
                <w:szCs w:val="24"/>
              </w:rPr>
              <w:lastRenderedPageBreak/>
              <w:t>4.</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14:paraId="5E3E92B8" w14:textId="77777777" w:rsidR="00DE61D9" w:rsidRDefault="004C793D">
            <w:pPr>
              <w:pStyle w:val="Title"/>
              <w:spacing w:before="130" w:line="260" w:lineRule="exact"/>
              <w:jc w:val="both"/>
              <w:rPr>
                <w:sz w:val="24"/>
                <w:szCs w:val="24"/>
              </w:rPr>
            </w:pPr>
            <w:r>
              <w:rPr>
                <w:sz w:val="24"/>
                <w:szCs w:val="24"/>
              </w:rPr>
              <w:t>Atbilstības izmaksu monetārs novērtējums</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14:paraId="218F7A6F" w14:textId="77777777" w:rsidR="00DE61D9" w:rsidRPr="00EE5F42" w:rsidRDefault="00EE5F42" w:rsidP="004F239C">
            <w:pPr>
              <w:pStyle w:val="Title"/>
              <w:spacing w:line="260" w:lineRule="exact"/>
              <w:jc w:val="both"/>
              <w:rPr>
                <w:sz w:val="24"/>
                <w:szCs w:val="24"/>
              </w:rPr>
            </w:pPr>
            <w:r w:rsidRPr="00EE5F42">
              <w:rPr>
                <w:sz w:val="24"/>
                <w:szCs w:val="24"/>
              </w:rPr>
              <w:t>Pēc VARAM novērtējuma atbilstības izmaksas par finanšu nodrošinājuma uzturēšanu gadā sastādīs aptuveni 5 000 </w:t>
            </w:r>
            <w:proofErr w:type="spellStart"/>
            <w:r w:rsidRPr="00EE5F42">
              <w:rPr>
                <w:i/>
                <w:sz w:val="24"/>
                <w:szCs w:val="24"/>
              </w:rPr>
              <w:t>euro</w:t>
            </w:r>
            <w:proofErr w:type="spellEnd"/>
            <w:r w:rsidRPr="00EE5F42">
              <w:rPr>
                <w:sz w:val="24"/>
                <w:szCs w:val="24"/>
              </w:rPr>
              <w:t xml:space="preserve"> gadā. Šīs izmaksas ir atkarīgas no finanšu nodrošinājuma veida (bankas garantija vai apdrošināšana) un starp</w:t>
            </w:r>
            <w:r w:rsidR="005D3DE5">
              <w:rPr>
                <w:sz w:val="24"/>
                <w:szCs w:val="24"/>
              </w:rPr>
              <w:t xml:space="preserve"> atkritumu </w:t>
            </w:r>
            <w:proofErr w:type="spellStart"/>
            <w:r w:rsidR="005D3DE5">
              <w:rPr>
                <w:sz w:val="24"/>
                <w:szCs w:val="24"/>
              </w:rPr>
              <w:t>apsaimniekotāju</w:t>
            </w:r>
            <w:proofErr w:type="spellEnd"/>
            <w:r w:rsidR="005D3DE5">
              <w:rPr>
                <w:sz w:val="24"/>
                <w:szCs w:val="24"/>
              </w:rPr>
              <w:t>, atkritumu tirgotāju</w:t>
            </w:r>
            <w:r w:rsidRPr="00EE5F42">
              <w:rPr>
                <w:sz w:val="24"/>
                <w:szCs w:val="24"/>
              </w:rPr>
              <w:t>, vai atkritumu apsaimniekošanas starpnieku un apdrošinātāju vai banku noslēgtā līguma nosacījumiem.</w:t>
            </w:r>
          </w:p>
        </w:tc>
      </w:tr>
      <w:tr w:rsidR="00DE61D9" w14:paraId="7B22B09E"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EDC161C" w14:textId="77777777" w:rsidR="00DE61D9" w:rsidRDefault="004C793D">
            <w:pPr>
              <w:pStyle w:val="Title"/>
              <w:spacing w:before="130" w:line="260" w:lineRule="exact"/>
              <w:jc w:val="both"/>
              <w:rPr>
                <w:sz w:val="24"/>
                <w:szCs w:val="24"/>
              </w:rPr>
            </w:pPr>
            <w:r>
              <w:rPr>
                <w:sz w:val="24"/>
                <w:szCs w:val="24"/>
              </w:rPr>
              <w:t>5.</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14:paraId="7C48EB96" w14:textId="77777777" w:rsidR="00DE61D9" w:rsidRDefault="004C793D">
            <w:pPr>
              <w:pStyle w:val="Title"/>
              <w:spacing w:before="130" w:line="260" w:lineRule="exact"/>
              <w:jc w:val="both"/>
              <w:rPr>
                <w:sz w:val="24"/>
                <w:szCs w:val="24"/>
              </w:rPr>
            </w:pPr>
            <w:r>
              <w:rPr>
                <w:sz w:val="24"/>
                <w:szCs w:val="24"/>
              </w:rPr>
              <w:t>Cita informācija</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14:paraId="1482DB45" w14:textId="77777777" w:rsidR="00DE61D9" w:rsidRDefault="004C793D">
            <w:pPr>
              <w:pStyle w:val="Title"/>
              <w:spacing w:before="130" w:line="260" w:lineRule="exact"/>
              <w:jc w:val="both"/>
              <w:rPr>
                <w:sz w:val="24"/>
                <w:szCs w:val="24"/>
              </w:rPr>
            </w:pPr>
            <w:r>
              <w:rPr>
                <w:sz w:val="24"/>
                <w:szCs w:val="24"/>
              </w:rPr>
              <w:t>Nav</w:t>
            </w:r>
          </w:p>
        </w:tc>
      </w:tr>
    </w:tbl>
    <w:p w14:paraId="7CDE9355" w14:textId="77777777" w:rsidR="00DE61D9" w:rsidRDefault="00DE61D9">
      <w:pPr>
        <w:pStyle w:val="Title"/>
        <w:spacing w:before="130" w:line="260" w:lineRule="exact"/>
        <w:ind w:firstLine="539"/>
        <w:jc w:val="both"/>
        <w:rPr>
          <w:sz w:val="24"/>
          <w:szCs w:val="24"/>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00" w:firstRow="0" w:lastRow="0" w:firstColumn="0" w:lastColumn="0" w:noHBand="0" w:noVBand="0"/>
      </w:tblPr>
      <w:tblGrid>
        <w:gridCol w:w="9061"/>
      </w:tblGrid>
      <w:tr w:rsidR="00DE61D9" w14:paraId="4F361195" w14:textId="77777777">
        <w:trPr>
          <w:cantSplit/>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207D" w14:textId="77777777" w:rsidR="00DE61D9" w:rsidRDefault="004C793D">
            <w:pPr>
              <w:jc w:val="center"/>
              <w:rPr>
                <w:b/>
                <w:bCs/>
                <w:lang w:eastAsia="en-US"/>
              </w:rPr>
            </w:pPr>
            <w:r>
              <w:rPr>
                <w:b/>
                <w:bCs/>
                <w:lang w:eastAsia="en-US"/>
              </w:rPr>
              <w:t>III. Tiesību akta projekta ietekme uz valsts budžetu un pašvaldību budžetiem</w:t>
            </w:r>
          </w:p>
        </w:tc>
      </w:tr>
      <w:tr w:rsidR="00DE61D9" w14:paraId="7C87CF2B" w14:textId="77777777">
        <w:trPr>
          <w:cantSplit/>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684D677B" w14:textId="77777777" w:rsidR="00DE61D9" w:rsidRDefault="002A4B13">
            <w:pPr>
              <w:jc w:val="center"/>
            </w:pPr>
            <w:r>
              <w:t>Noteikumu p</w:t>
            </w:r>
            <w:r w:rsidR="004C793D">
              <w:t>rojekts šo jomu neskar.</w:t>
            </w:r>
          </w:p>
        </w:tc>
      </w:tr>
    </w:tbl>
    <w:p w14:paraId="01239DA2" w14:textId="77777777" w:rsidR="00DE61D9" w:rsidRDefault="00DE61D9">
      <w:pPr>
        <w:pStyle w:val="Title"/>
        <w:spacing w:before="130" w:line="260" w:lineRule="exact"/>
        <w:jc w:val="both"/>
        <w:rPr>
          <w:sz w:val="24"/>
          <w:szCs w:val="24"/>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00" w:firstRow="0" w:lastRow="0" w:firstColumn="0" w:lastColumn="0" w:noHBand="0" w:noVBand="0"/>
      </w:tblPr>
      <w:tblGrid>
        <w:gridCol w:w="9061"/>
      </w:tblGrid>
      <w:tr w:rsidR="00DE61D9" w14:paraId="4988E7E9" w14:textId="77777777">
        <w:trPr>
          <w:cantSplit/>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10D0" w14:textId="77777777" w:rsidR="00DE61D9" w:rsidRDefault="004C793D">
            <w:pPr>
              <w:jc w:val="center"/>
              <w:rPr>
                <w:b/>
                <w:bCs/>
              </w:rPr>
            </w:pPr>
            <w:r>
              <w:rPr>
                <w:b/>
                <w:bCs/>
              </w:rPr>
              <w:t>IV. Tiesību akta projekta ietekme uz spēkā esošo tiesību normu sistēmu</w:t>
            </w:r>
          </w:p>
        </w:tc>
      </w:tr>
      <w:tr w:rsidR="00DE61D9" w14:paraId="3A521CF4" w14:textId="77777777">
        <w:trPr>
          <w:cantSplit/>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AD9D" w14:textId="77777777" w:rsidR="00DE61D9" w:rsidRDefault="002A4B13">
            <w:pPr>
              <w:jc w:val="center"/>
              <w:rPr>
                <w:bCs/>
              </w:rPr>
            </w:pPr>
            <w:r>
              <w:rPr>
                <w:bCs/>
              </w:rPr>
              <w:t>Noteikumu p</w:t>
            </w:r>
            <w:r w:rsidR="004C793D">
              <w:rPr>
                <w:bCs/>
              </w:rPr>
              <w:t>rojekts šo jomu neskar.</w:t>
            </w:r>
          </w:p>
        </w:tc>
      </w:tr>
    </w:tbl>
    <w:p w14:paraId="7B2D89F7" w14:textId="77777777" w:rsidR="00DE61D9" w:rsidRDefault="00DE61D9">
      <w:pPr>
        <w:pStyle w:val="Title"/>
        <w:spacing w:before="130" w:line="260" w:lineRule="exact"/>
        <w:ind w:firstLine="539"/>
        <w:jc w:val="both"/>
        <w:rPr>
          <w:sz w:val="24"/>
          <w:szCs w:val="24"/>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00" w:firstRow="0" w:lastRow="0" w:firstColumn="0" w:lastColumn="0" w:noHBand="0" w:noVBand="0"/>
      </w:tblPr>
      <w:tblGrid>
        <w:gridCol w:w="9061"/>
      </w:tblGrid>
      <w:tr w:rsidR="00DE61D9" w14:paraId="718E6EC8" w14:textId="77777777">
        <w:trPr>
          <w:cantSplit/>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B3F5" w14:textId="77777777" w:rsidR="00DE61D9" w:rsidRDefault="004C793D">
            <w:pPr>
              <w:jc w:val="center"/>
              <w:rPr>
                <w:b/>
                <w:bCs/>
              </w:rPr>
            </w:pPr>
            <w:r>
              <w:rPr>
                <w:b/>
                <w:bCs/>
              </w:rPr>
              <w:t>V. Tiesību akta projekta atbilstība Latvijas Republikas starptautiskajām saistībām</w:t>
            </w:r>
          </w:p>
        </w:tc>
      </w:tr>
      <w:tr w:rsidR="00DE61D9" w14:paraId="38519189" w14:textId="77777777">
        <w:trPr>
          <w:cantSplit/>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003CD204" w14:textId="77777777" w:rsidR="00DE61D9" w:rsidRDefault="002A4B13">
            <w:pPr>
              <w:jc w:val="center"/>
            </w:pPr>
            <w:r>
              <w:lastRenderedPageBreak/>
              <w:t>Noteikumu p</w:t>
            </w:r>
            <w:r w:rsidR="004C793D">
              <w:t>rojekts šo jomu neskar.</w:t>
            </w:r>
          </w:p>
        </w:tc>
      </w:tr>
    </w:tbl>
    <w:p w14:paraId="2C490372" w14:textId="77777777" w:rsidR="00DE61D9" w:rsidRDefault="00DE61D9">
      <w:pPr>
        <w:pStyle w:val="Title"/>
        <w:spacing w:before="130" w:line="260" w:lineRule="exact"/>
        <w:jc w:val="both"/>
        <w:rPr>
          <w:sz w:val="24"/>
          <w:szCs w:val="24"/>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00" w:firstRow="0" w:lastRow="0" w:firstColumn="0" w:lastColumn="0" w:noHBand="0" w:noVBand="0"/>
      </w:tblPr>
      <w:tblGrid>
        <w:gridCol w:w="522"/>
        <w:gridCol w:w="2792"/>
        <w:gridCol w:w="5747"/>
      </w:tblGrid>
      <w:tr w:rsidR="00DE61D9" w14:paraId="508A76D1" w14:textId="77777777" w:rsidTr="00653906">
        <w:tc>
          <w:tcPr>
            <w:tcW w:w="90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160A01" w14:textId="77777777" w:rsidR="00DE61D9" w:rsidRDefault="004C793D" w:rsidP="00653906">
            <w:pPr>
              <w:keepLines/>
              <w:jc w:val="center"/>
              <w:rPr>
                <w:b/>
                <w:bCs/>
              </w:rPr>
            </w:pPr>
            <w:r>
              <w:rPr>
                <w:b/>
                <w:bCs/>
              </w:rPr>
              <w:t>VI. Sabiedrības līdzdalība un komunikācijas aktivitātes</w:t>
            </w:r>
          </w:p>
        </w:tc>
      </w:tr>
      <w:tr w:rsidR="00DE61D9" w14:paraId="6B844C3E" w14:textId="77777777" w:rsidTr="00653906">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6AFD2171" w14:textId="77777777" w:rsidR="00DE61D9" w:rsidRDefault="004C793D" w:rsidP="00653906">
            <w:pPr>
              <w:keepLines/>
              <w:jc w:val="center"/>
            </w:pPr>
            <w:r>
              <w:t>1.</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0BF8CD03" w14:textId="77777777" w:rsidR="00DE61D9" w:rsidRDefault="004C793D" w:rsidP="00653906">
            <w:pPr>
              <w:keepLines/>
            </w:pPr>
            <w:r>
              <w:t>Plānotās sabiedrības līdzdalības un komunikācijas aktivitātes saistībā ar projektu</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14:paraId="62DDA15D" w14:textId="77777777" w:rsidR="00DE61D9" w:rsidRDefault="00857AFF" w:rsidP="00653906">
            <w:pPr>
              <w:keepLines/>
              <w:jc w:val="both"/>
            </w:pPr>
            <w:r w:rsidRPr="00BA7E9C">
              <w:t>Saskaņā ar Ministru kabineta 2009. gada 25. augusta noteikumu Nr. 970 “Sabiedrības līdzdalības kārtība attīstības plānošanas procesā” 7.4.</w:t>
            </w:r>
            <w:r w:rsidRPr="00BA7E9C">
              <w:rPr>
                <w:vertAlign w:val="superscript"/>
              </w:rPr>
              <w:t>1</w:t>
            </w:r>
            <w:r w:rsidRPr="00BA7E9C">
              <w:t> apakšpunktu, sabiedrības pārstāvji ir aicināti līdzdarboties, r</w:t>
            </w:r>
            <w:r>
              <w:t>akstiski sniedzot viedokli par N</w:t>
            </w:r>
            <w:r w:rsidRPr="00BA7E9C">
              <w:t>oteikumu projektu tā izstrādes stadijā.</w:t>
            </w:r>
          </w:p>
        </w:tc>
      </w:tr>
      <w:tr w:rsidR="00DE61D9" w14:paraId="2321D9E4" w14:textId="77777777" w:rsidTr="00653906">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D6DD019" w14:textId="77777777" w:rsidR="00DE61D9" w:rsidRDefault="004C793D" w:rsidP="00653906">
            <w:pPr>
              <w:keepLines/>
              <w:jc w:val="center"/>
            </w:pPr>
            <w:r>
              <w:t>2.</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08D52661" w14:textId="77777777" w:rsidR="00DE61D9" w:rsidRDefault="004C793D" w:rsidP="00653906">
            <w:pPr>
              <w:keepLines/>
            </w:pPr>
            <w:r>
              <w:t>Sabiedrības līdzdalība projekta izstrādē</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14:paraId="742DFBCD" w14:textId="7555BF12" w:rsidR="00DE61D9" w:rsidRDefault="00D65321" w:rsidP="00653906">
            <w:pPr>
              <w:keepLines/>
              <w:jc w:val="both"/>
            </w:pPr>
            <w:r w:rsidRPr="00BA7E9C">
              <w:t>Noteikumu projekts 20</w:t>
            </w:r>
            <w:r>
              <w:t>20</w:t>
            </w:r>
            <w:r w:rsidR="004051E4">
              <w:t>. </w:t>
            </w:r>
            <w:r w:rsidRPr="00ED66FF">
              <w:t xml:space="preserve">gada </w:t>
            </w:r>
            <w:r w:rsidR="00C34140">
              <w:t>27</w:t>
            </w:r>
            <w:r w:rsidRPr="00ED66FF">
              <w:t>. </w:t>
            </w:r>
            <w:r>
              <w:t>oktobrī</w:t>
            </w:r>
            <w:r w:rsidRPr="00ED66FF">
              <w:t xml:space="preserve"> </w:t>
            </w:r>
            <w:r>
              <w:t>publicēts VARAM</w:t>
            </w:r>
            <w:r w:rsidRPr="00BA7E9C">
              <w:t xml:space="preserve"> tīmekļvietnē </w:t>
            </w:r>
            <w:hyperlink r:id="rId8" w:history="1">
              <w:r w:rsidRPr="00BA7E9C">
                <w:rPr>
                  <w:color w:val="0000FF"/>
                  <w:u w:val="single"/>
                </w:rPr>
                <w:t>www.varam.gov.lv</w:t>
              </w:r>
            </w:hyperlink>
            <w:r w:rsidRPr="00BA7E9C">
              <w:t xml:space="preserve"> </w:t>
            </w:r>
            <w:r>
              <w:t>un Valsts kancelejas tīmekļvietnē</w:t>
            </w:r>
            <w:r w:rsidR="00E45FE7">
              <w:t xml:space="preserve"> </w:t>
            </w:r>
            <w:hyperlink r:id="rId9" w:history="1">
              <w:r w:rsidR="00E45FE7" w:rsidRPr="00A0702A">
                <w:rPr>
                  <w:rStyle w:val="Hyperlink"/>
                </w:rPr>
                <w:t>www.mk.gov.lv/lv/content/valsts-kanceleja</w:t>
              </w:r>
            </w:hyperlink>
            <w:r>
              <w:t xml:space="preserve">, </w:t>
            </w:r>
            <w:r w:rsidRPr="00BA7E9C">
              <w:t>sniedzot ieinteresētajām personām iespēju izteikt viedokli un iesniegt priekšlikumus.</w:t>
            </w:r>
          </w:p>
        </w:tc>
      </w:tr>
      <w:tr w:rsidR="00DE61D9" w14:paraId="370A9252" w14:textId="77777777" w:rsidTr="00653906">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64B0C163" w14:textId="77777777" w:rsidR="00DE61D9" w:rsidRDefault="004C793D" w:rsidP="00653906">
            <w:pPr>
              <w:keepLines/>
              <w:jc w:val="center"/>
            </w:pPr>
            <w:r>
              <w:t>3.</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6BF7F0B1" w14:textId="77777777" w:rsidR="00DE61D9" w:rsidRDefault="004C793D" w:rsidP="00653906">
            <w:pPr>
              <w:keepLines/>
            </w:pPr>
            <w:r>
              <w:t>Sabiedrības līdzdalības rezultāti</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14:paraId="12E387C8" w14:textId="30BAA83A" w:rsidR="002E6321" w:rsidRPr="002E6321" w:rsidRDefault="002E6321" w:rsidP="00653906">
            <w:pPr>
              <w:keepLines/>
              <w:jc w:val="both"/>
            </w:pPr>
            <w:r w:rsidRPr="002E6321">
              <w:t xml:space="preserve">Par Noteikumu projektu un tā sākotnējās ietekmes novērtējuma ziņojumu (anotāciju) </w:t>
            </w:r>
            <w:r w:rsidR="001B069C">
              <w:t xml:space="preserve">laikā no 2020. gada 27. oktobra līdz 2020. gada 11. novembrim </w:t>
            </w:r>
            <w:r w:rsidRPr="002E6321">
              <w:t>tika saņemti šādi sabiedrības viedokļi:</w:t>
            </w:r>
          </w:p>
          <w:p w14:paraId="4AABFBEA" w14:textId="0104B8F0" w:rsidR="002E6321" w:rsidRPr="001B069C" w:rsidRDefault="002E6321" w:rsidP="00653906">
            <w:pPr>
              <w:pStyle w:val="ListParagraph"/>
              <w:keepLines/>
              <w:numPr>
                <w:ilvl w:val="3"/>
                <w:numId w:val="1"/>
              </w:numPr>
              <w:spacing w:after="0" w:line="240" w:lineRule="auto"/>
              <w:ind w:left="482" w:hanging="357"/>
              <w:jc w:val="both"/>
              <w:rPr>
                <w:rFonts w:ascii="Times New Roman" w:hAnsi="Times New Roman"/>
                <w:b/>
                <w:bCs/>
                <w:color w:val="000000"/>
                <w:sz w:val="24"/>
                <w:szCs w:val="24"/>
              </w:rPr>
            </w:pPr>
            <w:r w:rsidRPr="001B069C">
              <w:rPr>
                <w:rFonts w:ascii="Times New Roman" w:hAnsi="Times New Roman"/>
                <w:b/>
                <w:sz w:val="24"/>
                <w:szCs w:val="24"/>
              </w:rPr>
              <w:t>B</w:t>
            </w:r>
            <w:r w:rsidR="004051E4" w:rsidRPr="001B069C">
              <w:rPr>
                <w:rFonts w:ascii="Times New Roman" w:hAnsi="Times New Roman"/>
                <w:b/>
                <w:sz w:val="24"/>
                <w:szCs w:val="24"/>
              </w:rPr>
              <w:t>iedrības “</w:t>
            </w:r>
            <w:r w:rsidR="004051E4" w:rsidRPr="001B069C">
              <w:rPr>
                <w:rFonts w:ascii="Times New Roman" w:hAnsi="Times New Roman"/>
                <w:b/>
                <w:bCs/>
                <w:color w:val="000000"/>
                <w:sz w:val="24"/>
                <w:szCs w:val="24"/>
              </w:rPr>
              <w:t>Nolietoto transportlīdzekļu apstrādes uzņēmumu asociācija”</w:t>
            </w:r>
            <w:r w:rsidRPr="001B069C">
              <w:rPr>
                <w:rFonts w:ascii="Times New Roman" w:hAnsi="Times New Roman"/>
                <w:b/>
                <w:bCs/>
                <w:color w:val="000000"/>
                <w:sz w:val="24"/>
                <w:szCs w:val="24"/>
              </w:rPr>
              <w:t xml:space="preserve"> </w:t>
            </w:r>
            <w:r w:rsidR="007932E4" w:rsidRPr="001B069C">
              <w:rPr>
                <w:rFonts w:ascii="Times New Roman" w:hAnsi="Times New Roman"/>
                <w:b/>
                <w:bCs/>
                <w:color w:val="000000"/>
                <w:sz w:val="24"/>
                <w:szCs w:val="24"/>
              </w:rPr>
              <w:t>2020.</w:t>
            </w:r>
            <w:r w:rsidRPr="001B069C">
              <w:rPr>
                <w:rFonts w:ascii="Times New Roman" w:hAnsi="Times New Roman"/>
                <w:b/>
                <w:sz w:val="24"/>
                <w:szCs w:val="24"/>
              </w:rPr>
              <w:t> gada 10. novembra</w:t>
            </w:r>
            <w:r w:rsidRPr="001B069C">
              <w:rPr>
                <w:rFonts w:ascii="Times New Roman" w:hAnsi="Times New Roman"/>
                <w:b/>
                <w:bCs/>
                <w:color w:val="000000"/>
                <w:sz w:val="24"/>
                <w:szCs w:val="24"/>
              </w:rPr>
              <w:t xml:space="preserve"> vēstule:</w:t>
            </w:r>
          </w:p>
          <w:p w14:paraId="499B5821" w14:textId="7CEC3677" w:rsidR="002E6321" w:rsidRPr="001B069C" w:rsidRDefault="002E6321" w:rsidP="00653906">
            <w:pPr>
              <w:pStyle w:val="ListParagraph"/>
              <w:keepLines/>
              <w:numPr>
                <w:ilvl w:val="1"/>
                <w:numId w:val="5"/>
              </w:numPr>
              <w:spacing w:line="240" w:lineRule="auto"/>
              <w:jc w:val="both"/>
              <w:rPr>
                <w:rFonts w:ascii="Times New Roman" w:hAnsi="Times New Roman"/>
                <w:bCs/>
                <w:color w:val="000000"/>
                <w:sz w:val="24"/>
                <w:szCs w:val="24"/>
              </w:rPr>
            </w:pPr>
            <w:r w:rsidRPr="001B069C">
              <w:rPr>
                <w:rFonts w:ascii="Times New Roman" w:hAnsi="Times New Roman"/>
                <w:sz w:val="24"/>
                <w:szCs w:val="24"/>
              </w:rPr>
              <w:t xml:space="preserve">samazināt finanšu nodrošinājumu līdz 10 000 </w:t>
            </w:r>
            <w:proofErr w:type="spellStart"/>
            <w:r w:rsidRPr="001B069C">
              <w:rPr>
                <w:rFonts w:ascii="Times New Roman" w:hAnsi="Times New Roman"/>
                <w:i/>
                <w:sz w:val="24"/>
                <w:szCs w:val="24"/>
              </w:rPr>
              <w:t>euro</w:t>
            </w:r>
            <w:proofErr w:type="spellEnd"/>
            <w:r w:rsidRPr="001B069C">
              <w:rPr>
                <w:rFonts w:ascii="Times New Roman" w:hAnsi="Times New Roman"/>
                <w:sz w:val="24"/>
                <w:szCs w:val="24"/>
              </w:rPr>
              <w:t xml:space="preserve"> gadā</w:t>
            </w:r>
            <w:r w:rsidR="00EF6515" w:rsidRPr="001B069C">
              <w:rPr>
                <w:rFonts w:ascii="Times New Roman" w:hAnsi="Times New Roman"/>
                <w:sz w:val="24"/>
                <w:szCs w:val="24"/>
              </w:rPr>
              <w:t>, ja kopējais pārstrādājamo nolietoto transportlīdzekļu apjoms ir mazāks par 100 t gadā</w:t>
            </w:r>
            <w:r w:rsidR="00A27C28" w:rsidRPr="001B069C">
              <w:rPr>
                <w:rFonts w:ascii="Times New Roman" w:hAnsi="Times New Roman"/>
                <w:bCs/>
                <w:color w:val="000000"/>
                <w:sz w:val="24"/>
                <w:szCs w:val="24"/>
              </w:rPr>
              <w:t>;</w:t>
            </w:r>
          </w:p>
          <w:p w14:paraId="2B80B428" w14:textId="6649D48F" w:rsidR="002E6321" w:rsidRPr="001B069C" w:rsidRDefault="00DC3C8A" w:rsidP="00653906">
            <w:pPr>
              <w:pStyle w:val="ListParagraph"/>
              <w:keepLines/>
              <w:numPr>
                <w:ilvl w:val="1"/>
                <w:numId w:val="5"/>
              </w:numPr>
              <w:spacing w:after="0" w:line="240" w:lineRule="auto"/>
              <w:jc w:val="both"/>
              <w:rPr>
                <w:rFonts w:ascii="Times New Roman" w:hAnsi="Times New Roman"/>
                <w:bCs/>
                <w:color w:val="000000"/>
                <w:sz w:val="24"/>
                <w:szCs w:val="24"/>
              </w:rPr>
            </w:pPr>
            <w:r>
              <w:rPr>
                <w:rFonts w:ascii="Times New Roman" w:hAnsi="Times New Roman"/>
                <w:sz w:val="24"/>
                <w:szCs w:val="24"/>
              </w:rPr>
              <w:t xml:space="preserve">apspriešanas laikā </w:t>
            </w:r>
            <w:r w:rsidR="002E6321" w:rsidRPr="001B069C">
              <w:rPr>
                <w:rFonts w:ascii="Times New Roman" w:hAnsi="Times New Roman"/>
                <w:sz w:val="24"/>
                <w:szCs w:val="24"/>
              </w:rPr>
              <w:t>izskatīt iespēju diferencēt finanšu nodrošinājumu pēc pārstrādāto automašīnu apjoma, piemēram līdz</w:t>
            </w:r>
            <w:r w:rsidR="00A27C28" w:rsidRPr="001B069C">
              <w:rPr>
                <w:rFonts w:ascii="Times New Roman" w:hAnsi="Times New Roman"/>
                <w:sz w:val="24"/>
                <w:szCs w:val="24"/>
              </w:rPr>
              <w:t xml:space="preserve"> 50 </w:t>
            </w:r>
            <w:r w:rsidR="002E6321" w:rsidRPr="001B069C">
              <w:rPr>
                <w:rFonts w:ascii="Times New Roman" w:hAnsi="Times New Roman"/>
                <w:sz w:val="24"/>
                <w:szCs w:val="24"/>
              </w:rPr>
              <w:t xml:space="preserve">t – 5 000 </w:t>
            </w:r>
            <w:proofErr w:type="spellStart"/>
            <w:r w:rsidR="00A27C28" w:rsidRPr="001B069C">
              <w:rPr>
                <w:rFonts w:ascii="Times New Roman" w:hAnsi="Times New Roman"/>
                <w:i/>
                <w:sz w:val="24"/>
                <w:szCs w:val="24"/>
              </w:rPr>
              <w:t>euro</w:t>
            </w:r>
            <w:proofErr w:type="spellEnd"/>
            <w:r w:rsidR="002E6321" w:rsidRPr="001B069C">
              <w:rPr>
                <w:rFonts w:ascii="Times New Roman" w:hAnsi="Times New Roman"/>
                <w:sz w:val="24"/>
                <w:szCs w:val="24"/>
              </w:rPr>
              <w:t>, no 50</w:t>
            </w:r>
            <w:r w:rsidR="00A27C28" w:rsidRPr="001B069C">
              <w:rPr>
                <w:rFonts w:ascii="Times New Roman" w:hAnsi="Times New Roman"/>
                <w:sz w:val="24"/>
                <w:szCs w:val="24"/>
              </w:rPr>
              <w:t> </w:t>
            </w:r>
            <w:r w:rsidR="002E6321" w:rsidRPr="001B069C">
              <w:rPr>
                <w:rFonts w:ascii="Times New Roman" w:hAnsi="Times New Roman"/>
                <w:sz w:val="24"/>
                <w:szCs w:val="24"/>
              </w:rPr>
              <w:t>t līdz 100</w:t>
            </w:r>
            <w:r w:rsidR="00A27C28" w:rsidRPr="001B069C">
              <w:rPr>
                <w:rFonts w:ascii="Times New Roman" w:hAnsi="Times New Roman"/>
                <w:sz w:val="24"/>
                <w:szCs w:val="24"/>
              </w:rPr>
              <w:t> t – 10 </w:t>
            </w:r>
            <w:r w:rsidR="002E6321" w:rsidRPr="001B069C">
              <w:rPr>
                <w:rFonts w:ascii="Times New Roman" w:hAnsi="Times New Roman"/>
                <w:sz w:val="24"/>
                <w:szCs w:val="24"/>
              </w:rPr>
              <w:t xml:space="preserve">000 </w:t>
            </w:r>
            <w:proofErr w:type="spellStart"/>
            <w:r w:rsidR="00A27C28" w:rsidRPr="001B069C">
              <w:rPr>
                <w:rFonts w:ascii="Times New Roman" w:hAnsi="Times New Roman"/>
                <w:i/>
                <w:sz w:val="24"/>
                <w:szCs w:val="24"/>
              </w:rPr>
              <w:t>euro</w:t>
            </w:r>
            <w:proofErr w:type="spellEnd"/>
            <w:r w:rsidR="002E6321" w:rsidRPr="001B069C">
              <w:rPr>
                <w:rFonts w:ascii="Times New Roman" w:hAnsi="Times New Roman"/>
                <w:sz w:val="24"/>
                <w:szCs w:val="24"/>
              </w:rPr>
              <w:t>, no 100</w:t>
            </w:r>
            <w:r w:rsidR="00A27C28" w:rsidRPr="001B069C">
              <w:rPr>
                <w:rFonts w:ascii="Times New Roman" w:hAnsi="Times New Roman"/>
                <w:sz w:val="24"/>
                <w:szCs w:val="24"/>
              </w:rPr>
              <w:t> </w:t>
            </w:r>
            <w:r w:rsidR="002E6321" w:rsidRPr="001B069C">
              <w:rPr>
                <w:rFonts w:ascii="Times New Roman" w:hAnsi="Times New Roman"/>
                <w:sz w:val="24"/>
                <w:szCs w:val="24"/>
              </w:rPr>
              <w:t>t līdz</w:t>
            </w:r>
            <w:r w:rsidR="00A27C28" w:rsidRPr="001B069C">
              <w:rPr>
                <w:rFonts w:ascii="Times New Roman" w:hAnsi="Times New Roman"/>
                <w:sz w:val="24"/>
                <w:szCs w:val="24"/>
              </w:rPr>
              <w:t xml:space="preserve"> 150 </w:t>
            </w:r>
            <w:r w:rsidR="002E6321" w:rsidRPr="001B069C">
              <w:rPr>
                <w:rFonts w:ascii="Times New Roman" w:hAnsi="Times New Roman"/>
                <w:sz w:val="24"/>
                <w:szCs w:val="24"/>
              </w:rPr>
              <w:t>t – 15</w:t>
            </w:r>
            <w:r w:rsidR="00A27C28" w:rsidRPr="001B069C">
              <w:rPr>
                <w:rFonts w:ascii="Times New Roman" w:hAnsi="Times New Roman"/>
                <w:sz w:val="24"/>
                <w:szCs w:val="24"/>
              </w:rPr>
              <w:t> </w:t>
            </w:r>
            <w:r w:rsidR="002E6321" w:rsidRPr="001B069C">
              <w:rPr>
                <w:rFonts w:ascii="Times New Roman" w:hAnsi="Times New Roman"/>
                <w:sz w:val="24"/>
                <w:szCs w:val="24"/>
              </w:rPr>
              <w:t xml:space="preserve">000 </w:t>
            </w:r>
            <w:proofErr w:type="spellStart"/>
            <w:r w:rsidR="00A27C28" w:rsidRPr="001B069C">
              <w:rPr>
                <w:rFonts w:ascii="Times New Roman" w:hAnsi="Times New Roman"/>
                <w:i/>
                <w:sz w:val="24"/>
                <w:szCs w:val="24"/>
              </w:rPr>
              <w:t>euro</w:t>
            </w:r>
            <w:proofErr w:type="spellEnd"/>
            <w:r w:rsidR="002E6321" w:rsidRPr="001B069C">
              <w:rPr>
                <w:rFonts w:ascii="Times New Roman" w:hAnsi="Times New Roman"/>
                <w:sz w:val="24"/>
                <w:szCs w:val="24"/>
              </w:rPr>
              <w:t>, no 150</w:t>
            </w:r>
            <w:r w:rsidR="00A27C28" w:rsidRPr="001B069C">
              <w:rPr>
                <w:rFonts w:ascii="Times New Roman" w:hAnsi="Times New Roman"/>
                <w:sz w:val="24"/>
                <w:szCs w:val="24"/>
              </w:rPr>
              <w:t> </w:t>
            </w:r>
            <w:r w:rsidR="002E6321" w:rsidRPr="001B069C">
              <w:rPr>
                <w:rFonts w:ascii="Times New Roman" w:hAnsi="Times New Roman"/>
                <w:sz w:val="24"/>
                <w:szCs w:val="24"/>
              </w:rPr>
              <w:t xml:space="preserve">t līdz </w:t>
            </w:r>
            <w:r w:rsidR="00A27C28" w:rsidRPr="001B069C">
              <w:rPr>
                <w:rFonts w:ascii="Times New Roman" w:hAnsi="Times New Roman"/>
                <w:sz w:val="24"/>
                <w:szCs w:val="24"/>
              </w:rPr>
              <w:t>200 </w:t>
            </w:r>
            <w:r w:rsidR="002E6321" w:rsidRPr="001B069C">
              <w:rPr>
                <w:rFonts w:ascii="Times New Roman" w:hAnsi="Times New Roman"/>
                <w:sz w:val="24"/>
                <w:szCs w:val="24"/>
              </w:rPr>
              <w:t>t</w:t>
            </w:r>
            <w:r w:rsidR="002266F3">
              <w:rPr>
                <w:rFonts w:ascii="Times New Roman" w:hAnsi="Times New Roman"/>
                <w:sz w:val="24"/>
                <w:szCs w:val="24"/>
              </w:rPr>
              <w:t xml:space="preserve"> – </w:t>
            </w:r>
            <w:r w:rsidR="00A27C28" w:rsidRPr="001B069C">
              <w:rPr>
                <w:rFonts w:ascii="Times New Roman" w:hAnsi="Times New Roman"/>
                <w:sz w:val="24"/>
                <w:szCs w:val="24"/>
              </w:rPr>
              <w:t>20 000 </w:t>
            </w:r>
            <w:proofErr w:type="spellStart"/>
            <w:r w:rsidR="00A27C28" w:rsidRPr="001B069C">
              <w:rPr>
                <w:rFonts w:ascii="Times New Roman" w:hAnsi="Times New Roman"/>
                <w:i/>
                <w:sz w:val="24"/>
                <w:szCs w:val="24"/>
              </w:rPr>
              <w:t>euro</w:t>
            </w:r>
            <w:proofErr w:type="spellEnd"/>
            <w:r w:rsidR="002E6321" w:rsidRPr="001B069C">
              <w:rPr>
                <w:rFonts w:ascii="Times New Roman" w:hAnsi="Times New Roman"/>
                <w:sz w:val="24"/>
                <w:szCs w:val="24"/>
              </w:rPr>
              <w:t xml:space="preserve"> u</w:t>
            </w:r>
            <w:r w:rsidR="00056AD6" w:rsidRPr="001B069C">
              <w:rPr>
                <w:rFonts w:ascii="Times New Roman" w:hAnsi="Times New Roman"/>
                <w:sz w:val="24"/>
                <w:szCs w:val="24"/>
              </w:rPr>
              <w:t>.</w:t>
            </w:r>
            <w:r w:rsidR="002E6321" w:rsidRPr="001B069C">
              <w:rPr>
                <w:rFonts w:ascii="Times New Roman" w:hAnsi="Times New Roman"/>
                <w:sz w:val="24"/>
                <w:szCs w:val="24"/>
              </w:rPr>
              <w:t>tml.</w:t>
            </w:r>
          </w:p>
          <w:p w14:paraId="218A75A5" w14:textId="769D6327" w:rsidR="001B069C" w:rsidRPr="001B069C" w:rsidRDefault="002209F9" w:rsidP="00653906">
            <w:pPr>
              <w:keepLines/>
              <w:ind w:left="126"/>
              <w:jc w:val="both"/>
              <w:rPr>
                <w:bCs/>
                <w:color w:val="000000"/>
              </w:rPr>
            </w:pPr>
            <w:r w:rsidRPr="002209F9">
              <w:rPr>
                <w:bCs/>
                <w:color w:val="000000"/>
              </w:rPr>
              <w:t>P</w:t>
            </w:r>
            <w:r w:rsidR="00AB31DB" w:rsidRPr="001B069C">
              <w:rPr>
                <w:bCs/>
                <w:color w:val="000000"/>
              </w:rPr>
              <w:t xml:space="preserve">riekšlikums </w:t>
            </w:r>
            <w:r w:rsidR="001B069C" w:rsidRPr="001B069C">
              <w:rPr>
                <w:bCs/>
                <w:color w:val="000000"/>
              </w:rPr>
              <w:t>daļēji</w:t>
            </w:r>
            <w:r w:rsidR="00AB31DB" w:rsidRPr="001B069C">
              <w:rPr>
                <w:bCs/>
                <w:color w:val="000000"/>
              </w:rPr>
              <w:t xml:space="preserve"> ņemts vērā.</w:t>
            </w:r>
            <w:r w:rsidR="001B069C" w:rsidRPr="001B069C">
              <w:rPr>
                <w:bCs/>
                <w:color w:val="000000"/>
              </w:rPr>
              <w:t xml:space="preserve"> Saskaņā ar VVD sniegto informāciju </w:t>
            </w:r>
            <w:r w:rsidR="001B069C" w:rsidRPr="001B069C">
              <w:rPr>
                <w:bCs/>
              </w:rPr>
              <w:t>atkritumu apsaimniekošanas izmaksas</w:t>
            </w:r>
            <w:r w:rsidR="00052A29">
              <w:rPr>
                <w:bCs/>
              </w:rPr>
              <w:t xml:space="preserve"> ir</w:t>
            </w:r>
            <w:r w:rsidR="001B069C" w:rsidRPr="001B069C">
              <w:rPr>
                <w:bCs/>
              </w:rPr>
              <w:t xml:space="preserve"> </w:t>
            </w:r>
            <w:r>
              <w:rPr>
                <w:bCs/>
              </w:rPr>
              <w:t>būtiski augstākas</w:t>
            </w:r>
            <w:r w:rsidR="00642079">
              <w:rPr>
                <w:bCs/>
              </w:rPr>
              <w:t xml:space="preserve"> nekā biedrības</w:t>
            </w:r>
            <w:r w:rsidR="00642079" w:rsidRPr="00642079">
              <w:rPr>
                <w:bCs/>
              </w:rPr>
              <w:t xml:space="preserve"> </w:t>
            </w:r>
            <w:r w:rsidR="00642079" w:rsidRPr="00642079">
              <w:t>“</w:t>
            </w:r>
            <w:r w:rsidR="00642079" w:rsidRPr="00642079">
              <w:rPr>
                <w:bCs/>
                <w:color w:val="000000"/>
              </w:rPr>
              <w:t>Nolietoto transportlīdzekļu apstrādes uzņēmumu asociācija” norādītās</w:t>
            </w:r>
            <w:r w:rsidR="000766AE" w:rsidRPr="00642079">
              <w:rPr>
                <w:bCs/>
              </w:rPr>
              <w:t xml:space="preserve"> </w:t>
            </w:r>
            <w:r w:rsidR="000766AE">
              <w:rPr>
                <w:bCs/>
              </w:rPr>
              <w:t xml:space="preserve">– </w:t>
            </w:r>
            <w:r w:rsidR="001B069C" w:rsidRPr="001B069C">
              <w:rPr>
                <w:bCs/>
              </w:rPr>
              <w:t>vidēji sākot no 200 </w:t>
            </w:r>
            <w:proofErr w:type="spellStart"/>
            <w:r w:rsidR="001B069C" w:rsidRPr="001B069C">
              <w:rPr>
                <w:bCs/>
                <w:i/>
              </w:rPr>
              <w:t>euro</w:t>
            </w:r>
            <w:proofErr w:type="spellEnd"/>
            <w:r w:rsidR="001B069C" w:rsidRPr="001B069C">
              <w:rPr>
                <w:bCs/>
              </w:rPr>
              <w:t xml:space="preserve"> līdz 500 </w:t>
            </w:r>
            <w:proofErr w:type="spellStart"/>
            <w:r w:rsidR="001B069C" w:rsidRPr="001B069C">
              <w:rPr>
                <w:bCs/>
                <w:i/>
              </w:rPr>
              <w:t>euro</w:t>
            </w:r>
            <w:proofErr w:type="spellEnd"/>
            <w:r w:rsidR="001B069C" w:rsidRPr="001B069C">
              <w:rPr>
                <w:bCs/>
              </w:rPr>
              <w:t xml:space="preserve"> par tonnu (piemēram, riepas šo</w:t>
            </w:r>
            <w:r w:rsidR="00690CCB">
              <w:rPr>
                <w:bCs/>
              </w:rPr>
              <w:t>brīd uz Lietuvu var izvest 25</w:t>
            </w:r>
            <w:r w:rsidR="001B069C" w:rsidRPr="001B069C">
              <w:rPr>
                <w:bCs/>
              </w:rPr>
              <w:t>0 </w:t>
            </w:r>
            <w:proofErr w:type="spellStart"/>
            <w:r w:rsidR="001B069C" w:rsidRPr="001B069C">
              <w:rPr>
                <w:bCs/>
                <w:i/>
              </w:rPr>
              <w:t>euro</w:t>
            </w:r>
            <w:proofErr w:type="spellEnd"/>
            <w:r w:rsidR="001B069C" w:rsidRPr="001B069C">
              <w:rPr>
                <w:bCs/>
              </w:rPr>
              <w:t>/t)</w:t>
            </w:r>
            <w:r w:rsidR="001B069C" w:rsidRPr="001B069C">
              <w:rPr>
                <w:bCs/>
                <w:color w:val="000000"/>
              </w:rPr>
              <w:t>. Ievērojot minēto, VARAM finanšu nodrošin</w:t>
            </w:r>
            <w:r w:rsidR="001B069C">
              <w:rPr>
                <w:bCs/>
                <w:color w:val="000000"/>
              </w:rPr>
              <w:t>ājuma apmēru</w:t>
            </w:r>
            <w:r w:rsidR="001B069C" w:rsidRPr="001B069C">
              <w:rPr>
                <w:bCs/>
                <w:color w:val="000000"/>
              </w:rPr>
              <w:t xml:space="preserve"> nolietoto transportlīdzekļu apsaimniekošanai</w:t>
            </w:r>
            <w:r w:rsidR="001B069C">
              <w:rPr>
                <w:bCs/>
                <w:color w:val="000000"/>
              </w:rPr>
              <w:t xml:space="preserve"> līdz 100 tonnām gadā</w:t>
            </w:r>
            <w:r w:rsidR="001B069C" w:rsidRPr="001B069C">
              <w:rPr>
                <w:bCs/>
                <w:color w:val="000000"/>
              </w:rPr>
              <w:t xml:space="preserve"> ir pārvērtējusi un samazinājusi līdz 25 000 </w:t>
            </w:r>
            <w:proofErr w:type="spellStart"/>
            <w:r w:rsidR="001B069C" w:rsidRPr="001B069C">
              <w:rPr>
                <w:bCs/>
                <w:i/>
                <w:color w:val="000000"/>
              </w:rPr>
              <w:t>euro</w:t>
            </w:r>
            <w:proofErr w:type="spellEnd"/>
            <w:r w:rsidR="001B069C" w:rsidRPr="001B069C">
              <w:rPr>
                <w:bCs/>
                <w:color w:val="000000"/>
              </w:rPr>
              <w:t>, kas ir zemākā iespējamā summa.</w:t>
            </w:r>
            <w:r w:rsidR="00052A29">
              <w:rPr>
                <w:bCs/>
                <w:color w:val="000000"/>
              </w:rPr>
              <w:t xml:space="preserve"> </w:t>
            </w:r>
          </w:p>
          <w:p w14:paraId="09D77A82" w14:textId="4D177447" w:rsidR="002D2656" w:rsidRPr="001B069C" w:rsidRDefault="00F63E28" w:rsidP="00653906">
            <w:pPr>
              <w:pStyle w:val="ListParagraph"/>
              <w:keepLines/>
              <w:numPr>
                <w:ilvl w:val="3"/>
                <w:numId w:val="1"/>
              </w:numPr>
              <w:spacing w:before="120" w:after="0" w:line="240" w:lineRule="auto"/>
              <w:ind w:left="482" w:hanging="357"/>
              <w:jc w:val="both"/>
              <w:rPr>
                <w:rFonts w:ascii="Times New Roman" w:hAnsi="Times New Roman"/>
                <w:b/>
                <w:sz w:val="24"/>
                <w:szCs w:val="24"/>
              </w:rPr>
            </w:pPr>
            <w:r w:rsidRPr="001B069C">
              <w:rPr>
                <w:rFonts w:ascii="Times New Roman" w:hAnsi="Times New Roman"/>
                <w:b/>
                <w:bCs/>
                <w:color w:val="000000"/>
                <w:sz w:val="24"/>
                <w:szCs w:val="24"/>
              </w:rPr>
              <w:t>SIA </w:t>
            </w:r>
            <w:r w:rsidR="002E6321" w:rsidRPr="001B069C">
              <w:rPr>
                <w:rFonts w:ascii="Times New Roman" w:hAnsi="Times New Roman"/>
                <w:b/>
                <w:bCs/>
                <w:color w:val="000000"/>
                <w:sz w:val="24"/>
                <w:szCs w:val="24"/>
              </w:rPr>
              <w:t>“</w:t>
            </w:r>
            <w:proofErr w:type="spellStart"/>
            <w:r w:rsidR="002E6321" w:rsidRPr="001B069C">
              <w:rPr>
                <w:rFonts w:ascii="Times New Roman" w:hAnsi="Times New Roman"/>
                <w:b/>
                <w:bCs/>
                <w:color w:val="000000"/>
                <w:sz w:val="24"/>
                <w:szCs w:val="24"/>
              </w:rPr>
              <w:t>Clean</w:t>
            </w:r>
            <w:proofErr w:type="spellEnd"/>
            <w:r w:rsidR="002E6321" w:rsidRPr="001B069C">
              <w:rPr>
                <w:rFonts w:ascii="Times New Roman" w:hAnsi="Times New Roman"/>
                <w:b/>
                <w:bCs/>
                <w:color w:val="000000"/>
                <w:sz w:val="24"/>
                <w:szCs w:val="24"/>
              </w:rPr>
              <w:t xml:space="preserve"> R” </w:t>
            </w:r>
            <w:r w:rsidR="007932E4" w:rsidRPr="001B069C">
              <w:rPr>
                <w:rFonts w:ascii="Times New Roman" w:hAnsi="Times New Roman"/>
                <w:b/>
                <w:bCs/>
                <w:color w:val="000000"/>
                <w:sz w:val="24"/>
                <w:szCs w:val="24"/>
              </w:rPr>
              <w:t>2020.</w:t>
            </w:r>
            <w:r w:rsidR="002E6321" w:rsidRPr="001B069C">
              <w:rPr>
                <w:rFonts w:ascii="Times New Roman" w:hAnsi="Times New Roman"/>
                <w:b/>
                <w:sz w:val="24"/>
                <w:szCs w:val="24"/>
              </w:rPr>
              <w:t> gada 11. novembra vēstule Nr.</w:t>
            </w:r>
            <w:r w:rsidR="009E3017">
              <w:rPr>
                <w:rFonts w:ascii="Times New Roman" w:hAnsi="Times New Roman"/>
                <w:b/>
                <w:sz w:val="24"/>
                <w:szCs w:val="24"/>
              </w:rPr>
              <w:t> </w:t>
            </w:r>
            <w:r w:rsidR="002D2656" w:rsidRPr="001B069C">
              <w:rPr>
                <w:rFonts w:ascii="Times New Roman" w:hAnsi="Times New Roman"/>
                <w:b/>
                <w:sz w:val="24"/>
                <w:szCs w:val="24"/>
              </w:rPr>
              <w:t>1574:</w:t>
            </w:r>
          </w:p>
          <w:p w14:paraId="2BC1166F" w14:textId="1804E346" w:rsidR="002E6321" w:rsidRPr="001B069C" w:rsidRDefault="002D2656" w:rsidP="00653906">
            <w:pPr>
              <w:keepLines/>
              <w:ind w:left="126"/>
              <w:jc w:val="both"/>
              <w:rPr>
                <w:rFonts w:eastAsia="Calibri"/>
              </w:rPr>
            </w:pPr>
            <w:r w:rsidRPr="001B069C">
              <w:t>2.1.</w:t>
            </w:r>
            <w:r w:rsidR="00A27C28" w:rsidRPr="001B069C">
              <w:t> </w:t>
            </w:r>
            <w:r w:rsidR="00A27C28" w:rsidRPr="001B069C">
              <w:rPr>
                <w:rFonts w:eastAsia="Calibri"/>
                <w:bCs/>
              </w:rPr>
              <w:t>n</w:t>
            </w:r>
            <w:r w:rsidRPr="001B069C">
              <w:rPr>
                <w:rFonts w:eastAsia="Calibri"/>
                <w:bCs/>
              </w:rPr>
              <w:t>epiemērot koeficientu 2,5 par bīstamo atkritumu apsaimniekošanu attiecībā uz R13 atkritumu reģenerācijas kodu</w:t>
            </w:r>
            <w:r w:rsidRPr="001B069C">
              <w:rPr>
                <w:rFonts w:eastAsia="Calibri"/>
              </w:rPr>
              <w:t>, kas pēc fakta un būtības nav reģenerācija (kā darbība), tomēr spēkā esošo normatīvo aktu izpratnē atkritumu uzglabāšanai tiek piemērots reģenerācijas darbības kods.</w:t>
            </w:r>
          </w:p>
          <w:p w14:paraId="35F41337" w14:textId="4C4EBA74" w:rsidR="002D2656" w:rsidRPr="002D2656" w:rsidRDefault="002209F9" w:rsidP="00653906">
            <w:pPr>
              <w:keepLines/>
              <w:ind w:left="126"/>
              <w:jc w:val="both"/>
              <w:rPr>
                <w:b/>
              </w:rPr>
            </w:pPr>
            <w:r w:rsidRPr="002209F9">
              <w:lastRenderedPageBreak/>
              <w:t>P</w:t>
            </w:r>
            <w:r w:rsidR="00413DEF" w:rsidRPr="001B069C">
              <w:rPr>
                <w:bCs/>
                <w:color w:val="000000"/>
              </w:rPr>
              <w:t xml:space="preserve">riekšlikums ņemts vērā, </w:t>
            </w:r>
            <w:r w:rsidR="001B069C" w:rsidRPr="001B069C">
              <w:rPr>
                <w:bCs/>
                <w:color w:val="000000"/>
              </w:rPr>
              <w:t>nosakot izņēmumu koeficienta</w:t>
            </w:r>
            <w:r w:rsidR="00413DEF" w:rsidRPr="001B069C">
              <w:rPr>
                <w:bCs/>
                <w:color w:val="000000"/>
              </w:rPr>
              <w:t xml:space="preserve"> par bīstamo atkritumu apsaimniekošanu </w:t>
            </w:r>
            <w:r w:rsidR="001B069C" w:rsidRPr="001B069C">
              <w:rPr>
                <w:bCs/>
                <w:color w:val="000000"/>
              </w:rPr>
              <w:t>piemērošanai</w:t>
            </w:r>
            <w:r w:rsidR="00413DEF" w:rsidRPr="001B069C">
              <w:rPr>
                <w:bCs/>
                <w:color w:val="000000"/>
              </w:rPr>
              <w:t>.</w:t>
            </w:r>
            <w:r w:rsidR="00BB07D2" w:rsidRPr="001B069C">
              <w:rPr>
                <w:bCs/>
                <w:color w:val="000000"/>
              </w:rPr>
              <w:t xml:space="preserve"> </w:t>
            </w:r>
            <w:r w:rsidR="001B069C">
              <w:rPr>
                <w:bCs/>
                <w:color w:val="000000"/>
              </w:rPr>
              <w:t>Noteikts, ka koeficients netiek piemērots</w:t>
            </w:r>
            <w:r w:rsidR="002266F3">
              <w:rPr>
                <w:bCs/>
                <w:color w:val="000000"/>
              </w:rPr>
              <w:t>,</w:t>
            </w:r>
            <w:r w:rsidR="001B069C">
              <w:rPr>
                <w:bCs/>
                <w:color w:val="000000"/>
              </w:rPr>
              <w:t xml:space="preserve"> </w:t>
            </w:r>
            <w:r w:rsidR="002266F3" w:rsidRPr="00311330">
              <w:t>ja atļauja ir izsniegta bīstamo atkritumu savākšanai šķiroto atkritumu savākšanas laukumos</w:t>
            </w:r>
            <w:r w:rsidR="002266F3">
              <w:rPr>
                <w:sz w:val="28"/>
                <w:szCs w:val="28"/>
              </w:rPr>
              <w:t xml:space="preserve"> </w:t>
            </w:r>
            <w:r w:rsidR="002266F3" w:rsidRPr="00906DD3">
              <w:t xml:space="preserve">atbilstoši </w:t>
            </w:r>
            <w:r w:rsidR="001B069C">
              <w:rPr>
                <w:bCs/>
                <w:color w:val="000000"/>
              </w:rPr>
              <w:t>MKN 788.</w:t>
            </w:r>
          </w:p>
          <w:p w14:paraId="6DAB10FE" w14:textId="2CEE1611" w:rsidR="002E6321" w:rsidRPr="002C60A0" w:rsidRDefault="002E6321" w:rsidP="00653906">
            <w:pPr>
              <w:pStyle w:val="ListParagraph"/>
              <w:keepLines/>
              <w:numPr>
                <w:ilvl w:val="3"/>
                <w:numId w:val="1"/>
              </w:numPr>
              <w:spacing w:before="120" w:after="0" w:line="240" w:lineRule="auto"/>
              <w:ind w:left="482" w:hanging="357"/>
              <w:jc w:val="both"/>
              <w:rPr>
                <w:rFonts w:ascii="Times New Roman" w:hAnsi="Times New Roman"/>
                <w:b/>
                <w:sz w:val="24"/>
                <w:szCs w:val="24"/>
              </w:rPr>
            </w:pPr>
            <w:r w:rsidRPr="002C60A0">
              <w:rPr>
                <w:rFonts w:ascii="Times New Roman" w:hAnsi="Times New Roman"/>
                <w:b/>
                <w:sz w:val="24"/>
                <w:szCs w:val="24"/>
              </w:rPr>
              <w:t>B</w:t>
            </w:r>
            <w:r w:rsidR="007932E4" w:rsidRPr="002C60A0">
              <w:rPr>
                <w:rFonts w:ascii="Times New Roman" w:hAnsi="Times New Roman"/>
                <w:b/>
                <w:sz w:val="24"/>
                <w:szCs w:val="24"/>
              </w:rPr>
              <w:t>iedrības “Latvijas Finanšu nozares asociācij</w:t>
            </w:r>
            <w:r w:rsidRPr="002C60A0">
              <w:rPr>
                <w:rFonts w:ascii="Times New Roman" w:hAnsi="Times New Roman"/>
                <w:b/>
                <w:sz w:val="24"/>
                <w:szCs w:val="24"/>
              </w:rPr>
              <w:t xml:space="preserve">a” </w:t>
            </w:r>
            <w:r w:rsidR="007932E4" w:rsidRPr="002C60A0">
              <w:rPr>
                <w:rFonts w:ascii="Times New Roman" w:hAnsi="Times New Roman"/>
                <w:b/>
                <w:bCs/>
                <w:color w:val="000000"/>
                <w:sz w:val="24"/>
                <w:szCs w:val="24"/>
              </w:rPr>
              <w:t>2020.</w:t>
            </w:r>
            <w:r w:rsidRPr="002C60A0">
              <w:rPr>
                <w:rFonts w:ascii="Times New Roman" w:hAnsi="Times New Roman"/>
                <w:b/>
                <w:sz w:val="24"/>
                <w:szCs w:val="24"/>
              </w:rPr>
              <w:t> gada 11. novembra elektroniskā pasta v</w:t>
            </w:r>
            <w:r w:rsidR="002D2656" w:rsidRPr="002C60A0">
              <w:rPr>
                <w:rFonts w:ascii="Times New Roman" w:hAnsi="Times New Roman"/>
                <w:b/>
                <w:sz w:val="24"/>
                <w:szCs w:val="24"/>
              </w:rPr>
              <w:t>ēstule:</w:t>
            </w:r>
          </w:p>
          <w:p w14:paraId="44D15DB9" w14:textId="1393BC72" w:rsidR="002D2656" w:rsidRPr="002D2656" w:rsidRDefault="002D2656" w:rsidP="00653906">
            <w:pPr>
              <w:keepLines/>
              <w:ind w:left="126"/>
              <w:jc w:val="both"/>
            </w:pPr>
            <w:r>
              <w:t>3.1. </w:t>
            </w:r>
            <w:r w:rsidR="00A27C28">
              <w:t>b</w:t>
            </w:r>
            <w:r>
              <w:t>iedrība</w:t>
            </w:r>
            <w:r w:rsidRPr="002D2656">
              <w:t xml:space="preserve"> “Latvijas Finanšu nozares asociācija”</w:t>
            </w:r>
            <w:r>
              <w:t xml:space="preserve"> </w:t>
            </w:r>
            <w:r w:rsidRPr="007265D4">
              <w:rPr>
                <w:lang w:eastAsia="en-US"/>
              </w:rPr>
              <w:t xml:space="preserve">atbalsta </w:t>
            </w:r>
            <w:r w:rsidR="007265D4" w:rsidRPr="007265D4">
              <w:rPr>
                <w:lang w:eastAsia="en-US"/>
              </w:rPr>
              <w:t>Noteikumu</w:t>
            </w:r>
            <w:r w:rsidRPr="007265D4">
              <w:rPr>
                <w:lang w:eastAsia="en-US"/>
              </w:rPr>
              <w:t xml:space="preserve"> projekta tālāku virzību bez komentāriem vai iebildumiem</w:t>
            </w:r>
            <w:r w:rsidR="007265D4" w:rsidRPr="007265D4">
              <w:rPr>
                <w:lang w:eastAsia="en-US"/>
              </w:rPr>
              <w:t>.</w:t>
            </w:r>
          </w:p>
          <w:p w14:paraId="646C60AB" w14:textId="43B32445" w:rsidR="002D2656" w:rsidRPr="002C60A0" w:rsidRDefault="002E6321" w:rsidP="00653906">
            <w:pPr>
              <w:pStyle w:val="ListParagraph"/>
              <w:keepLines/>
              <w:numPr>
                <w:ilvl w:val="3"/>
                <w:numId w:val="1"/>
              </w:numPr>
              <w:spacing w:before="120" w:after="0" w:line="240" w:lineRule="auto"/>
              <w:ind w:left="482" w:hanging="357"/>
              <w:jc w:val="both"/>
              <w:rPr>
                <w:b/>
              </w:rPr>
            </w:pPr>
            <w:r w:rsidRPr="002C60A0">
              <w:rPr>
                <w:rFonts w:ascii="Times New Roman" w:hAnsi="Times New Roman"/>
                <w:b/>
                <w:sz w:val="24"/>
                <w:szCs w:val="24"/>
              </w:rPr>
              <w:t>B</w:t>
            </w:r>
            <w:r w:rsidR="007932E4" w:rsidRPr="002C60A0">
              <w:rPr>
                <w:rFonts w:ascii="Times New Roman" w:hAnsi="Times New Roman"/>
                <w:b/>
                <w:sz w:val="24"/>
                <w:szCs w:val="24"/>
              </w:rPr>
              <w:t xml:space="preserve">iedrības “Latvijas Apdrošinātāju asociācija” </w:t>
            </w:r>
            <w:r w:rsidR="007932E4" w:rsidRPr="002C60A0">
              <w:rPr>
                <w:rFonts w:ascii="Times New Roman" w:hAnsi="Times New Roman"/>
                <w:b/>
                <w:bCs/>
                <w:color w:val="000000"/>
                <w:sz w:val="24"/>
                <w:szCs w:val="24"/>
              </w:rPr>
              <w:t>2020.</w:t>
            </w:r>
            <w:r w:rsidRPr="002C60A0">
              <w:rPr>
                <w:rFonts w:ascii="Times New Roman" w:hAnsi="Times New Roman"/>
                <w:b/>
                <w:sz w:val="24"/>
                <w:szCs w:val="24"/>
              </w:rPr>
              <w:t> gada 11. novembra</w:t>
            </w:r>
            <w:r w:rsidR="004051E4" w:rsidRPr="002C60A0">
              <w:rPr>
                <w:rFonts w:ascii="Times New Roman" w:hAnsi="Times New Roman"/>
                <w:b/>
                <w:bCs/>
                <w:color w:val="000000"/>
                <w:sz w:val="24"/>
                <w:szCs w:val="24"/>
              </w:rPr>
              <w:t xml:space="preserve"> </w:t>
            </w:r>
            <w:r w:rsidR="002D2656" w:rsidRPr="002C60A0">
              <w:rPr>
                <w:rFonts w:ascii="Times New Roman" w:hAnsi="Times New Roman"/>
                <w:b/>
                <w:bCs/>
                <w:color w:val="000000"/>
                <w:sz w:val="24"/>
                <w:szCs w:val="24"/>
              </w:rPr>
              <w:t>vēstule Nr. </w:t>
            </w:r>
            <w:r w:rsidR="002D2656" w:rsidRPr="002C60A0">
              <w:rPr>
                <w:rFonts w:ascii="Times New Roman" w:hAnsi="Times New Roman"/>
                <w:b/>
                <w:sz w:val="24"/>
                <w:szCs w:val="24"/>
              </w:rPr>
              <w:t>2020 – 41</w:t>
            </w:r>
            <w:r w:rsidR="002D2656" w:rsidRPr="002C60A0">
              <w:rPr>
                <w:rFonts w:ascii="Times New Roman" w:hAnsi="Times New Roman"/>
                <w:b/>
                <w:bCs/>
                <w:color w:val="000000"/>
                <w:sz w:val="24"/>
                <w:szCs w:val="24"/>
              </w:rPr>
              <w:t>:</w:t>
            </w:r>
          </w:p>
          <w:p w14:paraId="5889CC98" w14:textId="279ACCB4" w:rsidR="002D2656" w:rsidRDefault="002D2656" w:rsidP="00653906">
            <w:pPr>
              <w:keepLines/>
              <w:ind w:left="126"/>
              <w:jc w:val="both"/>
            </w:pPr>
            <w:r>
              <w:rPr>
                <w:bCs/>
                <w:color w:val="000000"/>
              </w:rPr>
              <w:t>4.1. </w:t>
            </w:r>
            <w:r w:rsidR="000766AE">
              <w:t>p</w:t>
            </w:r>
            <w:r>
              <w:t>apildināt ar normām, kas nodrošinātu finanšu nod</w:t>
            </w:r>
            <w:r w:rsidR="000766AE">
              <w:t xml:space="preserve">rošinājuma pārrāvuma neesamību. </w:t>
            </w:r>
            <w:r>
              <w:t xml:space="preserve">Piemēram, </w:t>
            </w:r>
            <w:r w:rsidR="000766AE">
              <w:t>noteikt termiņu</w:t>
            </w:r>
            <w:r>
              <w:t xml:space="preserve">, kurā pirms esoša finanšu nodrošinājuma beigām jāiesniedz apliecinājums par tā pagarinājumu vai jauns finanšu nodrošinājums uz turpmākajiem periodiem, savukārt, ja jauns nodrošinājums nav iesniegts, tad </w:t>
            </w:r>
            <w:r w:rsidR="00DC3C8A">
              <w:t xml:space="preserve">VVD </w:t>
            </w:r>
            <w:r>
              <w:t xml:space="preserve">nebūtu jāizsniedz atkritumu apsaimniekošanas darbībām nepieciešamā atļauja. </w:t>
            </w:r>
          </w:p>
          <w:p w14:paraId="21D9AE90" w14:textId="0001D687" w:rsidR="00DE61D9" w:rsidRPr="002D2656" w:rsidRDefault="002209F9" w:rsidP="00653906">
            <w:pPr>
              <w:keepLines/>
              <w:ind w:left="126"/>
              <w:jc w:val="both"/>
              <w:rPr>
                <w:b/>
              </w:rPr>
            </w:pPr>
            <w:r w:rsidRPr="002209F9">
              <w:rPr>
                <w:bCs/>
                <w:color w:val="000000"/>
              </w:rPr>
              <w:t>P</w:t>
            </w:r>
            <w:r w:rsidR="007265D4" w:rsidRPr="007265D4">
              <w:rPr>
                <w:bCs/>
                <w:color w:val="000000"/>
              </w:rPr>
              <w:t>riekšlikums ņemts vērā</w:t>
            </w:r>
            <w:r w:rsidR="007265D4" w:rsidRPr="007265D4">
              <w:t>, papildinot anotāciju</w:t>
            </w:r>
            <w:r w:rsidR="007265D4" w:rsidRPr="007265D4">
              <w:rPr>
                <w:bCs/>
                <w:color w:val="000000"/>
              </w:rPr>
              <w:t xml:space="preserve">. Noteikumu projekts jau šobrīd paredz, ka </w:t>
            </w:r>
            <w:r w:rsidR="007265D4" w:rsidRPr="007265D4">
              <w:t>tr</w:t>
            </w:r>
            <w:r w:rsidR="007265D4" w:rsidRPr="00F079CC">
              <w:t>īs nedēļas pirms finanšu nodroš</w:t>
            </w:r>
            <w:r w:rsidR="007265D4">
              <w:t>inājuma termiņa beigām būs jāiesniedz</w:t>
            </w:r>
            <w:r w:rsidR="007265D4" w:rsidRPr="00F079CC">
              <w:t xml:space="preserve"> </w:t>
            </w:r>
            <w:r w:rsidR="007265D4">
              <w:t>VVD</w:t>
            </w:r>
            <w:r w:rsidR="007265D4" w:rsidRPr="00F079CC">
              <w:t xml:space="preserve"> finanšu nodrošinājuma pagarinājumu uz nākamo periodu vai </w:t>
            </w:r>
            <w:r w:rsidR="007265D4">
              <w:t>jā</w:t>
            </w:r>
            <w:r w:rsidR="007265D4" w:rsidRPr="00F079CC">
              <w:t xml:space="preserve">iesniedz jaunu finanšu nodrošinājumu, ja atkritumu </w:t>
            </w:r>
            <w:proofErr w:type="spellStart"/>
            <w:r w:rsidR="007265D4" w:rsidRPr="00F079CC">
              <w:t>apsaimniekotājs</w:t>
            </w:r>
            <w:proofErr w:type="spellEnd"/>
            <w:r w:rsidR="007265D4" w:rsidRPr="00F079CC">
              <w:t>, atkritumu tirgotājs vai atkritumu apsaimniekošanas starpnieks</w:t>
            </w:r>
            <w:r w:rsidR="007265D4">
              <w:t xml:space="preserve"> nolemj izvēlēties citu finanšu nodrošinājuma sniedzēju. Vienlaikus Likuma 12. panta 1.</w:t>
            </w:r>
            <w:r w:rsidR="007265D4" w:rsidRPr="00F735E2">
              <w:rPr>
                <w:vertAlign w:val="superscript"/>
              </w:rPr>
              <w:t>2</w:t>
            </w:r>
            <w:r w:rsidR="007265D4">
              <w:t> daļa noteic, ka, lai saņemtu atļauju</w:t>
            </w:r>
            <w:r w:rsidR="00F735E2">
              <w:t xml:space="preserve"> gan</w:t>
            </w:r>
            <w:r w:rsidR="007265D4">
              <w:t xml:space="preserve"> Likuma 12. panta pirmajā daļā minētajām darbībām, gan atkritumu pārstrādei vai reģenerācijai atbilstoši normatīvajiem aktiem par piesārņojumu, jāiesniedz VVD finanšu nodrošinājumu.</w:t>
            </w:r>
          </w:p>
        </w:tc>
      </w:tr>
      <w:tr w:rsidR="00DE61D9" w14:paraId="6EE7C9B7" w14:textId="77777777" w:rsidTr="00653906">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B9C1C9F" w14:textId="57CFFE27" w:rsidR="00DE61D9" w:rsidRDefault="004C793D" w:rsidP="00653906">
            <w:pPr>
              <w:keepLines/>
              <w:jc w:val="center"/>
            </w:pPr>
            <w:r>
              <w:lastRenderedPageBreak/>
              <w:t>4.</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F02C885" w14:textId="77777777" w:rsidR="00DE61D9" w:rsidRDefault="004C793D" w:rsidP="00653906">
            <w:pPr>
              <w:keepLines/>
            </w:pPr>
            <w:r>
              <w:t>Cita informācija</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14:paraId="48D3581A" w14:textId="77777777" w:rsidR="00DE61D9" w:rsidRDefault="004C793D" w:rsidP="00653906">
            <w:pPr>
              <w:keepLines/>
            </w:pPr>
            <w:r>
              <w:t>Nav</w:t>
            </w:r>
          </w:p>
        </w:tc>
      </w:tr>
    </w:tbl>
    <w:p w14:paraId="4D325D60" w14:textId="77777777" w:rsidR="00DE61D9" w:rsidRDefault="00DE61D9">
      <w:pPr>
        <w:pStyle w:val="Title"/>
        <w:spacing w:before="130" w:line="260" w:lineRule="exact"/>
        <w:jc w:val="both"/>
        <w:rPr>
          <w:sz w:val="24"/>
          <w:szCs w:val="24"/>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00" w:firstRow="0" w:lastRow="0" w:firstColumn="0" w:lastColumn="0" w:noHBand="0" w:noVBand="0"/>
      </w:tblPr>
      <w:tblGrid>
        <w:gridCol w:w="522"/>
        <w:gridCol w:w="2793"/>
        <w:gridCol w:w="5746"/>
      </w:tblGrid>
      <w:tr w:rsidR="00DE61D9" w14:paraId="3064E9E8" w14:textId="77777777">
        <w:trPr>
          <w:cantSplit/>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351B4C" w14:textId="77777777" w:rsidR="00DE61D9" w:rsidRDefault="004C793D">
            <w:pPr>
              <w:jc w:val="center"/>
              <w:rPr>
                <w:b/>
                <w:bCs/>
              </w:rPr>
            </w:pPr>
            <w:r>
              <w:rPr>
                <w:b/>
                <w:bCs/>
              </w:rPr>
              <w:t>VII. Tiesību akta projekta izpildes nodrošināšana un tās ietekme uz institūcijām</w:t>
            </w:r>
          </w:p>
        </w:tc>
      </w:tr>
      <w:tr w:rsidR="00DE61D9" w14:paraId="6B11E87A" w14:textId="77777777">
        <w:trPr>
          <w:cantSplit/>
          <w:trHeight w:val="519"/>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2A6E4512" w14:textId="77777777" w:rsidR="00DE61D9" w:rsidRDefault="004C793D">
            <w:pPr>
              <w:jc w:val="center"/>
            </w:pPr>
            <w: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635C8A92" w14:textId="77777777" w:rsidR="00DE61D9" w:rsidRDefault="004C793D">
            <w:r>
              <w:t>Projekta izpildē iesaistītās institūcijas</w:t>
            </w:r>
          </w:p>
        </w:tc>
        <w:tc>
          <w:tcPr>
            <w:tcW w:w="5753" w:type="dxa"/>
            <w:tcBorders>
              <w:top w:val="single" w:sz="4" w:space="0" w:color="000000"/>
              <w:left w:val="single" w:sz="4" w:space="0" w:color="000000"/>
              <w:bottom w:val="single" w:sz="4" w:space="0" w:color="000000"/>
              <w:right w:val="single" w:sz="4" w:space="0" w:color="000000"/>
            </w:tcBorders>
            <w:shd w:val="clear" w:color="auto" w:fill="auto"/>
          </w:tcPr>
          <w:p w14:paraId="703CE45E" w14:textId="77777777" w:rsidR="00DE61D9" w:rsidRDefault="004C793D">
            <w:pPr>
              <w:rPr>
                <w:szCs w:val="28"/>
              </w:rPr>
            </w:pPr>
            <w:r>
              <w:rPr>
                <w:szCs w:val="28"/>
              </w:rPr>
              <w:t>VVD.</w:t>
            </w:r>
          </w:p>
        </w:tc>
      </w:tr>
      <w:tr w:rsidR="00DE61D9" w14:paraId="0B18D97A" w14:textId="77777777">
        <w:trPr>
          <w:cantSplit/>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291073C0" w14:textId="77777777" w:rsidR="00DE61D9" w:rsidRDefault="004C793D">
            <w:pPr>
              <w:jc w:val="center"/>
            </w:pPr>
            <w:r>
              <w:t>2.</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77356816" w14:textId="77777777" w:rsidR="00DE61D9" w:rsidRDefault="004C793D">
            <w:pPr>
              <w:jc w:val="both"/>
            </w:pPr>
            <w:r>
              <w:t>Projekta izpildes ietekme uz pārvaldes funkcijām un institucionālo struktūru.</w:t>
            </w:r>
          </w:p>
          <w:p w14:paraId="56E6FDF1" w14:textId="77777777" w:rsidR="00DE61D9" w:rsidRDefault="004C793D">
            <w:pPr>
              <w:jc w:val="both"/>
            </w:pPr>
            <w:r>
              <w:br/>
              <w:t>Jaunu institūciju izveide, esošu institūciju likvidācija vai reorganizācija, to ietekme uz institūcijas cilvēkresursiem</w:t>
            </w:r>
          </w:p>
        </w:tc>
        <w:tc>
          <w:tcPr>
            <w:tcW w:w="5753" w:type="dxa"/>
            <w:tcBorders>
              <w:top w:val="single" w:sz="4" w:space="0" w:color="000000"/>
              <w:left w:val="single" w:sz="4" w:space="0" w:color="000000"/>
              <w:bottom w:val="single" w:sz="4" w:space="0" w:color="000000"/>
              <w:right w:val="single" w:sz="4" w:space="0" w:color="000000"/>
            </w:tcBorders>
            <w:shd w:val="clear" w:color="auto" w:fill="auto"/>
          </w:tcPr>
          <w:p w14:paraId="76A8DA64" w14:textId="77777777" w:rsidR="00DE61D9" w:rsidRDefault="004C793D">
            <w:pPr>
              <w:pStyle w:val="naisnod"/>
              <w:spacing w:before="0" w:after="0"/>
              <w:ind w:right="57"/>
              <w:jc w:val="both"/>
              <w:rPr>
                <w:b w:val="0"/>
              </w:rPr>
            </w:pPr>
            <w:r>
              <w:rPr>
                <w:b w:val="0"/>
              </w:rPr>
              <w:t>Noteikumu projekts neietekmē iesaistīto institūciju funkcijas un uzdevumus.</w:t>
            </w:r>
          </w:p>
          <w:p w14:paraId="46CF3859" w14:textId="77777777" w:rsidR="00DE61D9" w:rsidRDefault="00DE61D9">
            <w:pPr>
              <w:rPr>
                <w:bCs/>
              </w:rPr>
            </w:pPr>
          </w:p>
          <w:p w14:paraId="16B1784A" w14:textId="77777777" w:rsidR="00DE61D9" w:rsidRDefault="00DE61D9">
            <w:pPr>
              <w:rPr>
                <w:bCs/>
              </w:rPr>
            </w:pPr>
          </w:p>
          <w:p w14:paraId="31606D13" w14:textId="77777777" w:rsidR="00DE61D9" w:rsidRDefault="00DE61D9">
            <w:pPr>
              <w:rPr>
                <w:bCs/>
              </w:rPr>
            </w:pPr>
          </w:p>
          <w:p w14:paraId="5B454299" w14:textId="77777777" w:rsidR="00DE61D9" w:rsidRDefault="004C793D">
            <w:pPr>
              <w:jc w:val="both"/>
              <w:rPr>
                <w:bCs/>
              </w:rPr>
            </w:pPr>
            <w:r>
              <w:rPr>
                <w:bCs/>
              </w:rPr>
              <w:t>Jaunas institūcijas nav jāveido. Esošās institūcijas nav jāreorganizē.</w:t>
            </w:r>
          </w:p>
        </w:tc>
      </w:tr>
      <w:tr w:rsidR="00DE61D9" w14:paraId="788AB950" w14:textId="77777777">
        <w:trPr>
          <w:cantSplit/>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535BD464" w14:textId="77777777" w:rsidR="00DE61D9" w:rsidRDefault="004C793D">
            <w:pPr>
              <w:jc w:val="center"/>
            </w:pPr>
            <w:r>
              <w:t>3.</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04EFED94" w14:textId="77777777" w:rsidR="00DE61D9" w:rsidRDefault="004C793D">
            <w:r>
              <w:t>Cita informācija</w:t>
            </w:r>
          </w:p>
        </w:tc>
        <w:tc>
          <w:tcPr>
            <w:tcW w:w="5753" w:type="dxa"/>
            <w:tcBorders>
              <w:top w:val="single" w:sz="4" w:space="0" w:color="000000"/>
              <w:left w:val="single" w:sz="4" w:space="0" w:color="000000"/>
              <w:bottom w:val="single" w:sz="4" w:space="0" w:color="000000"/>
              <w:right w:val="single" w:sz="4" w:space="0" w:color="000000"/>
            </w:tcBorders>
            <w:shd w:val="clear" w:color="auto" w:fill="auto"/>
          </w:tcPr>
          <w:p w14:paraId="0379F3CD" w14:textId="77777777" w:rsidR="00DE61D9" w:rsidRDefault="004C793D">
            <w:r>
              <w:t>Nav</w:t>
            </w:r>
          </w:p>
        </w:tc>
      </w:tr>
    </w:tbl>
    <w:p w14:paraId="40869D73" w14:textId="77777777" w:rsidR="00DE61D9" w:rsidRDefault="00DE61D9"/>
    <w:p w14:paraId="07531388" w14:textId="77777777" w:rsidR="00805D19" w:rsidRDefault="00805D19">
      <w:pPr>
        <w:tabs>
          <w:tab w:val="left" w:pos="6237"/>
        </w:tabs>
      </w:pPr>
    </w:p>
    <w:p w14:paraId="4A3FCC23" w14:textId="77777777" w:rsidR="00F306C4" w:rsidRDefault="000623C4" w:rsidP="000623C4">
      <w:pPr>
        <w:tabs>
          <w:tab w:val="left" w:pos="1662"/>
          <w:tab w:val="left" w:pos="6804"/>
        </w:tabs>
      </w:pPr>
      <w:r w:rsidRPr="000623C4">
        <w:t xml:space="preserve">Vides aizsardzības un </w:t>
      </w:r>
    </w:p>
    <w:p w14:paraId="0F6071F9" w14:textId="0C873502" w:rsidR="000623C4" w:rsidRPr="000623C4" w:rsidRDefault="000623C4" w:rsidP="000623C4">
      <w:pPr>
        <w:tabs>
          <w:tab w:val="left" w:pos="1662"/>
          <w:tab w:val="left" w:pos="6804"/>
        </w:tabs>
      </w:pPr>
      <w:r w:rsidRPr="000623C4">
        <w:t xml:space="preserve">reģionālās attīstības ministra </w:t>
      </w:r>
      <w:proofErr w:type="spellStart"/>
      <w:r w:rsidRPr="000623C4">
        <w:t>p.i</w:t>
      </w:r>
      <w:proofErr w:type="spellEnd"/>
      <w:r w:rsidRPr="000623C4">
        <w:t>.</w:t>
      </w:r>
    </w:p>
    <w:p w14:paraId="26D3E6AE" w14:textId="0F76ECA2" w:rsidR="00DE61D9" w:rsidRPr="000623C4" w:rsidRDefault="000623C4" w:rsidP="000623C4">
      <w:pPr>
        <w:tabs>
          <w:tab w:val="left" w:pos="6237"/>
        </w:tabs>
      </w:pPr>
      <w:r w:rsidRPr="000623C4">
        <w:t>Aizsardzības ministrs</w:t>
      </w:r>
      <w:r w:rsidRPr="000623C4">
        <w:tab/>
      </w:r>
      <w:r w:rsidRPr="000623C4">
        <w:tab/>
      </w:r>
      <w:r>
        <w:tab/>
      </w:r>
      <w:r>
        <w:tab/>
      </w:r>
      <w:r w:rsidRPr="000623C4">
        <w:t>A.</w:t>
      </w:r>
      <w:r>
        <w:t> </w:t>
      </w:r>
      <w:r w:rsidRPr="000623C4">
        <w:t>Pabriks</w:t>
      </w:r>
    </w:p>
    <w:p w14:paraId="2A455D15" w14:textId="77777777" w:rsidR="00DE61D9" w:rsidRDefault="00DE61D9">
      <w:pPr>
        <w:tabs>
          <w:tab w:val="left" w:pos="6237"/>
        </w:tabs>
        <w:rPr>
          <w:szCs w:val="28"/>
        </w:rPr>
      </w:pPr>
    </w:p>
    <w:p w14:paraId="4210A720" w14:textId="77777777" w:rsidR="00DE61D9" w:rsidRDefault="004C793D">
      <w:pPr>
        <w:tabs>
          <w:tab w:val="left" w:pos="6237"/>
        </w:tabs>
        <w:rPr>
          <w:sz w:val="18"/>
          <w:szCs w:val="18"/>
        </w:rPr>
      </w:pPr>
      <w:r>
        <w:rPr>
          <w:sz w:val="18"/>
          <w:szCs w:val="18"/>
        </w:rPr>
        <w:t>Gāga 67026518</w:t>
      </w:r>
    </w:p>
    <w:p w14:paraId="13E84ED2" w14:textId="77777777" w:rsidR="00DE61D9" w:rsidRDefault="007F056C">
      <w:r>
        <w:rPr>
          <w:rStyle w:val="Internetasaite"/>
          <w:sz w:val="18"/>
          <w:szCs w:val="18"/>
        </w:rPr>
        <w:t>K</w:t>
      </w:r>
      <w:r w:rsidR="004C793D">
        <w:rPr>
          <w:rStyle w:val="Internetasaite"/>
          <w:sz w:val="18"/>
          <w:szCs w:val="18"/>
        </w:rPr>
        <w:t>ristine.</w:t>
      </w:r>
      <w:r>
        <w:rPr>
          <w:rStyle w:val="Internetasaite"/>
          <w:sz w:val="18"/>
          <w:szCs w:val="18"/>
        </w:rPr>
        <w:t>G</w:t>
      </w:r>
      <w:r w:rsidR="004C793D">
        <w:rPr>
          <w:rStyle w:val="Internetasaite"/>
          <w:sz w:val="18"/>
          <w:szCs w:val="18"/>
        </w:rPr>
        <w:t>aga</w:t>
      </w:r>
      <w:hyperlink r:id="rId10">
        <w:r w:rsidR="004C793D">
          <w:rPr>
            <w:rStyle w:val="Internetasaite"/>
            <w:sz w:val="18"/>
            <w:szCs w:val="18"/>
          </w:rPr>
          <w:t>@varam.gov.lv</w:t>
        </w:r>
      </w:hyperlink>
    </w:p>
    <w:sectPr w:rsidR="00DE61D9">
      <w:headerReference w:type="default" r:id="rId11"/>
      <w:footerReference w:type="default" r:id="rId12"/>
      <w:footerReference w:type="first" r:id="rId13"/>
      <w:pgSz w:w="11906" w:h="16838"/>
      <w:pgMar w:top="851" w:right="1134" w:bottom="1134" w:left="1701"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49614" w14:textId="77777777" w:rsidR="00F20179" w:rsidRDefault="00F20179">
      <w:r>
        <w:separator/>
      </w:r>
    </w:p>
  </w:endnote>
  <w:endnote w:type="continuationSeparator" w:id="0">
    <w:p w14:paraId="7D3B5639" w14:textId="77777777" w:rsidR="00F20179" w:rsidRDefault="00F2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FCFB" w14:textId="5FAEB8E2" w:rsidR="00DE61D9" w:rsidRDefault="004C793D">
    <w:pPr>
      <w:pStyle w:val="Footer"/>
    </w:pPr>
    <w:r>
      <w:t xml:space="preserve"> </w:t>
    </w:r>
    <w:r w:rsidR="009B1387">
      <w:rPr>
        <w:sz w:val="20"/>
        <w:szCs w:val="20"/>
      </w:rPr>
      <w:t>VARAMAnot_</w:t>
    </w:r>
    <w:r w:rsidR="005470BA">
      <w:rPr>
        <w:sz w:val="20"/>
        <w:szCs w:val="20"/>
      </w:rPr>
      <w:t>1011</w:t>
    </w:r>
    <w:r>
      <w:rPr>
        <w:sz w:val="20"/>
        <w:szCs w:val="20"/>
      </w:rPr>
      <w:t>20_FinNodr</w:t>
    </w:r>
  </w:p>
  <w:p w14:paraId="5B34D278" w14:textId="77777777" w:rsidR="00DE61D9" w:rsidRDefault="00DE61D9">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5CE6" w14:textId="51C9D1AB" w:rsidR="00DE61D9" w:rsidRDefault="004C793D">
    <w:pPr>
      <w:pStyle w:val="Footer"/>
    </w:pPr>
    <w:r>
      <w:t xml:space="preserve"> </w:t>
    </w:r>
    <w:r>
      <w:rPr>
        <w:sz w:val="20"/>
        <w:szCs w:val="20"/>
      </w:rPr>
      <w:t>VARAMAnot_</w:t>
    </w:r>
    <w:r w:rsidR="007F09A4">
      <w:rPr>
        <w:sz w:val="20"/>
        <w:szCs w:val="20"/>
      </w:rPr>
      <w:t>1</w:t>
    </w:r>
    <w:r w:rsidR="005470BA">
      <w:rPr>
        <w:sz w:val="20"/>
        <w:szCs w:val="20"/>
      </w:rPr>
      <w:t>011</w:t>
    </w:r>
    <w:r w:rsidR="009B1387">
      <w:rPr>
        <w:sz w:val="20"/>
        <w:szCs w:val="20"/>
      </w:rPr>
      <w:t>20</w:t>
    </w:r>
    <w:r>
      <w:rPr>
        <w:sz w:val="20"/>
        <w:szCs w:val="20"/>
      </w:rPr>
      <w:t>_fin_nodr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E911A" w14:textId="77777777" w:rsidR="00F20179" w:rsidRDefault="00F20179">
      <w:r>
        <w:separator/>
      </w:r>
    </w:p>
  </w:footnote>
  <w:footnote w:type="continuationSeparator" w:id="0">
    <w:p w14:paraId="49BDD7F0" w14:textId="77777777" w:rsidR="00F20179" w:rsidRDefault="00F20179">
      <w:r>
        <w:continuationSeparator/>
      </w:r>
    </w:p>
  </w:footnote>
  <w:footnote w:id="1">
    <w:p w14:paraId="057EBD37" w14:textId="3CF5FA2C" w:rsidR="00040FAA" w:rsidRDefault="00040FAA">
      <w:pPr>
        <w:pStyle w:val="FootnoteText"/>
      </w:pPr>
      <w:r>
        <w:rPr>
          <w:rStyle w:val="FootnoteReference"/>
        </w:rPr>
        <w:footnoteRef/>
      </w:r>
      <w:r>
        <w:t xml:space="preserve"> Tiešsaistē pieejams oficiālā izdevuma “Latvijas Vēstnesis” </w:t>
      </w:r>
      <w:r w:rsidR="00413DEF">
        <w:t>tīmekļvietnē</w:t>
      </w:r>
      <w:r>
        <w:t>: </w:t>
      </w:r>
      <w:hyperlink r:id="rId1" w:history="1">
        <w:r w:rsidRPr="00124765">
          <w:rPr>
            <w:rStyle w:val="Hyperlink"/>
          </w:rPr>
          <w:t>https://likumi.lv/ta/id/316207-grozijumi-atkritumu-apsaimniekosanas-likuma</w:t>
        </w:r>
      </w:hyperlink>
      <w:r>
        <w:t xml:space="preserve"> </w:t>
      </w:r>
    </w:p>
  </w:footnote>
  <w:footnote w:id="2">
    <w:p w14:paraId="6A2D8746" w14:textId="77777777" w:rsidR="00DE61D9" w:rsidRDefault="004C793D">
      <w:pPr>
        <w:pStyle w:val="FootnoteText"/>
        <w:jc w:val="both"/>
      </w:pPr>
      <w:r w:rsidRPr="00B34B0B">
        <w:rPr>
          <w:rStyle w:val="Vresrakstzmes"/>
          <w:vertAlign w:val="superscript"/>
        </w:rPr>
        <w:footnoteRef/>
      </w:r>
      <w:r w:rsidR="00500FFB">
        <w:rPr>
          <w:rStyle w:val="Vresrakstzmes"/>
        </w:rPr>
        <w:t> </w:t>
      </w:r>
      <w:r>
        <w:t>Ministru kabineta 2011. gada 13. septembra noteikumi Nr. 703 “Noteikumi par atkritumu apsaimniekošanas atļaujas izsniegšanas un anulēšanas kārtību, atkritumu tirgotāju un atkritumu apsaimniekošanas starpnieku reģistrācijas un informācijas sniegšanas kārtību, kā arī par valsts nodevu un tās maksāšanas kārtību”</w:t>
      </w:r>
    </w:p>
  </w:footnote>
  <w:footnote w:id="3">
    <w:p w14:paraId="6FAB6D48" w14:textId="77777777" w:rsidR="00DE61D9" w:rsidRDefault="004C793D">
      <w:pPr>
        <w:pStyle w:val="FootnoteText"/>
        <w:jc w:val="both"/>
      </w:pPr>
      <w:r w:rsidRPr="00B34B0B">
        <w:rPr>
          <w:rStyle w:val="Vresrakstzmes"/>
          <w:vertAlign w:val="superscript"/>
        </w:rPr>
        <w:footnoteRef/>
      </w:r>
      <w:r w:rsidR="00F536D7">
        <w:rPr>
          <w:rStyle w:val="Vresrakstzmes"/>
        </w:rPr>
        <w:t> </w:t>
      </w:r>
      <w:r>
        <w:t>Ministru kabineta 2011. gada 13. decembra noteikumi Nr. 960 “Noteikumi par kārtību, kādā iepērk un realizē melno un krāsaino metālu atgriezumus un lūžņus un izsniedz licences metālu atgriezumu un lūžņu iepirkšanai Latvijā, kā arī par valsts nodevas likmi par licenci metālu atgriezumu un lūžņu iepirkšanai un valsts nodevas maksāšanas kārtību”</w:t>
      </w:r>
    </w:p>
  </w:footnote>
  <w:footnote w:id="4">
    <w:p w14:paraId="1E8C4FBB" w14:textId="77777777" w:rsidR="00C76B9B" w:rsidRDefault="00C76B9B">
      <w:pPr>
        <w:pStyle w:val="FootnoteText"/>
      </w:pPr>
      <w:r>
        <w:rPr>
          <w:rStyle w:val="FootnoteReference"/>
        </w:rPr>
        <w:footnoteRef/>
      </w:r>
      <w:r>
        <w:t xml:space="preserve"> Pieejams tīmekļvietnē: </w:t>
      </w:r>
      <w:hyperlink r:id="rId2" w:history="1">
        <w:r w:rsidRPr="006D6C07">
          <w:rPr>
            <w:rStyle w:val="Hyperlink"/>
          </w:rPr>
          <w:t>https://www.meteo.lv/pakalpojumi/radioaktivie-bistamie-atkritumi-un-buvnieciba-radusies-atkritumi/bistamo-atkritumu-savaksana-iepakosana-transportesana-apglabasana/maksa-par-zebrenes-bistamo-atkritumu-poligona-bistamo-atkritumu-apglab?id=3695&amp;nid=540&amp;cid=1032</w:t>
        </w:r>
      </w:hyperlink>
      <w:r>
        <w:t xml:space="preserve"> </w:t>
      </w:r>
    </w:p>
  </w:footnote>
  <w:footnote w:id="5">
    <w:p w14:paraId="07DB740E" w14:textId="1C8D1D5A" w:rsidR="00C76B9B" w:rsidRDefault="00C76B9B">
      <w:pPr>
        <w:pStyle w:val="FootnoteText"/>
      </w:pPr>
      <w:r>
        <w:rPr>
          <w:rStyle w:val="FootnoteReference"/>
        </w:rPr>
        <w:footnoteRef/>
      </w:r>
      <w:r>
        <w:t xml:space="preserve"> Pieejams tīmekļvietnē: </w:t>
      </w:r>
      <w:r w:rsidR="008D6816" w:rsidRPr="008D6816">
        <w:rPr>
          <w:rStyle w:val="Hyperlink"/>
        </w:rPr>
        <w:t>https://www.sprk.gov.lv/content/tarifi</w:t>
      </w:r>
    </w:p>
  </w:footnote>
  <w:footnote w:id="6">
    <w:p w14:paraId="08FFFCA1" w14:textId="77777777" w:rsidR="00805D19" w:rsidRDefault="00805D19">
      <w:pPr>
        <w:pStyle w:val="FootnoteText"/>
      </w:pPr>
      <w:r>
        <w:rPr>
          <w:rStyle w:val="FootnoteReference"/>
        </w:rPr>
        <w:footnoteRef/>
      </w:r>
      <w:r>
        <w:t xml:space="preserve"> Dati pieejami tīmekļvietnē: </w:t>
      </w:r>
      <w:hyperlink r:id="rId3" w:history="1">
        <w:r w:rsidRPr="00200196">
          <w:rPr>
            <w:rStyle w:val="Hyperlink"/>
          </w:rPr>
          <w:t>https://www.csb.gov.lv/lv/statistika/statistikas-temas/socialie-procesi/darba-samaksa/tabulas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37411" w14:textId="77777777" w:rsidR="00DE61D9" w:rsidRDefault="004C793D">
    <w:pPr>
      <w:pStyle w:val="Header"/>
      <w:jc w:val="center"/>
    </w:pPr>
    <w:r>
      <w:fldChar w:fldCharType="begin"/>
    </w:r>
    <w:r>
      <w:instrText>PAGE</w:instrText>
    </w:r>
    <w:r>
      <w:fldChar w:fldCharType="separate"/>
    </w:r>
    <w:r w:rsidR="002266F3">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9241C"/>
    <w:multiLevelType w:val="multilevel"/>
    <w:tmpl w:val="0834F0F0"/>
    <w:lvl w:ilvl="0">
      <w:start w:val="1"/>
      <w:numFmt w:val="decimal"/>
      <w:lvlText w:val="%1."/>
      <w:lvlJc w:val="left"/>
      <w:pPr>
        <w:ind w:left="420" w:hanging="420"/>
      </w:pPr>
      <w:rPr>
        <w:rFonts w:hint="default"/>
      </w:rPr>
    </w:lvl>
    <w:lvl w:ilvl="1">
      <w:start w:val="1"/>
      <w:numFmt w:val="decimal"/>
      <w:lvlText w:val="%1.%2."/>
      <w:lvlJc w:val="left"/>
      <w:pPr>
        <w:ind w:left="546" w:hanging="420"/>
      </w:pPr>
      <w:rPr>
        <w:rFonts w:hint="default"/>
      </w:rPr>
    </w:lvl>
    <w:lvl w:ilvl="2">
      <w:start w:val="1"/>
      <w:numFmt w:val="decimal"/>
      <w:lvlText w:val="%1.%2.%3."/>
      <w:lvlJc w:val="left"/>
      <w:pPr>
        <w:ind w:left="972" w:hanging="720"/>
      </w:pPr>
      <w:rPr>
        <w:rFonts w:hint="default"/>
      </w:rPr>
    </w:lvl>
    <w:lvl w:ilvl="3">
      <w:start w:val="1"/>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 w15:restartNumberingAfterBreak="0">
    <w:nsid w:val="1715406B"/>
    <w:multiLevelType w:val="hybridMultilevel"/>
    <w:tmpl w:val="E438B7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3F56882"/>
    <w:multiLevelType w:val="multilevel"/>
    <w:tmpl w:val="E37CB6DE"/>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78265C"/>
    <w:multiLevelType w:val="multilevel"/>
    <w:tmpl w:val="8D8A6F4A"/>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F67C4F"/>
    <w:multiLevelType w:val="multilevel"/>
    <w:tmpl w:val="852E9A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D9"/>
    <w:rsid w:val="000402DE"/>
    <w:rsid w:val="00040FAA"/>
    <w:rsid w:val="000433F4"/>
    <w:rsid w:val="00044986"/>
    <w:rsid w:val="000449B7"/>
    <w:rsid w:val="00052A29"/>
    <w:rsid w:val="00056AD6"/>
    <w:rsid w:val="00062378"/>
    <w:rsid w:val="000623C4"/>
    <w:rsid w:val="000728FE"/>
    <w:rsid w:val="000766AE"/>
    <w:rsid w:val="000917FC"/>
    <w:rsid w:val="00125376"/>
    <w:rsid w:val="00141DFA"/>
    <w:rsid w:val="00173A5E"/>
    <w:rsid w:val="00177D9E"/>
    <w:rsid w:val="001801F6"/>
    <w:rsid w:val="001A72AC"/>
    <w:rsid w:val="001B069C"/>
    <w:rsid w:val="001B5DED"/>
    <w:rsid w:val="001D0EA9"/>
    <w:rsid w:val="00205F5D"/>
    <w:rsid w:val="002209F9"/>
    <w:rsid w:val="002266F3"/>
    <w:rsid w:val="00287585"/>
    <w:rsid w:val="002908AE"/>
    <w:rsid w:val="002A4B13"/>
    <w:rsid w:val="002B43C5"/>
    <w:rsid w:val="002B53E2"/>
    <w:rsid w:val="002C60A0"/>
    <w:rsid w:val="002D2656"/>
    <w:rsid w:val="002E6321"/>
    <w:rsid w:val="002F2E18"/>
    <w:rsid w:val="00304235"/>
    <w:rsid w:val="00311330"/>
    <w:rsid w:val="00320363"/>
    <w:rsid w:val="00320432"/>
    <w:rsid w:val="003376DF"/>
    <w:rsid w:val="003531CA"/>
    <w:rsid w:val="003709C3"/>
    <w:rsid w:val="00383560"/>
    <w:rsid w:val="003B168E"/>
    <w:rsid w:val="003C2AC6"/>
    <w:rsid w:val="004051E4"/>
    <w:rsid w:val="004056CF"/>
    <w:rsid w:val="00413DEF"/>
    <w:rsid w:val="00417E90"/>
    <w:rsid w:val="00426C13"/>
    <w:rsid w:val="00443247"/>
    <w:rsid w:val="00453D85"/>
    <w:rsid w:val="004B16C1"/>
    <w:rsid w:val="004B5158"/>
    <w:rsid w:val="004C793D"/>
    <w:rsid w:val="004F239C"/>
    <w:rsid w:val="00500FFB"/>
    <w:rsid w:val="00503691"/>
    <w:rsid w:val="00517056"/>
    <w:rsid w:val="005223F3"/>
    <w:rsid w:val="0054304A"/>
    <w:rsid w:val="00545010"/>
    <w:rsid w:val="005459A1"/>
    <w:rsid w:val="005470BA"/>
    <w:rsid w:val="00570660"/>
    <w:rsid w:val="00587C8C"/>
    <w:rsid w:val="00593AD1"/>
    <w:rsid w:val="00597D9F"/>
    <w:rsid w:val="005A490E"/>
    <w:rsid w:val="005B03AB"/>
    <w:rsid w:val="005B3125"/>
    <w:rsid w:val="005C33BA"/>
    <w:rsid w:val="005D3DE5"/>
    <w:rsid w:val="005E245A"/>
    <w:rsid w:val="005E2DE4"/>
    <w:rsid w:val="005E3CFD"/>
    <w:rsid w:val="005E4595"/>
    <w:rsid w:val="00604971"/>
    <w:rsid w:val="00605F24"/>
    <w:rsid w:val="00617574"/>
    <w:rsid w:val="00622365"/>
    <w:rsid w:val="00642079"/>
    <w:rsid w:val="00653906"/>
    <w:rsid w:val="00690CCB"/>
    <w:rsid w:val="00697C7B"/>
    <w:rsid w:val="007265D4"/>
    <w:rsid w:val="00740F60"/>
    <w:rsid w:val="00773B4A"/>
    <w:rsid w:val="00774B6C"/>
    <w:rsid w:val="0077612F"/>
    <w:rsid w:val="007872EB"/>
    <w:rsid w:val="007932E4"/>
    <w:rsid w:val="007B687E"/>
    <w:rsid w:val="007F056C"/>
    <w:rsid w:val="007F09A4"/>
    <w:rsid w:val="00805D19"/>
    <w:rsid w:val="00816557"/>
    <w:rsid w:val="0082793A"/>
    <w:rsid w:val="00857AFF"/>
    <w:rsid w:val="0087370F"/>
    <w:rsid w:val="00875D05"/>
    <w:rsid w:val="008B1668"/>
    <w:rsid w:val="008B3D41"/>
    <w:rsid w:val="008D2FF6"/>
    <w:rsid w:val="008D6816"/>
    <w:rsid w:val="00902113"/>
    <w:rsid w:val="00902D0C"/>
    <w:rsid w:val="00906DD3"/>
    <w:rsid w:val="00917E1A"/>
    <w:rsid w:val="009408F7"/>
    <w:rsid w:val="00952B32"/>
    <w:rsid w:val="00965908"/>
    <w:rsid w:val="00997DC0"/>
    <w:rsid w:val="009B1387"/>
    <w:rsid w:val="009E3017"/>
    <w:rsid w:val="00A27C28"/>
    <w:rsid w:val="00A34EBA"/>
    <w:rsid w:val="00A44A98"/>
    <w:rsid w:val="00A72DE1"/>
    <w:rsid w:val="00A77757"/>
    <w:rsid w:val="00AA326A"/>
    <w:rsid w:val="00AA4786"/>
    <w:rsid w:val="00AB31DB"/>
    <w:rsid w:val="00B0004E"/>
    <w:rsid w:val="00B0431D"/>
    <w:rsid w:val="00B101AD"/>
    <w:rsid w:val="00B120F3"/>
    <w:rsid w:val="00B34B0B"/>
    <w:rsid w:val="00B52BAF"/>
    <w:rsid w:val="00BB07D2"/>
    <w:rsid w:val="00BF69C6"/>
    <w:rsid w:val="00C07A09"/>
    <w:rsid w:val="00C10C73"/>
    <w:rsid w:val="00C34140"/>
    <w:rsid w:val="00C5327B"/>
    <w:rsid w:val="00C55892"/>
    <w:rsid w:val="00C76B9B"/>
    <w:rsid w:val="00C828BA"/>
    <w:rsid w:val="00CD71C1"/>
    <w:rsid w:val="00D57772"/>
    <w:rsid w:val="00D65321"/>
    <w:rsid w:val="00D72CDC"/>
    <w:rsid w:val="00DC3C8A"/>
    <w:rsid w:val="00DC4339"/>
    <w:rsid w:val="00DC6DE2"/>
    <w:rsid w:val="00DE61D9"/>
    <w:rsid w:val="00DF2593"/>
    <w:rsid w:val="00E06C7D"/>
    <w:rsid w:val="00E2247D"/>
    <w:rsid w:val="00E45FE7"/>
    <w:rsid w:val="00E7092B"/>
    <w:rsid w:val="00E77686"/>
    <w:rsid w:val="00EE389A"/>
    <w:rsid w:val="00EE5F42"/>
    <w:rsid w:val="00EF6515"/>
    <w:rsid w:val="00EF6738"/>
    <w:rsid w:val="00F20179"/>
    <w:rsid w:val="00F306C4"/>
    <w:rsid w:val="00F43148"/>
    <w:rsid w:val="00F451DC"/>
    <w:rsid w:val="00F536D7"/>
    <w:rsid w:val="00F63E28"/>
    <w:rsid w:val="00F735E2"/>
    <w:rsid w:val="00F95F13"/>
    <w:rsid w:val="00FC4E86"/>
    <w:rsid w:val="00FC7EDA"/>
    <w:rsid w:val="00FE71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DF10"/>
  <w15:docId w15:val="{D6A745CB-2F5B-4D90-86C0-78A15E65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93"/>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qFormat/>
    <w:rPr>
      <w:rFonts w:ascii="Times New Roman" w:eastAsia="Times New Roman" w:hAnsi="Times New Roman" w:cs="Times New Roman"/>
      <w:sz w:val="28"/>
      <w:szCs w:val="20"/>
    </w:rPr>
  </w:style>
  <w:style w:type="character" w:customStyle="1" w:styleId="Internetasaite">
    <w:name w:val="Interneta saite"/>
    <w:rPr>
      <w:color w:val="0000FF"/>
      <w:u w:val="single"/>
    </w:rPr>
  </w:style>
  <w:style w:type="character" w:customStyle="1" w:styleId="HeaderChar">
    <w:name w:val="Header Char"/>
    <w:basedOn w:val="DefaultParagraphFont"/>
    <w:qFormat/>
    <w:rPr>
      <w:rFonts w:ascii="Times New Roman" w:eastAsia="Times New Roman" w:hAnsi="Times New Roman" w:cs="Times New Roman"/>
      <w:sz w:val="24"/>
      <w:szCs w:val="24"/>
      <w:lang w:eastAsia="lv-LV"/>
    </w:rPr>
  </w:style>
  <w:style w:type="character" w:customStyle="1" w:styleId="FooterChar">
    <w:name w:val="Footer Char"/>
    <w:basedOn w:val="DefaultParagraphFont"/>
    <w:qFormat/>
    <w:rPr>
      <w:rFonts w:ascii="Times New Roman" w:eastAsia="Times New Roman" w:hAnsi="Times New Roman" w:cs="Times New Roman"/>
      <w:sz w:val="24"/>
      <w:szCs w:val="24"/>
      <w:lang w:eastAsia="lv-LV"/>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qFormat/>
    <w:rPr>
      <w:rFonts w:ascii="Times New Roman" w:eastAsia="Times New Roman" w:hAnsi="Times New Roman" w:cs="Times New Roman"/>
      <w:b/>
      <w:bCs/>
      <w:sz w:val="20"/>
      <w:szCs w:val="20"/>
      <w:lang w:eastAsia="lv-LV"/>
    </w:rPr>
  </w:style>
  <w:style w:type="character" w:customStyle="1" w:styleId="BalloonTextChar">
    <w:name w:val="Balloon Text Char"/>
    <w:basedOn w:val="DefaultParagraphFont"/>
    <w:qFormat/>
    <w:rPr>
      <w:rFonts w:ascii="Segoe UI" w:eastAsia="Times New Roman" w:hAnsi="Segoe UI" w:cs="Segoe UI"/>
      <w:sz w:val="18"/>
      <w:szCs w:val="18"/>
      <w:lang w:eastAsia="lv-LV"/>
    </w:rPr>
  </w:style>
  <w:style w:type="character" w:customStyle="1" w:styleId="FontStyle15">
    <w:name w:val="Font Style15"/>
    <w:qFormat/>
    <w:rPr>
      <w:rFonts w:ascii="Calibri" w:hAnsi="Calibri" w:cs="Calibri"/>
      <w:sz w:val="22"/>
      <w:szCs w:val="22"/>
    </w:rPr>
  </w:style>
  <w:style w:type="character" w:customStyle="1" w:styleId="FontStyle16">
    <w:name w:val="Font Style16"/>
    <w:qFormat/>
    <w:rPr>
      <w:rFonts w:ascii="Calibri" w:hAnsi="Calibri" w:cs="Calibri"/>
      <w:i/>
      <w:iCs/>
      <w:sz w:val="22"/>
      <w:szCs w:val="22"/>
    </w:rPr>
  </w:style>
  <w:style w:type="character" w:customStyle="1" w:styleId="ListParagraphChar">
    <w:name w:val="List Paragraph Char"/>
    <w:qFormat/>
    <w:rPr>
      <w:rFonts w:ascii="Calibri" w:eastAsia="Calibri" w:hAnsi="Calibri" w:cs="Times New Roman"/>
    </w:rPr>
  </w:style>
  <w:style w:type="character" w:customStyle="1" w:styleId="FootnoteTextChar">
    <w:name w:val="Footnote Text Char"/>
    <w:basedOn w:val="DefaultParagraphFont"/>
    <w:qFormat/>
    <w:rPr>
      <w:rFonts w:ascii="Times New Roman" w:eastAsia="Times New Roman" w:hAnsi="Times New Roman" w:cs="Times New Roman"/>
      <w:sz w:val="20"/>
      <w:szCs w:val="20"/>
      <w:lang w:eastAsia="lv-LV"/>
    </w:rPr>
  </w:style>
  <w:style w:type="character" w:customStyle="1" w:styleId="Vresenkurs">
    <w:name w:val="Vēres enkurs"/>
    <w:rPr>
      <w:vertAlign w:val="superscript"/>
    </w:rPr>
  </w:style>
  <w:style w:type="character" w:customStyle="1" w:styleId="FootnoteCharacters">
    <w:name w:val="Footnote Characters"/>
    <w:qFormat/>
    <w:rPr>
      <w:vertAlign w:val="superscript"/>
    </w:rPr>
  </w:style>
  <w:style w:type="character" w:customStyle="1" w:styleId="ListLabel1">
    <w:name w:val="ListLabel 1"/>
    <w:qFormat/>
    <w:rPr>
      <w:color w:val="0000FF"/>
      <w:u w:val="single"/>
    </w:rPr>
  </w:style>
  <w:style w:type="character" w:customStyle="1" w:styleId="ListLabel2">
    <w:name w:val="ListLabel 2"/>
    <w:qFormat/>
    <w:rPr>
      <w:sz w:val="18"/>
      <w:szCs w:val="18"/>
    </w:rPr>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ListLabel3">
    <w:name w:val="ListLabel 3"/>
    <w:qFormat/>
    <w:rPr>
      <w:color w:val="0000FF"/>
      <w:u w:val="single"/>
    </w:rPr>
  </w:style>
  <w:style w:type="character" w:customStyle="1" w:styleId="ListLabel4">
    <w:name w:val="ListLabel 4"/>
    <w:qFormat/>
    <w:rPr>
      <w:sz w:val="18"/>
      <w:szCs w:val="18"/>
    </w:rPr>
  </w:style>
  <w:style w:type="character" w:customStyle="1" w:styleId="ListLabel5">
    <w:name w:val="ListLabel 5"/>
    <w:qFormat/>
    <w:rPr>
      <w:rFonts w:cs="Times New Roman"/>
      <w:sz w:val="24"/>
      <w:szCs w:val="24"/>
    </w:rPr>
  </w:style>
  <w:style w:type="character" w:customStyle="1" w:styleId="ListLabel6">
    <w:name w:val="ListLabel 6"/>
    <w:qFormat/>
    <w:rPr>
      <w:sz w:val="24"/>
    </w:rPr>
  </w:style>
  <w:style w:type="character" w:customStyle="1" w:styleId="ListLabel7">
    <w:name w:val="ListLabel 7"/>
    <w:qFormat/>
    <w:rPr>
      <w:rFonts w:cs="Times New Roman"/>
      <w:sz w:val="24"/>
      <w:szCs w:val="24"/>
    </w:rPr>
  </w:style>
  <w:style w:type="character" w:customStyle="1" w:styleId="ListLabel8">
    <w:name w:val="ListLabel 8"/>
    <w:qFormat/>
    <w:rPr>
      <w:rFonts w:cs="Times New Roman"/>
      <w:sz w:val="24"/>
      <w:szCs w:val="24"/>
    </w:rPr>
  </w:style>
  <w:style w:type="character" w:customStyle="1" w:styleId="ListLabel9">
    <w:name w:val="ListLabel 9"/>
    <w:qFormat/>
    <w:rPr>
      <w:sz w:val="18"/>
      <w:szCs w:val="18"/>
    </w:rPr>
  </w:style>
  <w:style w:type="character" w:customStyle="1" w:styleId="ListLabel10">
    <w:name w:val="ListLabel 10"/>
    <w:qFormat/>
    <w:rPr>
      <w:rFonts w:cs="Times New Roman"/>
      <w:sz w:val="24"/>
      <w:szCs w:val="24"/>
    </w:rPr>
  </w:style>
  <w:style w:type="character" w:customStyle="1" w:styleId="ListLabel11">
    <w:name w:val="ListLabel 11"/>
    <w:qFormat/>
    <w:rPr>
      <w:rFonts w:cs="Times New Roman"/>
      <w:sz w:val="24"/>
      <w:szCs w:val="24"/>
    </w:rPr>
  </w:style>
  <w:style w:type="character" w:customStyle="1" w:styleId="ListLabel12">
    <w:name w:val="ListLabel 12"/>
    <w:qFormat/>
    <w:rPr>
      <w:sz w:val="18"/>
      <w:szCs w:val="18"/>
    </w:rPr>
  </w:style>
  <w:style w:type="character" w:customStyle="1" w:styleId="ListLabel13">
    <w:name w:val="ListLabel 13"/>
    <w:qFormat/>
    <w:rPr>
      <w:rFonts w:cs="Times New Roman"/>
      <w:sz w:val="24"/>
      <w:szCs w:val="24"/>
    </w:rPr>
  </w:style>
  <w:style w:type="character" w:customStyle="1" w:styleId="ListLabel14">
    <w:name w:val="ListLabel 14"/>
    <w:qFormat/>
    <w:rPr>
      <w:rFonts w:cs="Times New Roman"/>
      <w:sz w:val="24"/>
      <w:szCs w:val="24"/>
    </w:rPr>
  </w:style>
  <w:style w:type="character" w:customStyle="1" w:styleId="ListLabel15">
    <w:name w:val="ListLabel 15"/>
    <w:qFormat/>
    <w:rPr>
      <w:sz w:val="18"/>
      <w:szCs w:val="18"/>
    </w:rPr>
  </w:style>
  <w:style w:type="paragraph" w:customStyle="1" w:styleId="Virsraksts">
    <w:name w:val="Virsraksts"/>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Rdtjs">
    <w:name w:val="Rādītājs"/>
    <w:basedOn w:val="Normal"/>
    <w:qFormat/>
    <w:pPr>
      <w:suppressLineNumbers/>
    </w:pPr>
    <w:rPr>
      <w:rFonts w:cs="Arial Unicode MS"/>
    </w:rPr>
  </w:style>
  <w:style w:type="paragraph" w:styleId="Title">
    <w:name w:val="Title"/>
    <w:basedOn w:val="Normal"/>
    <w:qFormat/>
    <w:pPr>
      <w:jc w:val="center"/>
    </w:pPr>
    <w:rPr>
      <w:sz w:val="28"/>
      <w:szCs w:val="20"/>
      <w:lang w:eastAsia="en-US"/>
    </w:rPr>
  </w:style>
  <w:style w:type="paragraph" w:customStyle="1" w:styleId="naisnod">
    <w:name w:val="naisnod"/>
    <w:basedOn w:val="Normal"/>
    <w:qFormat/>
    <w:pPr>
      <w:spacing w:before="150" w:after="150"/>
      <w:jc w:val="center"/>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v213">
    <w:name w:val="tv213"/>
    <w:basedOn w:val="Normal"/>
    <w:qFormat/>
    <w:pPr>
      <w:spacing w:before="280" w:after="280"/>
    </w:pPr>
    <w:rPr>
      <w:rFonts w:eastAsia="Calibri"/>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alloonText">
    <w:name w:val="Balloon Text"/>
    <w:basedOn w:val="Normal"/>
    <w:qFormat/>
    <w:rPr>
      <w:rFonts w:ascii="Segoe UI" w:hAnsi="Segoe UI" w:cs="Segoe UI"/>
      <w:sz w:val="18"/>
      <w:szCs w:val="18"/>
    </w:rPr>
  </w:style>
  <w:style w:type="paragraph" w:customStyle="1" w:styleId="Style3">
    <w:name w:val="Style3"/>
    <w:basedOn w:val="Normal"/>
    <w:qFormat/>
    <w:pPr>
      <w:widowControl w:val="0"/>
      <w:spacing w:line="292" w:lineRule="exact"/>
      <w:ind w:firstLine="720"/>
      <w:jc w:val="both"/>
    </w:pPr>
    <w:rPr>
      <w:rFonts w:ascii="Calibri" w:hAnsi="Calibri"/>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lang w:eastAsia="en-US"/>
    </w:rPr>
  </w:style>
  <w:style w:type="paragraph" w:styleId="FootnoteText">
    <w:name w:val="footnote text"/>
    <w:basedOn w:val="Normal"/>
    <w:rPr>
      <w:sz w:val="20"/>
      <w:szCs w:val="20"/>
    </w:rPr>
  </w:style>
  <w:style w:type="paragraph" w:customStyle="1" w:styleId="naiskr">
    <w:name w:val="naiskr"/>
    <w:basedOn w:val="Normal"/>
    <w:qFormat/>
    <w:pPr>
      <w:spacing w:before="75" w:after="75"/>
    </w:pPr>
  </w:style>
  <w:style w:type="paragraph" w:customStyle="1" w:styleId="Saturardtjs">
    <w:name w:val="Satura rādītājs"/>
    <w:basedOn w:val="Normal"/>
    <w:qFormat/>
    <w:pPr>
      <w:suppressLineNumbers/>
    </w:pPr>
  </w:style>
  <w:style w:type="character" w:styleId="FootnoteReference">
    <w:name w:val="footnote reference"/>
    <w:basedOn w:val="DefaultParagraphFont"/>
    <w:uiPriority w:val="99"/>
    <w:semiHidden/>
    <w:unhideWhenUsed/>
    <w:rsid w:val="005E3CFD"/>
    <w:rPr>
      <w:vertAlign w:val="superscript"/>
    </w:rPr>
  </w:style>
  <w:style w:type="character" w:styleId="Hyperlink">
    <w:name w:val="Hyperlink"/>
    <w:basedOn w:val="DefaultParagraphFont"/>
    <w:uiPriority w:val="99"/>
    <w:unhideWhenUsed/>
    <w:rsid w:val="005E3CFD"/>
    <w:rPr>
      <w:color w:val="0563C1" w:themeColor="hyperlink"/>
      <w:u w:val="single"/>
    </w:rPr>
  </w:style>
  <w:style w:type="character" w:styleId="FollowedHyperlink">
    <w:name w:val="FollowedHyperlink"/>
    <w:basedOn w:val="DefaultParagraphFont"/>
    <w:uiPriority w:val="99"/>
    <w:semiHidden/>
    <w:unhideWhenUsed/>
    <w:rsid w:val="008165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479737">
      <w:bodyDiv w:val="1"/>
      <w:marLeft w:val="0"/>
      <w:marRight w:val="0"/>
      <w:marTop w:val="0"/>
      <w:marBottom w:val="0"/>
      <w:divBdr>
        <w:top w:val="none" w:sz="0" w:space="0" w:color="auto"/>
        <w:left w:val="none" w:sz="0" w:space="0" w:color="auto"/>
        <w:bottom w:val="none" w:sz="0" w:space="0" w:color="auto"/>
        <w:right w:val="none" w:sz="0" w:space="0" w:color="auto"/>
      </w:divBdr>
    </w:div>
    <w:div w:id="1472211522">
      <w:bodyDiv w:val="1"/>
      <w:marLeft w:val="0"/>
      <w:marRight w:val="0"/>
      <w:marTop w:val="0"/>
      <w:marBottom w:val="0"/>
      <w:divBdr>
        <w:top w:val="none" w:sz="0" w:space="0" w:color="auto"/>
        <w:left w:val="none" w:sz="0" w:space="0" w:color="auto"/>
        <w:bottom w:val="none" w:sz="0" w:space="0" w:color="auto"/>
        <w:right w:val="none" w:sz="0" w:space="0" w:color="auto"/>
      </w:divBdr>
    </w:div>
    <w:div w:id="1619531340">
      <w:bodyDiv w:val="1"/>
      <w:marLeft w:val="0"/>
      <w:marRight w:val="0"/>
      <w:marTop w:val="0"/>
      <w:marBottom w:val="0"/>
      <w:divBdr>
        <w:top w:val="none" w:sz="0" w:space="0" w:color="auto"/>
        <w:left w:val="none" w:sz="0" w:space="0" w:color="auto"/>
        <w:bottom w:val="none" w:sz="0" w:space="0" w:color="auto"/>
        <w:right w:val="none" w:sz="0" w:space="0" w:color="auto"/>
      </w:divBdr>
      <w:divsChild>
        <w:div w:id="574365139">
          <w:marLeft w:val="0"/>
          <w:marRight w:val="0"/>
          <w:marTop w:val="0"/>
          <w:marBottom w:val="0"/>
          <w:divBdr>
            <w:top w:val="none" w:sz="0" w:space="0" w:color="auto"/>
            <w:left w:val="none" w:sz="0" w:space="0" w:color="auto"/>
            <w:bottom w:val="none" w:sz="0" w:space="0" w:color="auto"/>
            <w:right w:val="none" w:sz="0" w:space="0" w:color="auto"/>
          </w:divBdr>
          <w:divsChild>
            <w:div w:id="849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0440">
      <w:bodyDiv w:val="1"/>
      <w:marLeft w:val="0"/>
      <w:marRight w:val="0"/>
      <w:marTop w:val="0"/>
      <w:marBottom w:val="0"/>
      <w:divBdr>
        <w:top w:val="none" w:sz="0" w:space="0" w:color="auto"/>
        <w:left w:val="none" w:sz="0" w:space="0" w:color="auto"/>
        <w:bottom w:val="none" w:sz="0" w:space="0" w:color="auto"/>
        <w:right w:val="none" w:sz="0" w:space="0" w:color="auto"/>
      </w:divBdr>
    </w:div>
    <w:div w:id="193713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ze.donina@varam.gov.lv" TargetMode="External"/><Relationship Id="rId4" Type="http://schemas.openxmlformats.org/officeDocument/2006/relationships/settings" Target="settings.xml"/><Relationship Id="rId9" Type="http://schemas.openxmlformats.org/officeDocument/2006/relationships/hyperlink" Target="http://www.mk.gov.lv/lv/content/valsts-kancelej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sb.gov.lv/lv/statistika/statistikas-temas/socialie-procesi/darba-samaksa/tabulas" TargetMode="External"/><Relationship Id="rId2" Type="http://schemas.openxmlformats.org/officeDocument/2006/relationships/hyperlink" Target="https://www.meteo.lv/pakalpojumi/radioaktivie-bistamie-atkritumi-un-buvnieciba-radusies-atkritumi/bistamo-atkritumu-savaksana-iepakosana-transportesana-apglabasana/maksa-par-zebrenes-bistamo-atkritumu-poligona-bistamo-atkritumu-apglab?id=3695&amp;nid=540&amp;cid=1032" TargetMode="External"/><Relationship Id="rId1" Type="http://schemas.openxmlformats.org/officeDocument/2006/relationships/hyperlink" Target="https://likumi.lv/ta/id/316207-grozijumi-atkritumu-apsaimniekosanas-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FCA9-0D98-453C-83B5-BFB3557B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14610</Words>
  <Characters>8329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Ministru kabineta noteikumu projekta “Finanšu nodrošinājuma piemērošanas kārtība atkritumu apsaimniekošanas darbībām””  sākotnējās ietekmes novērtējuma ziņojums (anotācija)</vt:lpstr>
    </vt:vector>
  </TitlesOfParts>
  <Company>VARAM</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“Finanšu nodrošinājuma piemērošanas kārtība atkritumu apsaimniekošanas darbībām””  sākotnējās ietekmes novērtējuma ziņojums (anotācija)</dc:title>
  <dc:subject>Noteikumu projekta anotācija</dc:subject>
  <dc:creator>Kristīne Gāga</dc:creator>
  <dc:description>67026518, Kristine.Gaga@varam.gov.lv</dc:description>
  <cp:lastModifiedBy>Lita Trakina</cp:lastModifiedBy>
  <cp:revision>2</cp:revision>
  <dcterms:created xsi:type="dcterms:W3CDTF">2021-01-14T08:34:00Z</dcterms:created>
  <dcterms:modified xsi:type="dcterms:W3CDTF">2021-01-14T08:34:00Z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VARAM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