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BA1CB" w14:textId="77777777" w:rsidR="00416462" w:rsidRPr="00A07F11" w:rsidRDefault="00416462" w:rsidP="00416462">
      <w:pPr>
        <w:tabs>
          <w:tab w:val="left" w:pos="6663"/>
        </w:tabs>
        <w:rPr>
          <w:sz w:val="28"/>
          <w:szCs w:val="28"/>
          <w:lang w:val="lv-LV"/>
        </w:rPr>
      </w:pPr>
    </w:p>
    <w:p w14:paraId="439AC9C7" w14:textId="77777777" w:rsidR="00416462" w:rsidRPr="00A07F11" w:rsidRDefault="00416462" w:rsidP="00416462">
      <w:pPr>
        <w:tabs>
          <w:tab w:val="left" w:pos="6663"/>
        </w:tabs>
        <w:rPr>
          <w:sz w:val="28"/>
          <w:szCs w:val="28"/>
          <w:lang w:val="lv-LV"/>
        </w:rPr>
      </w:pPr>
    </w:p>
    <w:p w14:paraId="319D0D7C" w14:textId="4BBFF7B9" w:rsidR="00866762" w:rsidRPr="00A07F11" w:rsidRDefault="00866762" w:rsidP="00866762">
      <w:pPr>
        <w:tabs>
          <w:tab w:val="left" w:pos="6804"/>
        </w:tabs>
        <w:rPr>
          <w:sz w:val="28"/>
          <w:szCs w:val="28"/>
          <w:lang w:val="lv-LV"/>
        </w:rPr>
      </w:pPr>
      <w:r w:rsidRPr="00A07F11">
        <w:rPr>
          <w:sz w:val="28"/>
          <w:szCs w:val="28"/>
          <w:lang w:val="lv-LV"/>
        </w:rPr>
        <w:t>20</w:t>
      </w:r>
      <w:r w:rsidR="00416462" w:rsidRPr="00A07F11">
        <w:rPr>
          <w:sz w:val="28"/>
          <w:szCs w:val="28"/>
          <w:lang w:val="lv-LV"/>
        </w:rPr>
        <w:t>20</w:t>
      </w:r>
      <w:r w:rsidRPr="00A07F11">
        <w:rPr>
          <w:sz w:val="28"/>
          <w:szCs w:val="28"/>
          <w:lang w:val="lv-LV"/>
        </w:rPr>
        <w:t xml:space="preserve">. gada     </w:t>
      </w:r>
      <w:r w:rsidRPr="00A07F11">
        <w:rPr>
          <w:sz w:val="28"/>
          <w:szCs w:val="28"/>
          <w:lang w:val="lv-LV"/>
        </w:rPr>
        <w:tab/>
        <w:t xml:space="preserve">Noteikumi Nr.    </w:t>
      </w:r>
    </w:p>
    <w:p w14:paraId="711B226A" w14:textId="77777777" w:rsidR="00866762" w:rsidRPr="00A07F11" w:rsidRDefault="00866762" w:rsidP="00866762">
      <w:pPr>
        <w:tabs>
          <w:tab w:val="left" w:pos="6804"/>
        </w:tabs>
        <w:rPr>
          <w:sz w:val="28"/>
          <w:szCs w:val="28"/>
          <w:lang w:val="lv-LV"/>
        </w:rPr>
      </w:pPr>
      <w:r w:rsidRPr="00A07F11">
        <w:rPr>
          <w:sz w:val="28"/>
          <w:szCs w:val="28"/>
          <w:lang w:val="lv-LV"/>
        </w:rPr>
        <w:t>Rīgā</w:t>
      </w:r>
      <w:r w:rsidRPr="00A07F11">
        <w:rPr>
          <w:sz w:val="28"/>
          <w:szCs w:val="28"/>
          <w:lang w:val="lv-LV"/>
        </w:rPr>
        <w:tab/>
        <w:t>(prot. Nr.           .§)</w:t>
      </w:r>
    </w:p>
    <w:p w14:paraId="39042A94" w14:textId="6B2AF799" w:rsidR="00866762" w:rsidRPr="00A07F11" w:rsidRDefault="00866762" w:rsidP="00866762">
      <w:pPr>
        <w:ind w:right="-1"/>
        <w:jc w:val="center"/>
        <w:rPr>
          <w:b/>
          <w:sz w:val="28"/>
          <w:szCs w:val="28"/>
          <w:lang w:val="lv-LV"/>
        </w:rPr>
      </w:pPr>
    </w:p>
    <w:p w14:paraId="6A69A7CF" w14:textId="77777777" w:rsidR="00213420" w:rsidRPr="00A07F11" w:rsidRDefault="00213420" w:rsidP="00866762">
      <w:pPr>
        <w:ind w:right="-1"/>
        <w:jc w:val="center"/>
        <w:rPr>
          <w:b/>
          <w:sz w:val="28"/>
          <w:szCs w:val="28"/>
          <w:lang w:val="lv-LV"/>
        </w:rPr>
      </w:pPr>
    </w:p>
    <w:p w14:paraId="4066B3F9" w14:textId="3DEC8498" w:rsidR="00E21993" w:rsidRPr="00A07F11" w:rsidRDefault="00866762" w:rsidP="00866762">
      <w:pPr>
        <w:jc w:val="center"/>
        <w:rPr>
          <w:b/>
          <w:sz w:val="28"/>
          <w:szCs w:val="28"/>
          <w:lang w:val="lv-LV"/>
        </w:rPr>
      </w:pPr>
      <w:r w:rsidRPr="00A07F11">
        <w:rPr>
          <w:b/>
          <w:sz w:val="28"/>
          <w:szCs w:val="28"/>
          <w:lang w:val="lv-LV"/>
        </w:rPr>
        <w:t xml:space="preserve">Grozījumi Ministru kabineta </w:t>
      </w:r>
      <w:r w:rsidR="00E21993" w:rsidRPr="00A07F11">
        <w:rPr>
          <w:b/>
          <w:sz w:val="28"/>
          <w:szCs w:val="28"/>
          <w:lang w:val="lv-LV"/>
        </w:rPr>
        <w:t>2017.</w:t>
      </w:r>
      <w:r w:rsidR="002B50E3" w:rsidRPr="00A07F11">
        <w:rPr>
          <w:b/>
          <w:sz w:val="28"/>
          <w:szCs w:val="28"/>
          <w:lang w:val="lv-LV"/>
        </w:rPr>
        <w:t> </w:t>
      </w:r>
      <w:r w:rsidR="00E21993" w:rsidRPr="00A07F11">
        <w:rPr>
          <w:b/>
          <w:sz w:val="28"/>
          <w:szCs w:val="28"/>
          <w:lang w:val="lv-LV"/>
        </w:rPr>
        <w:t>gada 12.</w:t>
      </w:r>
      <w:r w:rsidR="002B50E3" w:rsidRPr="00A07F11">
        <w:rPr>
          <w:b/>
          <w:sz w:val="28"/>
          <w:szCs w:val="28"/>
          <w:lang w:val="lv-LV"/>
        </w:rPr>
        <w:t> </w:t>
      </w:r>
      <w:r w:rsidR="00E21993" w:rsidRPr="00A07F11">
        <w:rPr>
          <w:b/>
          <w:sz w:val="28"/>
          <w:szCs w:val="28"/>
          <w:lang w:val="lv-LV"/>
        </w:rPr>
        <w:t>decembra</w:t>
      </w:r>
    </w:p>
    <w:p w14:paraId="6FE24329" w14:textId="6E96124A" w:rsidR="00866762" w:rsidRPr="00A07F11" w:rsidRDefault="00866762" w:rsidP="00866762">
      <w:pPr>
        <w:jc w:val="center"/>
        <w:rPr>
          <w:b/>
          <w:sz w:val="28"/>
          <w:szCs w:val="28"/>
          <w:lang w:val="lv-LV"/>
        </w:rPr>
      </w:pPr>
      <w:r w:rsidRPr="00A07F11">
        <w:rPr>
          <w:b/>
          <w:sz w:val="28"/>
          <w:szCs w:val="28"/>
          <w:lang w:val="lv-LV"/>
        </w:rPr>
        <w:t>noteikumos Nr.</w:t>
      </w:r>
      <w:r w:rsidR="00E21993" w:rsidRPr="00A07F11">
        <w:rPr>
          <w:b/>
          <w:sz w:val="28"/>
          <w:szCs w:val="28"/>
          <w:lang w:val="lv-LV"/>
        </w:rPr>
        <w:t> 737</w:t>
      </w:r>
      <w:r w:rsidRPr="00A07F11">
        <w:rPr>
          <w:b/>
          <w:sz w:val="28"/>
          <w:szCs w:val="28"/>
          <w:lang w:val="lv-LV"/>
        </w:rPr>
        <w:t xml:space="preserve"> “</w:t>
      </w:r>
      <w:r w:rsidR="00E21993" w:rsidRPr="00A07F11">
        <w:rPr>
          <w:b/>
          <w:sz w:val="28"/>
          <w:szCs w:val="28"/>
          <w:lang w:val="lv-LV"/>
        </w:rPr>
        <w:t>Siltumnīcefekta gāzu inventarizācijas un prognožu sagatavošanas nacionālās sistēmas izveidošanas un uzturēšanas noteikumi</w:t>
      </w:r>
      <w:r w:rsidRPr="00A07F11">
        <w:rPr>
          <w:b/>
          <w:sz w:val="28"/>
          <w:szCs w:val="28"/>
          <w:lang w:val="lv-LV"/>
        </w:rPr>
        <w:t>”</w:t>
      </w:r>
    </w:p>
    <w:p w14:paraId="56375C1A" w14:textId="2251C827" w:rsidR="00866762" w:rsidRPr="00A07F11" w:rsidRDefault="00866762" w:rsidP="00866762">
      <w:pPr>
        <w:jc w:val="right"/>
        <w:rPr>
          <w:sz w:val="28"/>
          <w:szCs w:val="28"/>
          <w:lang w:val="lv-LV"/>
        </w:rPr>
      </w:pPr>
    </w:p>
    <w:p w14:paraId="077D52C7" w14:textId="77777777" w:rsidR="00E21993" w:rsidRPr="00A07F11" w:rsidRDefault="00E21993" w:rsidP="00E21993">
      <w:pPr>
        <w:jc w:val="right"/>
        <w:rPr>
          <w:iCs/>
          <w:sz w:val="28"/>
          <w:lang w:val="lv-LV"/>
        </w:rPr>
      </w:pPr>
      <w:r w:rsidRPr="00A07F11">
        <w:rPr>
          <w:iCs/>
          <w:sz w:val="28"/>
          <w:lang w:val="lv-LV"/>
        </w:rPr>
        <w:t>Izdoti saskaņā ar likuma "Par piesārņojumu"</w:t>
      </w:r>
    </w:p>
    <w:p w14:paraId="0E48A270" w14:textId="76D50BB9" w:rsidR="00E21993" w:rsidRPr="00A07F11" w:rsidRDefault="00E21993" w:rsidP="00E21993">
      <w:pPr>
        <w:jc w:val="right"/>
        <w:rPr>
          <w:iCs/>
          <w:sz w:val="28"/>
          <w:lang w:val="lv-LV"/>
        </w:rPr>
      </w:pPr>
      <w:r w:rsidRPr="00A07F11">
        <w:rPr>
          <w:iCs/>
          <w:sz w:val="28"/>
          <w:lang w:val="lv-LV"/>
        </w:rPr>
        <w:t>53.</w:t>
      </w:r>
      <w:r w:rsidR="002B50E3" w:rsidRPr="00A07F11">
        <w:rPr>
          <w:iCs/>
          <w:sz w:val="28"/>
          <w:lang w:val="lv-LV"/>
        </w:rPr>
        <w:t> </w:t>
      </w:r>
      <w:r w:rsidRPr="00A07F11">
        <w:rPr>
          <w:iCs/>
          <w:sz w:val="28"/>
          <w:lang w:val="lv-LV"/>
        </w:rPr>
        <w:t>panta otrās daļas 1.</w:t>
      </w:r>
      <w:r w:rsidR="002B50E3" w:rsidRPr="00A07F11">
        <w:rPr>
          <w:iCs/>
          <w:sz w:val="28"/>
          <w:lang w:val="lv-LV"/>
        </w:rPr>
        <w:t> </w:t>
      </w:r>
      <w:r w:rsidRPr="00A07F11">
        <w:rPr>
          <w:iCs/>
          <w:sz w:val="28"/>
          <w:lang w:val="lv-LV"/>
        </w:rPr>
        <w:t>punktu</w:t>
      </w:r>
    </w:p>
    <w:p w14:paraId="2FE7738C" w14:textId="77777777" w:rsidR="00866762" w:rsidRPr="00A07F11" w:rsidRDefault="00866762" w:rsidP="00C6195B">
      <w:pPr>
        <w:pStyle w:val="Title"/>
        <w:jc w:val="both"/>
        <w:outlineLvl w:val="0"/>
        <w:rPr>
          <w:szCs w:val="28"/>
        </w:rPr>
      </w:pPr>
    </w:p>
    <w:p w14:paraId="7A086CCD" w14:textId="4C1A55C1" w:rsidR="007303B8" w:rsidRPr="00A07F11" w:rsidRDefault="00866762">
      <w:pPr>
        <w:pStyle w:val="Title"/>
        <w:ind w:firstLine="709"/>
        <w:jc w:val="both"/>
        <w:outlineLvl w:val="0"/>
        <w:rPr>
          <w:rStyle w:val="t3"/>
          <w:rFonts w:ascii="Arial" w:hAnsi="Arial" w:cs="Arial"/>
          <w:sz w:val="18"/>
          <w:szCs w:val="18"/>
        </w:rPr>
      </w:pPr>
      <w:r w:rsidRPr="00A07F11">
        <w:t xml:space="preserve">Izdarīt Ministru kabineta </w:t>
      </w:r>
      <w:r w:rsidR="00E21993" w:rsidRPr="00A07F11">
        <w:t>2017.</w:t>
      </w:r>
      <w:r w:rsidR="002B50E3" w:rsidRPr="00A07F11">
        <w:t> </w:t>
      </w:r>
      <w:r w:rsidR="00E21993" w:rsidRPr="00A07F11">
        <w:t>gada 12.</w:t>
      </w:r>
      <w:r w:rsidR="002B50E3" w:rsidRPr="00A07F11">
        <w:t> </w:t>
      </w:r>
      <w:r w:rsidR="00E21993" w:rsidRPr="00A07F11">
        <w:t>decembra noteikumos Nr.</w:t>
      </w:r>
      <w:r w:rsidR="002B50E3" w:rsidRPr="00A07F11">
        <w:t> </w:t>
      </w:r>
      <w:r w:rsidR="00E21993" w:rsidRPr="00A07F11">
        <w:t>737</w:t>
      </w:r>
      <w:r w:rsidR="00416462" w:rsidRPr="00A07F11">
        <w:t xml:space="preserve"> “</w:t>
      </w:r>
      <w:r w:rsidR="00E21993" w:rsidRPr="00A07F11">
        <w:t xml:space="preserve">Siltumnīcefekta gāzu inventarizācijas </w:t>
      </w:r>
      <w:r w:rsidR="00E21993" w:rsidRPr="00A07F11">
        <w:rPr>
          <w:szCs w:val="28"/>
        </w:rPr>
        <w:t xml:space="preserve">un prognožu </w:t>
      </w:r>
      <w:r w:rsidR="00E21993" w:rsidRPr="00A07F11">
        <w:rPr>
          <w:rStyle w:val="QuoteChar"/>
          <w:i w:val="0"/>
          <w:iCs w:val="0"/>
          <w:color w:val="auto"/>
          <w:szCs w:val="28"/>
        </w:rPr>
        <w:t>sagatavošanas</w:t>
      </w:r>
      <w:r w:rsidR="00E21993" w:rsidRPr="00A07F11">
        <w:t xml:space="preserve"> nacionālās sistēmas izveidošanas un uzturēšanas noteikumi</w:t>
      </w:r>
      <w:r w:rsidR="00416462" w:rsidRPr="00A07F11">
        <w:t>”</w:t>
      </w:r>
      <w:r w:rsidRPr="00A07F11">
        <w:t xml:space="preserve"> (</w:t>
      </w:r>
      <w:r w:rsidR="00E21993" w:rsidRPr="00A07F11">
        <w:t>Latvijas Vēstnesis, 249, 15.12.2017.</w:t>
      </w:r>
      <w:r w:rsidRPr="00A07F11">
        <w:t>) šādus grozījumus:</w:t>
      </w:r>
      <w:r w:rsidR="007303B8" w:rsidRPr="00A07F11">
        <w:rPr>
          <w:rStyle w:val="t3"/>
          <w:rFonts w:ascii="Arial" w:hAnsi="Arial" w:cs="Arial"/>
          <w:sz w:val="18"/>
          <w:szCs w:val="18"/>
        </w:rPr>
        <w:t>.</w:t>
      </w:r>
    </w:p>
    <w:p w14:paraId="2BDA3B56" w14:textId="77777777" w:rsidR="00D835CA" w:rsidRPr="00A07F11" w:rsidRDefault="00D835CA" w:rsidP="00A2631E">
      <w:pPr>
        <w:pStyle w:val="Title"/>
        <w:ind w:firstLine="709"/>
        <w:jc w:val="both"/>
        <w:outlineLvl w:val="0"/>
      </w:pPr>
    </w:p>
    <w:p w14:paraId="43938E81" w14:textId="51A1711A" w:rsidR="00D835CA" w:rsidRPr="00A07F11" w:rsidRDefault="002B50E3" w:rsidP="00A2631E">
      <w:pPr>
        <w:pStyle w:val="Title"/>
        <w:ind w:firstLine="709"/>
        <w:jc w:val="both"/>
        <w:outlineLvl w:val="0"/>
      </w:pPr>
      <w:r w:rsidRPr="00A07F11">
        <w:t>1. </w:t>
      </w:r>
      <w:r w:rsidR="00D835CA" w:rsidRPr="00A07F11">
        <w:t>Izteikt 7.</w:t>
      </w:r>
      <w:r w:rsidRPr="00A07F11">
        <w:t> </w:t>
      </w:r>
      <w:r w:rsidR="00D835CA" w:rsidRPr="00A07F11">
        <w:t>punktu šādā redakcijā:</w:t>
      </w:r>
    </w:p>
    <w:p w14:paraId="7C5F3EF3" w14:textId="77777777" w:rsidR="00224331" w:rsidRPr="00A07F11" w:rsidRDefault="00224331" w:rsidP="0067105F">
      <w:pPr>
        <w:pStyle w:val="Title"/>
        <w:ind w:firstLine="709"/>
        <w:jc w:val="both"/>
        <w:outlineLvl w:val="0"/>
      </w:pPr>
    </w:p>
    <w:p w14:paraId="1B9537D4" w14:textId="09F0257E" w:rsidR="00D835CA" w:rsidRPr="00A07F11" w:rsidRDefault="00CA0F9C" w:rsidP="00A2631E">
      <w:pPr>
        <w:pStyle w:val="Title"/>
        <w:ind w:firstLine="709"/>
        <w:jc w:val="both"/>
        <w:outlineLvl w:val="0"/>
      </w:pPr>
      <w:r w:rsidRPr="00A07F11">
        <w:t>“7.</w:t>
      </w:r>
      <w:r w:rsidR="002B50E3" w:rsidRPr="00A07F11">
        <w:t> </w:t>
      </w:r>
      <w:r w:rsidRPr="00A07F11">
        <w:t xml:space="preserve">Komersanti, kas nodarbojas ar cementa ražošanu (NACE 2. </w:t>
      </w:r>
      <w:proofErr w:type="spellStart"/>
      <w:r w:rsidRPr="00A07F11">
        <w:t>red</w:t>
      </w:r>
      <w:proofErr w:type="spellEnd"/>
      <w:r w:rsidRPr="00A07F11">
        <w:t xml:space="preserve">. kods 23.51), čuguna, tērauda un dzelzs sakausējumu ražošanu (NACE 2. </w:t>
      </w:r>
      <w:proofErr w:type="spellStart"/>
      <w:r w:rsidRPr="00A07F11">
        <w:t>red</w:t>
      </w:r>
      <w:proofErr w:type="spellEnd"/>
      <w:r w:rsidRPr="00A07F11">
        <w:t>. kods 24.10), dabasgāzes importēšanu, transportēšanu, uzglabāšanu un realizāciju, biogāzes ražošanu un izmantošanu sagatavo un katru gadu līdz 1.</w:t>
      </w:r>
      <w:r w:rsidR="002B50E3" w:rsidRPr="00A07F11">
        <w:t> </w:t>
      </w:r>
      <w:r w:rsidRPr="00A07F11">
        <w:t>oktobrim iesniedz Latvijas Vides, ģeoloģijas un meteoroloģijas centrā šo noteikumu 2.</w:t>
      </w:r>
      <w:r w:rsidR="002B50E3" w:rsidRPr="00A07F11">
        <w:t> </w:t>
      </w:r>
      <w:r w:rsidRPr="00A07F11">
        <w:t>pielikuma 1., 2., 3., 4. un 7.</w:t>
      </w:r>
      <w:r w:rsidR="002B50E3" w:rsidRPr="00A07F11">
        <w:t> </w:t>
      </w:r>
      <w:r w:rsidRPr="00A07F11">
        <w:t>tabulā minēto informāciju par darbību datiem un siltumnīcefekta gāzu emisiju aprēķiniem un to aprakstus.”</w:t>
      </w:r>
    </w:p>
    <w:p w14:paraId="6201B4B9" w14:textId="1651FF75" w:rsidR="00DE52C3" w:rsidRPr="00A07F11" w:rsidRDefault="00DE52C3" w:rsidP="00014653">
      <w:pPr>
        <w:pStyle w:val="Title"/>
        <w:jc w:val="both"/>
        <w:outlineLvl w:val="0"/>
      </w:pPr>
    </w:p>
    <w:p w14:paraId="1F7FAF0F" w14:textId="01D4B7D8" w:rsidR="009079FC" w:rsidRPr="00A07F11" w:rsidRDefault="002B50E3" w:rsidP="00A2631E">
      <w:pPr>
        <w:pStyle w:val="Title"/>
        <w:ind w:firstLine="709"/>
        <w:jc w:val="both"/>
        <w:outlineLvl w:val="0"/>
      </w:pPr>
      <w:r w:rsidRPr="00A07F11">
        <w:t>2. </w:t>
      </w:r>
      <w:r w:rsidR="00390FE5" w:rsidRPr="00A07F11">
        <w:t xml:space="preserve"> </w:t>
      </w:r>
      <w:r w:rsidR="00A32889" w:rsidRPr="00A07F11">
        <w:t>Papildināt ar</w:t>
      </w:r>
      <w:r w:rsidR="00E21993" w:rsidRPr="00A07F11">
        <w:t xml:space="preserve"> 24</w:t>
      </w:r>
      <w:r w:rsidR="009079FC" w:rsidRPr="00A07F11">
        <w:t>.</w:t>
      </w:r>
      <w:r w:rsidR="00A32889" w:rsidRPr="00A07F11">
        <w:rPr>
          <w:vertAlign w:val="superscript"/>
        </w:rPr>
        <w:t>1</w:t>
      </w:r>
      <w:r w:rsidRPr="00A07F11">
        <w:t> </w:t>
      </w:r>
      <w:r w:rsidR="009079FC" w:rsidRPr="00A07F11">
        <w:t>punktu šādā redakcijā:</w:t>
      </w:r>
    </w:p>
    <w:p w14:paraId="5EADD1F8" w14:textId="6696C536" w:rsidR="00014653" w:rsidRDefault="00E73FCD" w:rsidP="003D21B6">
      <w:pPr>
        <w:pStyle w:val="Title"/>
        <w:jc w:val="both"/>
        <w:outlineLvl w:val="0"/>
      </w:pPr>
      <w:r w:rsidRPr="00DE52C3">
        <w:t xml:space="preserve"> </w:t>
      </w:r>
      <w:r w:rsidR="00DE52C3" w:rsidRPr="00DE52C3">
        <w:t xml:space="preserve">“24.1 Prognožu sagatavošanas nacionālā sistēma ietver ilgtermiņa siltumnīcefekta gāzu emisiju prognožu </w:t>
      </w:r>
      <w:r w:rsidR="003D31A1">
        <w:t>aprēķināšanu</w:t>
      </w:r>
      <w:r w:rsidR="00DE52C3" w:rsidRPr="00DE52C3">
        <w:t xml:space="preserve">, klimata politikas ietekmes novērtēšanu un to ziņošanu atbilstoši starptautisko institūciju prasībām, kā arī Latvijas Nacionālā enerģētikas un klimata plāna 2021.- 2030. gadam noteikto mērķu un </w:t>
      </w:r>
      <w:proofErr w:type="spellStart"/>
      <w:r w:rsidR="00DE52C3" w:rsidRPr="00DE52C3">
        <w:t>klimatneitralitātes</w:t>
      </w:r>
      <w:proofErr w:type="spellEnd"/>
      <w:r w:rsidR="00DE52C3" w:rsidRPr="00DE52C3">
        <w:t xml:space="preserve"> mērķu līdz 2050.gadam sasniegšanas nov</w:t>
      </w:r>
      <w:r w:rsidR="003D31A1">
        <w:t xml:space="preserve">ērtēšanu. </w:t>
      </w:r>
    </w:p>
    <w:p w14:paraId="053D5DFF" w14:textId="05E08C53" w:rsidR="00014653" w:rsidRDefault="00014653" w:rsidP="003D21B6">
      <w:pPr>
        <w:pStyle w:val="Title"/>
        <w:jc w:val="both"/>
        <w:outlineLvl w:val="0"/>
      </w:pPr>
      <w:r w:rsidRPr="00014653">
        <w:t xml:space="preserve">Prognožu sagatavošanas nacionālās sistēmas dalībnieki ir Fizikālās enerģētikas institūts, Latvijas Lauksaimniecības universitāte, Latvijas Vides, ģeoloģijas un meteoroloģijas centrs, Latvijas Valsts </w:t>
      </w:r>
      <w:r>
        <w:t>mežzinātnes institūts "Silava".</w:t>
      </w:r>
    </w:p>
    <w:p w14:paraId="36859C02" w14:textId="33974FD5" w:rsidR="00A15052" w:rsidRDefault="00014653" w:rsidP="003D21B6">
      <w:pPr>
        <w:pStyle w:val="Title"/>
        <w:jc w:val="both"/>
        <w:outlineLvl w:val="0"/>
      </w:pPr>
      <w:r>
        <w:t>V</w:t>
      </w:r>
      <w:r w:rsidRPr="00014653">
        <w:t>ides aizsardzības un reģionālās attīstības ministrija</w:t>
      </w:r>
      <w:r>
        <w:t xml:space="preserve"> sadarbībā ar prognožu sagatavošanas nacionālās sistēmas dalībniekiem izveido</w:t>
      </w:r>
      <w:r w:rsidR="00DE52C3" w:rsidRPr="00DE52C3">
        <w:t xml:space="preserve"> un uztur ilgtermiņa attīstības scenāriju modelēšanas sistēm</w:t>
      </w:r>
      <w:r>
        <w:t>u</w:t>
      </w:r>
      <w:r w:rsidR="00DE52C3" w:rsidRPr="00DE52C3">
        <w:t xml:space="preserve"> siltumnīcefekta gāzu emisiju prognožu aprēķināšanai un klimata politikas vērtēšanai.</w:t>
      </w:r>
      <w:r w:rsidR="00E73FCD" w:rsidRPr="00E73FCD">
        <w:t xml:space="preserve"> </w:t>
      </w:r>
      <w:r w:rsidR="00E73FCD" w:rsidRPr="005B2AEB">
        <w:t>Par pamatu ilgtermiņa attīstības scenāriju modelēšanas sistēmai tiek izmantota  enerģētikas - klimata modelēšanas sistēma</w:t>
      </w:r>
      <w:r w:rsidR="00CA754A" w:rsidRPr="005B2AEB">
        <w:t>”</w:t>
      </w:r>
      <w:r w:rsidR="005B2AEB">
        <w:t>.</w:t>
      </w:r>
      <w:r w:rsidR="00DE52C3" w:rsidRPr="00DE52C3">
        <w:t xml:space="preserve"> </w:t>
      </w:r>
    </w:p>
    <w:p w14:paraId="4118A30D" w14:textId="77777777" w:rsidR="00E73FCD" w:rsidRPr="00A07F11" w:rsidRDefault="00E73FCD" w:rsidP="003D21B6">
      <w:pPr>
        <w:pStyle w:val="Title"/>
        <w:jc w:val="both"/>
        <w:outlineLvl w:val="0"/>
      </w:pPr>
    </w:p>
    <w:p w14:paraId="4E3CFA11" w14:textId="20C0A120" w:rsidR="00E21993" w:rsidRPr="00A07F11" w:rsidRDefault="002B50E3" w:rsidP="00A2631E">
      <w:pPr>
        <w:pStyle w:val="Title"/>
        <w:ind w:firstLine="709"/>
        <w:jc w:val="both"/>
        <w:outlineLvl w:val="0"/>
      </w:pPr>
      <w:r w:rsidRPr="00A07F11">
        <w:lastRenderedPageBreak/>
        <w:t>3. </w:t>
      </w:r>
      <w:r w:rsidR="00FA0A0C" w:rsidRPr="00A07F11">
        <w:t xml:space="preserve">Papildināt </w:t>
      </w:r>
      <w:r w:rsidR="00E21993" w:rsidRPr="00A07F11">
        <w:t>ar 26.</w:t>
      </w:r>
      <w:r w:rsidR="00E21993" w:rsidRPr="00A07F11">
        <w:rPr>
          <w:vertAlign w:val="superscript"/>
        </w:rPr>
        <w:t>1</w:t>
      </w:r>
      <w:r w:rsidRPr="00A07F11">
        <w:t> </w:t>
      </w:r>
      <w:r w:rsidR="00E21993" w:rsidRPr="00A07F11">
        <w:t>punktu šādā redakcijā:</w:t>
      </w:r>
    </w:p>
    <w:p w14:paraId="11D42EE2" w14:textId="77777777" w:rsidR="00E21993" w:rsidRPr="00A07F11" w:rsidRDefault="00E21993" w:rsidP="00A2631E">
      <w:pPr>
        <w:pStyle w:val="Title"/>
        <w:ind w:firstLine="709"/>
        <w:jc w:val="both"/>
        <w:outlineLvl w:val="0"/>
      </w:pPr>
    </w:p>
    <w:p w14:paraId="1236987D" w14:textId="7CE4A429" w:rsidR="00E21993" w:rsidRPr="00A07F11" w:rsidRDefault="00E21993">
      <w:pPr>
        <w:shd w:val="clear" w:color="auto" w:fill="FFFFFF"/>
        <w:ind w:firstLine="709"/>
        <w:jc w:val="both"/>
        <w:rPr>
          <w:sz w:val="28"/>
          <w:szCs w:val="28"/>
          <w:lang w:val="lv-LV" w:eastAsia="lv-LV"/>
        </w:rPr>
      </w:pPr>
      <w:r w:rsidRPr="00A07F11">
        <w:rPr>
          <w:lang w:val="lv-LV"/>
        </w:rPr>
        <w:t>“</w:t>
      </w:r>
      <w:r w:rsidRPr="00A07F11">
        <w:rPr>
          <w:sz w:val="28"/>
          <w:szCs w:val="28"/>
          <w:lang w:val="lv-LV" w:eastAsia="lv-LV"/>
        </w:rPr>
        <w:t>26.</w:t>
      </w:r>
      <w:r w:rsidRPr="00A07F11">
        <w:rPr>
          <w:sz w:val="28"/>
          <w:szCs w:val="28"/>
          <w:vertAlign w:val="superscript"/>
          <w:lang w:val="lv-LV" w:eastAsia="lv-LV"/>
        </w:rPr>
        <w:t>1</w:t>
      </w:r>
      <w:r w:rsidR="002B50E3" w:rsidRPr="00A07F11">
        <w:rPr>
          <w:sz w:val="28"/>
          <w:szCs w:val="28"/>
          <w:lang w:val="lv-LV" w:eastAsia="lv-LV"/>
        </w:rPr>
        <w:t> </w:t>
      </w:r>
      <w:r w:rsidRPr="00A07F11">
        <w:rPr>
          <w:sz w:val="28"/>
          <w:szCs w:val="28"/>
          <w:lang w:val="lv-LV" w:eastAsia="lv-LV"/>
        </w:rPr>
        <w:t xml:space="preserve">Ekonomikas ministrija sadarbībā ar Fizikālās enerģētikas institūtu izstrādā </w:t>
      </w:r>
      <w:r w:rsidR="005256FC" w:rsidRPr="00A07F11">
        <w:rPr>
          <w:sz w:val="28"/>
          <w:szCs w:val="28"/>
          <w:lang w:val="lv-LV" w:eastAsia="lv-LV"/>
        </w:rPr>
        <w:t xml:space="preserve">un uztur </w:t>
      </w:r>
      <w:r w:rsidRPr="00A07F11">
        <w:rPr>
          <w:sz w:val="28"/>
          <w:szCs w:val="28"/>
          <w:lang w:val="lv-LV" w:eastAsia="lv-LV"/>
        </w:rPr>
        <w:t>enerģētikas</w:t>
      </w:r>
      <w:r w:rsidR="002B50E3" w:rsidRPr="00A07F11">
        <w:rPr>
          <w:sz w:val="28"/>
          <w:szCs w:val="28"/>
          <w:lang w:val="lv-LV" w:eastAsia="lv-LV"/>
        </w:rPr>
        <w:t> </w:t>
      </w:r>
      <w:r w:rsidRPr="00A07F11">
        <w:rPr>
          <w:sz w:val="28"/>
          <w:szCs w:val="28"/>
          <w:lang w:val="lv-LV" w:eastAsia="lv-LV"/>
        </w:rPr>
        <w:t>-</w:t>
      </w:r>
      <w:r w:rsidR="002B50E3" w:rsidRPr="00A07F11">
        <w:rPr>
          <w:sz w:val="28"/>
          <w:szCs w:val="28"/>
          <w:lang w:val="lv-LV" w:eastAsia="lv-LV"/>
        </w:rPr>
        <w:t> </w:t>
      </w:r>
      <w:r w:rsidRPr="00A07F11">
        <w:rPr>
          <w:sz w:val="28"/>
          <w:szCs w:val="28"/>
          <w:lang w:val="lv-LV" w:eastAsia="lv-LV"/>
        </w:rPr>
        <w:t xml:space="preserve">klimata modelēšanas sistēmu, </w:t>
      </w:r>
      <w:r w:rsidR="005241A3" w:rsidRPr="00A07F11">
        <w:rPr>
          <w:sz w:val="28"/>
          <w:szCs w:val="28"/>
          <w:lang w:val="lv-LV" w:eastAsia="lv-LV"/>
        </w:rPr>
        <w:t xml:space="preserve">tai skaitā </w:t>
      </w:r>
      <w:r w:rsidRPr="00A07F11">
        <w:rPr>
          <w:sz w:val="28"/>
          <w:szCs w:val="28"/>
          <w:lang w:val="lv-LV" w:eastAsia="lv-LV"/>
        </w:rPr>
        <w:t>lai aprēķinātu šo noteikumu 26.</w:t>
      </w:r>
      <w:r w:rsidR="002B50E3" w:rsidRPr="00A07F11">
        <w:rPr>
          <w:sz w:val="28"/>
          <w:szCs w:val="28"/>
          <w:lang w:val="lv-LV" w:eastAsia="lv-LV"/>
        </w:rPr>
        <w:t> </w:t>
      </w:r>
      <w:r w:rsidRPr="00A07F11">
        <w:rPr>
          <w:sz w:val="28"/>
          <w:szCs w:val="28"/>
          <w:lang w:val="lv-LV" w:eastAsia="lv-LV"/>
        </w:rPr>
        <w:t xml:space="preserve">punktā minētās prognozes, novērtētu politiku un pasākumu ietekmes, kā arī novērtētu Nacionālajā enerģētikas un klimata plānā noteikto mērķu sasniegšanu. </w:t>
      </w:r>
    </w:p>
    <w:p w14:paraId="104B0BEA" w14:textId="0A3AF0DA" w:rsidR="00E21993" w:rsidRPr="00A07F11" w:rsidRDefault="00E21993" w:rsidP="00A2631E">
      <w:pPr>
        <w:pStyle w:val="Title"/>
        <w:ind w:firstLine="709"/>
        <w:jc w:val="both"/>
        <w:outlineLvl w:val="0"/>
      </w:pPr>
    </w:p>
    <w:p w14:paraId="3244373A" w14:textId="03CFBDDD" w:rsidR="00E21993" w:rsidRPr="00A07F11" w:rsidRDefault="00224331" w:rsidP="00A2631E">
      <w:pPr>
        <w:pStyle w:val="Title"/>
        <w:ind w:firstLine="709"/>
        <w:jc w:val="both"/>
        <w:outlineLvl w:val="0"/>
      </w:pPr>
      <w:r w:rsidRPr="00A07F11">
        <w:t>4</w:t>
      </w:r>
      <w:r w:rsidR="00E21993" w:rsidRPr="00A07F11">
        <w:t>.</w:t>
      </w:r>
      <w:r w:rsidR="002B50E3" w:rsidRPr="00A07F11">
        <w:t> </w:t>
      </w:r>
      <w:r w:rsidR="00E21993" w:rsidRPr="00A07F11">
        <w:t>Papildināt ar 26.</w:t>
      </w:r>
      <w:r w:rsidR="00E21993" w:rsidRPr="00A07F11">
        <w:rPr>
          <w:vertAlign w:val="superscript"/>
        </w:rPr>
        <w:t>2</w:t>
      </w:r>
      <w:r w:rsidR="002B50E3" w:rsidRPr="00A07F11">
        <w:t> </w:t>
      </w:r>
      <w:r w:rsidR="00E21993" w:rsidRPr="00A07F11">
        <w:t>punktu šādā redakcijā:</w:t>
      </w:r>
    </w:p>
    <w:p w14:paraId="17E39094" w14:textId="77777777" w:rsidR="00224331" w:rsidRPr="00A07F11" w:rsidRDefault="00224331" w:rsidP="00A2631E">
      <w:pPr>
        <w:pStyle w:val="Title"/>
        <w:ind w:firstLine="709"/>
        <w:jc w:val="both"/>
        <w:outlineLvl w:val="0"/>
      </w:pPr>
    </w:p>
    <w:p w14:paraId="1273F3D1" w14:textId="53B37C69" w:rsidR="00D91245" w:rsidRPr="00A07F11" w:rsidRDefault="00E21993" w:rsidP="00A2631E">
      <w:pPr>
        <w:pStyle w:val="Title"/>
        <w:ind w:firstLine="709"/>
        <w:jc w:val="both"/>
        <w:outlineLvl w:val="0"/>
      </w:pPr>
      <w:r w:rsidRPr="00A07F11">
        <w:t>“26.</w:t>
      </w:r>
      <w:r w:rsidRPr="00A07F11">
        <w:rPr>
          <w:vertAlign w:val="superscript"/>
        </w:rPr>
        <w:t>2</w:t>
      </w:r>
      <w:r w:rsidR="002B50E3" w:rsidRPr="00A07F11">
        <w:t> </w:t>
      </w:r>
      <w:r w:rsidRPr="00A07F11">
        <w:t>Ekonomikas ministrija sadarbībā ar Latvijas Universitāti izveido ekonomikas modelēšanas sistēmu, lai noteiktu identificēto ekonomikas un klimata mērķu sasniegšana</w:t>
      </w:r>
      <w:r w:rsidR="00A34432" w:rsidRPr="00A07F11">
        <w:t>s pasākumu ekonomiskās ietekmes</w:t>
      </w:r>
      <w:r w:rsidRPr="00A07F11">
        <w:t>.</w:t>
      </w:r>
      <w:r w:rsidR="00A34432" w:rsidRPr="00A07F11">
        <w:t>”</w:t>
      </w:r>
    </w:p>
    <w:p w14:paraId="00FD347B" w14:textId="0CD309D6" w:rsidR="00D91245" w:rsidRPr="00A07F11" w:rsidRDefault="00D91245" w:rsidP="00A2631E">
      <w:pPr>
        <w:pStyle w:val="Title"/>
        <w:ind w:firstLine="709"/>
        <w:jc w:val="both"/>
        <w:outlineLvl w:val="0"/>
      </w:pPr>
    </w:p>
    <w:p w14:paraId="4C43A78B" w14:textId="4BDEDDDF" w:rsidR="00A34432" w:rsidRPr="00A07F11" w:rsidRDefault="00224331" w:rsidP="00A2631E">
      <w:pPr>
        <w:pStyle w:val="Title"/>
        <w:ind w:firstLine="709"/>
        <w:jc w:val="both"/>
        <w:outlineLvl w:val="0"/>
      </w:pPr>
      <w:r w:rsidRPr="00A07F11">
        <w:t>5</w:t>
      </w:r>
      <w:r w:rsidR="00A34432" w:rsidRPr="00A07F11">
        <w:t>.</w:t>
      </w:r>
      <w:r w:rsidR="002B50E3" w:rsidRPr="00A07F11">
        <w:t> </w:t>
      </w:r>
      <w:r w:rsidR="00A34432" w:rsidRPr="00A07F11">
        <w:t>Papildināt ar 33.</w:t>
      </w:r>
      <w:r w:rsidR="00A34432" w:rsidRPr="00A07F11">
        <w:rPr>
          <w:vertAlign w:val="superscript"/>
        </w:rPr>
        <w:t>1</w:t>
      </w:r>
      <w:r w:rsidR="00A34432" w:rsidRPr="00A07F11">
        <w:t xml:space="preserve"> punktu šādā redakcijā:</w:t>
      </w:r>
    </w:p>
    <w:p w14:paraId="4CC78D5B" w14:textId="77777777" w:rsidR="00224331" w:rsidRPr="00A07F11" w:rsidRDefault="00224331" w:rsidP="00A2631E">
      <w:pPr>
        <w:pStyle w:val="Title"/>
        <w:ind w:firstLine="709"/>
        <w:jc w:val="both"/>
        <w:outlineLvl w:val="0"/>
      </w:pPr>
    </w:p>
    <w:p w14:paraId="4B956A97" w14:textId="47982D2E" w:rsidR="00CC71F2" w:rsidRPr="00A07F11" w:rsidRDefault="00A34432" w:rsidP="00A2631E">
      <w:pPr>
        <w:pStyle w:val="Title"/>
        <w:ind w:firstLine="709"/>
        <w:jc w:val="both"/>
        <w:outlineLvl w:val="0"/>
      </w:pPr>
      <w:r w:rsidRPr="00A07F11">
        <w:rPr>
          <w:szCs w:val="28"/>
          <w:lang w:eastAsia="lv-LV"/>
        </w:rPr>
        <w:t>“33.</w:t>
      </w:r>
      <w:r w:rsidRPr="00A07F11">
        <w:rPr>
          <w:szCs w:val="28"/>
          <w:vertAlign w:val="superscript"/>
          <w:lang w:eastAsia="lv-LV"/>
        </w:rPr>
        <w:t>1</w:t>
      </w:r>
      <w:r w:rsidR="002B50E3" w:rsidRPr="00A07F11">
        <w:rPr>
          <w:szCs w:val="28"/>
          <w:lang w:eastAsia="lv-LV"/>
        </w:rPr>
        <w:t> </w:t>
      </w:r>
      <w:r w:rsidR="00BD6A01" w:rsidRPr="00A07F11">
        <w:rPr>
          <w:szCs w:val="28"/>
          <w:lang w:eastAsia="lv-LV"/>
        </w:rPr>
        <w:t xml:space="preserve"> </w:t>
      </w:r>
      <w:r w:rsidRPr="00A07F11">
        <w:rPr>
          <w:szCs w:val="28"/>
          <w:lang w:eastAsia="lv-LV"/>
        </w:rPr>
        <w:t xml:space="preserve">Fizikālās enerģētikas institūts </w:t>
      </w:r>
      <w:r w:rsidR="001D789B" w:rsidRPr="00A07F11">
        <w:rPr>
          <w:szCs w:val="28"/>
          <w:lang w:eastAsia="lv-LV"/>
        </w:rPr>
        <w:t>līdz 202</w:t>
      </w:r>
      <w:r w:rsidR="00BF5F10" w:rsidRPr="00A07F11">
        <w:rPr>
          <w:szCs w:val="28"/>
          <w:lang w:eastAsia="lv-LV"/>
        </w:rPr>
        <w:t>3</w:t>
      </w:r>
      <w:r w:rsidR="001D789B" w:rsidRPr="00A07F11">
        <w:rPr>
          <w:szCs w:val="28"/>
          <w:lang w:eastAsia="lv-LV"/>
        </w:rPr>
        <w:t xml:space="preserve">.gada 30. </w:t>
      </w:r>
      <w:r w:rsidR="00C70A12" w:rsidRPr="00A07F11">
        <w:rPr>
          <w:szCs w:val="28"/>
          <w:lang w:eastAsia="lv-LV"/>
        </w:rPr>
        <w:t xml:space="preserve">janvārim </w:t>
      </w:r>
      <w:r w:rsidR="001D789B" w:rsidRPr="00A07F11">
        <w:rPr>
          <w:szCs w:val="28"/>
          <w:lang w:eastAsia="lv-LV"/>
        </w:rPr>
        <w:t xml:space="preserve">un turpmāk katru otro gadu </w:t>
      </w:r>
      <w:r w:rsidRPr="00A07F11">
        <w:rPr>
          <w:szCs w:val="28"/>
          <w:lang w:eastAsia="lv-LV"/>
        </w:rPr>
        <w:t>sadarbojoties ar Latvijas Lauksaimniecības universitāti, Latvijas Vides, ģeoloģijas un meteoroloģijas centru, Latvijas Valsts mežzinātnes institūtu "Silava" izstrādā</w:t>
      </w:r>
      <w:r w:rsidR="005256FC" w:rsidRPr="00A07F11">
        <w:rPr>
          <w:szCs w:val="28"/>
          <w:lang w:eastAsia="lv-LV"/>
        </w:rPr>
        <w:t xml:space="preserve">, </w:t>
      </w:r>
      <w:r w:rsidR="00DD3D54" w:rsidRPr="00A07F11">
        <w:rPr>
          <w:szCs w:val="28"/>
          <w:lang w:eastAsia="lv-LV"/>
        </w:rPr>
        <w:t>a</w:t>
      </w:r>
      <w:r w:rsidR="001D789B" w:rsidRPr="00A07F11">
        <w:rPr>
          <w:szCs w:val="28"/>
          <w:lang w:eastAsia="lv-LV"/>
        </w:rPr>
        <w:t>tjauno</w:t>
      </w:r>
      <w:r w:rsidRPr="00A07F11">
        <w:rPr>
          <w:szCs w:val="28"/>
          <w:lang w:eastAsia="lv-LV"/>
        </w:rPr>
        <w:t xml:space="preserve"> un novērtē </w:t>
      </w:r>
      <w:r w:rsidR="00547C53" w:rsidRPr="00A07F11">
        <w:rPr>
          <w:szCs w:val="28"/>
          <w:lang w:eastAsia="lv-LV"/>
        </w:rPr>
        <w:t xml:space="preserve">Nacionālajā enerģētikas un klimata plānā noteikto </w:t>
      </w:r>
      <w:r w:rsidR="0032651D" w:rsidRPr="00A07F11">
        <w:rPr>
          <w:szCs w:val="28"/>
          <w:lang w:eastAsia="lv-LV"/>
        </w:rPr>
        <w:t>siltumnīcefekta gāzu emisiju un CO</w:t>
      </w:r>
      <w:r w:rsidR="0032651D" w:rsidRPr="00A07F11">
        <w:rPr>
          <w:szCs w:val="28"/>
          <w:vertAlign w:val="subscript"/>
          <w:lang w:eastAsia="lv-LV"/>
        </w:rPr>
        <w:t>2</w:t>
      </w:r>
      <w:r w:rsidR="0032651D" w:rsidRPr="00A07F11">
        <w:rPr>
          <w:szCs w:val="28"/>
          <w:lang w:eastAsia="lv-LV"/>
        </w:rPr>
        <w:t xml:space="preserve"> piesaistes </w:t>
      </w:r>
      <w:r w:rsidR="00547C53" w:rsidRPr="00A07F11">
        <w:rPr>
          <w:szCs w:val="28"/>
          <w:lang w:eastAsia="lv-LV"/>
        </w:rPr>
        <w:t>mērķu sasniegšan</w:t>
      </w:r>
      <w:r w:rsidR="00A42092" w:rsidRPr="00A07F11">
        <w:rPr>
          <w:szCs w:val="28"/>
          <w:lang w:eastAsia="lv-LV"/>
        </w:rPr>
        <w:t>as progresu</w:t>
      </w:r>
      <w:r w:rsidR="00547C53" w:rsidRPr="00A07F11">
        <w:rPr>
          <w:szCs w:val="28"/>
          <w:lang w:eastAsia="lv-LV"/>
        </w:rPr>
        <w:t xml:space="preserve"> un </w:t>
      </w:r>
      <w:r w:rsidRPr="00A07F11">
        <w:rPr>
          <w:szCs w:val="28"/>
          <w:lang w:eastAsia="lv-LV"/>
        </w:rPr>
        <w:t xml:space="preserve">scenārijus </w:t>
      </w:r>
      <w:proofErr w:type="spellStart"/>
      <w:r w:rsidRPr="00A07F11">
        <w:rPr>
          <w:szCs w:val="28"/>
          <w:lang w:eastAsia="lv-LV"/>
        </w:rPr>
        <w:t>klimatneitralitātes</w:t>
      </w:r>
      <w:proofErr w:type="spellEnd"/>
      <w:r w:rsidRPr="00A07F11">
        <w:rPr>
          <w:szCs w:val="28"/>
          <w:lang w:eastAsia="lv-LV"/>
        </w:rPr>
        <w:t xml:space="preserve"> sasniegšanai līdz 2050.</w:t>
      </w:r>
      <w:r w:rsidR="002B50E3" w:rsidRPr="00A07F11">
        <w:rPr>
          <w:szCs w:val="28"/>
          <w:lang w:eastAsia="lv-LV"/>
        </w:rPr>
        <w:t> </w:t>
      </w:r>
      <w:r w:rsidRPr="00A07F11">
        <w:rPr>
          <w:szCs w:val="28"/>
          <w:lang w:eastAsia="lv-LV"/>
        </w:rPr>
        <w:t>gadam.”</w:t>
      </w:r>
    </w:p>
    <w:p w14:paraId="27A39407" w14:textId="77777777" w:rsidR="00CC71F2" w:rsidRPr="00A07F11" w:rsidRDefault="00CC71F2" w:rsidP="00A2631E">
      <w:pPr>
        <w:pStyle w:val="Title"/>
        <w:ind w:firstLine="709"/>
        <w:jc w:val="both"/>
        <w:outlineLvl w:val="0"/>
      </w:pPr>
    </w:p>
    <w:p w14:paraId="6C47E5CD" w14:textId="5C303857" w:rsidR="00BE7364" w:rsidRPr="00A07F11" w:rsidRDefault="00224331" w:rsidP="00A2631E">
      <w:pPr>
        <w:pStyle w:val="Title"/>
        <w:ind w:firstLine="709"/>
        <w:jc w:val="both"/>
        <w:outlineLvl w:val="0"/>
      </w:pPr>
      <w:r w:rsidRPr="00A07F11">
        <w:t>6</w:t>
      </w:r>
      <w:r w:rsidR="00D91245" w:rsidRPr="00A07F11">
        <w:t>.</w:t>
      </w:r>
      <w:r w:rsidR="002B50E3" w:rsidRPr="00A07F11">
        <w:t> </w:t>
      </w:r>
      <w:r w:rsidR="00824130" w:rsidRPr="00A07F11">
        <w:t>Papildināt ar</w:t>
      </w:r>
      <w:r w:rsidR="00A34432" w:rsidRPr="00A07F11">
        <w:t xml:space="preserve"> 33</w:t>
      </w:r>
      <w:r w:rsidR="00BE7364" w:rsidRPr="00A07F11">
        <w:t>.</w:t>
      </w:r>
      <w:r w:rsidR="00A34432" w:rsidRPr="00A07F11">
        <w:rPr>
          <w:vertAlign w:val="superscript"/>
        </w:rPr>
        <w:t>2</w:t>
      </w:r>
      <w:r w:rsidR="00824130" w:rsidRPr="00A07F11">
        <w:t xml:space="preserve"> </w:t>
      </w:r>
      <w:r w:rsidR="00BE7364" w:rsidRPr="00A07F11">
        <w:t>punktu šādā redakcijā:</w:t>
      </w:r>
    </w:p>
    <w:p w14:paraId="333070E1" w14:textId="77777777" w:rsidR="00224331" w:rsidRPr="00A07F11" w:rsidRDefault="00224331" w:rsidP="00A2631E">
      <w:pPr>
        <w:pStyle w:val="Title"/>
        <w:ind w:firstLine="709"/>
        <w:jc w:val="both"/>
        <w:outlineLvl w:val="0"/>
      </w:pPr>
    </w:p>
    <w:p w14:paraId="638D5F57" w14:textId="4104404F" w:rsidR="00BE7364" w:rsidRPr="00A07F11" w:rsidRDefault="00BE7364" w:rsidP="00A2631E">
      <w:pPr>
        <w:pStyle w:val="Title"/>
        <w:ind w:firstLine="709"/>
        <w:jc w:val="both"/>
        <w:outlineLvl w:val="0"/>
      </w:pPr>
      <w:r w:rsidRPr="00A07F11">
        <w:t>“</w:t>
      </w:r>
      <w:r w:rsidR="00A34432" w:rsidRPr="00A07F11">
        <w:t>33.</w:t>
      </w:r>
      <w:r w:rsidR="00A34432" w:rsidRPr="00A07F11">
        <w:rPr>
          <w:vertAlign w:val="superscript"/>
        </w:rPr>
        <w:t>2</w:t>
      </w:r>
      <w:r w:rsidR="002B50E3" w:rsidRPr="00A07F11">
        <w:t> </w:t>
      </w:r>
      <w:r w:rsidR="00A34432" w:rsidRPr="00A07F11">
        <w:t>Lai izpildītu 33.</w:t>
      </w:r>
      <w:r w:rsidR="00A34432" w:rsidRPr="00A07F11">
        <w:rPr>
          <w:vertAlign w:val="superscript"/>
        </w:rPr>
        <w:t>1</w:t>
      </w:r>
      <w:r w:rsidR="002B50E3" w:rsidRPr="00A07F11">
        <w:t xml:space="preserve"> punktā </w:t>
      </w:r>
      <w:r w:rsidR="00BD089D" w:rsidRPr="00A07F11">
        <w:t>noteikto uzdevumu līdz 202</w:t>
      </w:r>
      <w:r w:rsidR="00BF5F10" w:rsidRPr="00A07F11">
        <w:t>2</w:t>
      </w:r>
      <w:r w:rsidR="00A34432" w:rsidRPr="00A07F11">
        <w:t>.</w:t>
      </w:r>
      <w:r w:rsidR="002B50E3" w:rsidRPr="00A07F11">
        <w:t> </w:t>
      </w:r>
      <w:r w:rsidR="00A34432" w:rsidRPr="00A07F11">
        <w:t>gada</w:t>
      </w:r>
      <w:r w:rsidR="00A07F11" w:rsidRPr="00A07F11">
        <w:t xml:space="preserve"> </w:t>
      </w:r>
      <w:r w:rsidR="00C70A12" w:rsidRPr="00A07F11">
        <w:t>1. novembrim</w:t>
      </w:r>
      <w:r w:rsidR="00B53C05" w:rsidRPr="00A07F11">
        <w:t xml:space="preserve"> </w:t>
      </w:r>
      <w:r w:rsidR="00A34432" w:rsidRPr="00A07F11">
        <w:t>un</w:t>
      </w:r>
      <w:r w:rsidR="001D789B" w:rsidRPr="00A07F11">
        <w:t xml:space="preserve"> turpmāk</w:t>
      </w:r>
      <w:r w:rsidR="00A34432" w:rsidRPr="00A07F11">
        <w:t xml:space="preserve"> katru otro gadu Latvijas Lauksaimniecības universitāte, Latvijas Vides, ģeoloģijas un meteoroloģijas centrs, Latvijas Valsts mežzinātnes institūts "Silava" iesniedz Fizikālās enerģētikas institūtam </w:t>
      </w:r>
      <w:r w:rsidR="002B50E3" w:rsidRPr="00A07F11">
        <w:t xml:space="preserve">siltumnīcefekta gāzu </w:t>
      </w:r>
      <w:r w:rsidR="00A34432" w:rsidRPr="00A07F11">
        <w:t xml:space="preserve"> prognozes scenārijam ar esošiem pasākumiem un plānoto </w:t>
      </w:r>
      <w:proofErr w:type="spellStart"/>
      <w:r w:rsidR="00A34432" w:rsidRPr="00A07F11">
        <w:t>rīcībpolitiku</w:t>
      </w:r>
      <w:proofErr w:type="spellEnd"/>
      <w:r w:rsidR="00A34432" w:rsidRPr="00A07F11">
        <w:t xml:space="preserve"> u</w:t>
      </w:r>
      <w:r w:rsidR="0078675D" w:rsidRPr="00A07F11">
        <w:t xml:space="preserve">n pasākumu aprakstu atbilstoši </w:t>
      </w:r>
      <w:r w:rsidR="004A038F" w:rsidRPr="00A07F11">
        <w:t>k</w:t>
      </w:r>
      <w:r w:rsidR="00A34432" w:rsidRPr="00A07F11">
        <w:t xml:space="preserve">onvencijas, Kioto protokola, Parīzes nolīguma un Eiropas Parlamenta un Padomes </w:t>
      </w:r>
      <w:r w:rsidR="00A2631E" w:rsidRPr="00A07F11">
        <w:t xml:space="preserve">Eiropas Parlamenta un Padomes Regula (ES) 2018/1999 (2018. gada 11. decembris) par enerģētikas savienības un rīcības klimata politikas jomā pārvaldību un ar ko groza Eiropas Parlamenta un Padomes Regulas (EK) Nr. 663/2009 un (EK) Nr. 715/2009, Eiropas Parlamenta un Padomes Direktīvas 94/22/EK, 98/70/EK, 2009/31/EK, 2009/73/EK, 2010/31/ES, 2012/27/ES un 2013/30/ES, Padomes Direktīvas 2009/119/EK un (ES) 2015/652 un atceļ Eiropas Parlamenta un Padomes Regulu (ES) Nr. 525/2013 </w:t>
      </w:r>
      <w:r w:rsidR="00A34432" w:rsidRPr="00A07F11">
        <w:t xml:space="preserve">prasībām. </w:t>
      </w:r>
    </w:p>
    <w:p w14:paraId="0BC8F881" w14:textId="77777777" w:rsidR="00775AE5" w:rsidRPr="00A07F11" w:rsidRDefault="00775AE5" w:rsidP="00FE4339">
      <w:pPr>
        <w:pStyle w:val="Title"/>
        <w:ind w:firstLine="709"/>
        <w:jc w:val="both"/>
        <w:outlineLvl w:val="0"/>
      </w:pPr>
    </w:p>
    <w:p w14:paraId="7990A45D" w14:textId="4215FA01" w:rsidR="007C499F" w:rsidRPr="00A07F11" w:rsidRDefault="007C499F" w:rsidP="00A2631E">
      <w:pPr>
        <w:pStyle w:val="Title"/>
        <w:ind w:firstLine="709"/>
        <w:jc w:val="both"/>
        <w:outlineLvl w:val="0"/>
      </w:pPr>
    </w:p>
    <w:p w14:paraId="0CA39686" w14:textId="0BA4BC18" w:rsidR="008C706A" w:rsidRPr="00A07F11" w:rsidRDefault="00160718" w:rsidP="00A2631E">
      <w:pPr>
        <w:pStyle w:val="Title"/>
        <w:ind w:firstLine="709"/>
        <w:jc w:val="both"/>
        <w:outlineLvl w:val="0"/>
      </w:pPr>
      <w:r w:rsidRPr="00A07F11">
        <w:t>7</w:t>
      </w:r>
      <w:r w:rsidR="00775AE5" w:rsidRPr="00A07F11">
        <w:t>.</w:t>
      </w:r>
      <w:r w:rsidR="006F24E2" w:rsidRPr="00A07F11">
        <w:t> </w:t>
      </w:r>
      <w:r w:rsidR="00A34432" w:rsidRPr="00A07F11">
        <w:t xml:space="preserve">Izteikt </w:t>
      </w:r>
      <w:r w:rsidR="00BD089D" w:rsidRPr="00A07F11">
        <w:t>2.</w:t>
      </w:r>
      <w:r w:rsidR="006F24E2" w:rsidRPr="00A07F11">
        <w:t> </w:t>
      </w:r>
      <w:r w:rsidR="00BD089D" w:rsidRPr="00A07F11">
        <w:t xml:space="preserve">pielikumu </w:t>
      </w:r>
      <w:r w:rsidR="00486554" w:rsidRPr="00A07F11">
        <w:t xml:space="preserve">šādā </w:t>
      </w:r>
      <w:r w:rsidR="00BD089D" w:rsidRPr="00A07F11">
        <w:t>redakcijā:</w:t>
      </w:r>
    </w:p>
    <w:p w14:paraId="25C78A14" w14:textId="34A8B0D0" w:rsidR="00BD089D" w:rsidRPr="00A07F11" w:rsidRDefault="00BD089D" w:rsidP="00BD089D">
      <w:pPr>
        <w:shd w:val="clear" w:color="auto" w:fill="FFFFFF"/>
        <w:jc w:val="right"/>
        <w:rPr>
          <w:color w:val="414142"/>
          <w:sz w:val="28"/>
          <w:szCs w:val="28"/>
          <w:lang w:val="lv-LV" w:eastAsia="lv-LV" w:bidi="lo-LA"/>
        </w:rPr>
      </w:pPr>
    </w:p>
    <w:p w14:paraId="7308F076" w14:textId="77777777" w:rsidR="00BD089D" w:rsidRPr="00A07F11" w:rsidRDefault="00BD089D" w:rsidP="00BD089D">
      <w:pPr>
        <w:shd w:val="clear" w:color="auto" w:fill="FFFFFF"/>
        <w:jc w:val="center"/>
        <w:rPr>
          <w:b/>
          <w:bCs/>
          <w:color w:val="414142"/>
          <w:sz w:val="28"/>
          <w:szCs w:val="28"/>
          <w:lang w:val="lv-LV" w:eastAsia="lv-LV" w:bidi="lo-LA"/>
        </w:rPr>
      </w:pPr>
      <w:bookmarkStart w:id="0" w:name="641449"/>
      <w:bookmarkStart w:id="1" w:name="n-641449"/>
      <w:bookmarkEnd w:id="0"/>
      <w:bookmarkEnd w:id="1"/>
    </w:p>
    <w:p w14:paraId="2324E98A" w14:textId="6FEAAB6F" w:rsidR="00362379" w:rsidRPr="00A07F11" w:rsidRDefault="00362379" w:rsidP="00362379">
      <w:pPr>
        <w:pStyle w:val="ListParagraph"/>
        <w:numPr>
          <w:ilvl w:val="0"/>
          <w:numId w:val="6"/>
        </w:numPr>
        <w:shd w:val="clear" w:color="auto" w:fill="FFFFFF"/>
        <w:jc w:val="right"/>
        <w:rPr>
          <w:rFonts w:ascii="Times New Roman" w:hAnsi="Times New Roman" w:cs="Times New Roman"/>
          <w:b/>
          <w:bCs/>
          <w:color w:val="414142"/>
          <w:sz w:val="28"/>
          <w:szCs w:val="28"/>
          <w:lang w:eastAsia="lv-LV" w:bidi="lo-LA"/>
        </w:rPr>
      </w:pPr>
      <w:r w:rsidRPr="00A07F11">
        <w:rPr>
          <w:rFonts w:ascii="Times New Roman" w:hAnsi="Times New Roman" w:cs="Times New Roman"/>
          <w:b/>
          <w:bCs/>
          <w:color w:val="414142"/>
          <w:sz w:val="28"/>
          <w:szCs w:val="28"/>
          <w:lang w:eastAsia="lv-LV" w:bidi="lo-LA"/>
        </w:rPr>
        <w:lastRenderedPageBreak/>
        <w:t>Pielikums</w:t>
      </w:r>
    </w:p>
    <w:p w14:paraId="4B3C0D04" w14:textId="77777777" w:rsidR="00362379" w:rsidRPr="00A07F11" w:rsidRDefault="00362379" w:rsidP="00362379">
      <w:pPr>
        <w:pStyle w:val="ListParagraph"/>
        <w:shd w:val="clear" w:color="auto" w:fill="FFFFFF"/>
        <w:jc w:val="right"/>
        <w:rPr>
          <w:rFonts w:ascii="Times New Roman" w:hAnsi="Times New Roman" w:cs="Times New Roman"/>
          <w:b/>
          <w:bCs/>
          <w:color w:val="414142"/>
          <w:sz w:val="28"/>
          <w:szCs w:val="28"/>
          <w:lang w:eastAsia="lv-LV" w:bidi="lo-LA"/>
        </w:rPr>
      </w:pPr>
      <w:r w:rsidRPr="00A07F11">
        <w:rPr>
          <w:rFonts w:ascii="Times New Roman" w:hAnsi="Times New Roman" w:cs="Times New Roman"/>
          <w:b/>
          <w:bCs/>
          <w:color w:val="414142"/>
          <w:sz w:val="28"/>
          <w:szCs w:val="28"/>
          <w:lang w:eastAsia="lv-LV" w:bidi="lo-LA"/>
        </w:rPr>
        <w:t>Ministru kabineta</w:t>
      </w:r>
    </w:p>
    <w:p w14:paraId="507C0424" w14:textId="1B1BF73B" w:rsidR="00362379" w:rsidRPr="00A07F11" w:rsidRDefault="00362379" w:rsidP="00362379">
      <w:pPr>
        <w:pStyle w:val="ListParagraph"/>
        <w:shd w:val="clear" w:color="auto" w:fill="FFFFFF"/>
        <w:jc w:val="right"/>
        <w:rPr>
          <w:rFonts w:ascii="Times New Roman" w:hAnsi="Times New Roman" w:cs="Times New Roman"/>
          <w:b/>
          <w:bCs/>
          <w:color w:val="414142"/>
          <w:sz w:val="28"/>
          <w:szCs w:val="28"/>
          <w:lang w:eastAsia="lv-LV" w:bidi="lo-LA"/>
        </w:rPr>
      </w:pPr>
      <w:r w:rsidRPr="00A07F11">
        <w:rPr>
          <w:rFonts w:ascii="Times New Roman" w:hAnsi="Times New Roman" w:cs="Times New Roman"/>
          <w:b/>
          <w:bCs/>
          <w:color w:val="414142"/>
          <w:sz w:val="28"/>
          <w:szCs w:val="28"/>
          <w:lang w:eastAsia="lv-LV" w:bidi="lo-LA"/>
        </w:rPr>
        <w:t>noteikumiem</w:t>
      </w:r>
    </w:p>
    <w:p w14:paraId="0FD921B9" w14:textId="77777777" w:rsidR="00362379" w:rsidRPr="00A07F11" w:rsidRDefault="00362379" w:rsidP="00362379">
      <w:pPr>
        <w:shd w:val="clear" w:color="auto" w:fill="FFFFFF"/>
        <w:jc w:val="right"/>
        <w:rPr>
          <w:b/>
          <w:bCs/>
          <w:color w:val="414142"/>
          <w:sz w:val="28"/>
          <w:szCs w:val="28"/>
          <w:lang w:val="lv-LV" w:eastAsia="lv-LV" w:bidi="lo-LA"/>
        </w:rPr>
      </w:pPr>
    </w:p>
    <w:p w14:paraId="38FDDED8" w14:textId="77777777" w:rsidR="00BD089D" w:rsidRPr="00A07F11" w:rsidRDefault="00BD089D" w:rsidP="00BD089D">
      <w:pPr>
        <w:shd w:val="clear" w:color="auto" w:fill="FFFFFF"/>
        <w:jc w:val="center"/>
        <w:rPr>
          <w:b/>
          <w:bCs/>
          <w:color w:val="414142"/>
          <w:sz w:val="28"/>
          <w:szCs w:val="28"/>
          <w:lang w:val="lv-LV" w:eastAsia="lv-LV" w:bidi="lo-LA"/>
        </w:rPr>
      </w:pP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Komersantu iesniedzamie dati par iepriekšējo kalendāra gadu</w:t>
      </w:r>
    </w:p>
    <w:p w14:paraId="7E5AE798" w14:textId="25834DF1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b/>
          <w:bCs/>
          <w:color w:val="414142"/>
          <w:sz w:val="28"/>
          <w:szCs w:val="28"/>
          <w:lang w:val="lv-LV" w:eastAsia="lv-LV" w:bidi="lo-LA"/>
        </w:rPr>
      </w:pP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I.</w:t>
      </w:r>
      <w:r w:rsidR="00486554" w:rsidRPr="00A07F11">
        <w:rPr>
          <w:b/>
          <w:bCs/>
          <w:color w:val="414142"/>
          <w:sz w:val="28"/>
          <w:szCs w:val="28"/>
          <w:lang w:val="lv-LV" w:eastAsia="lv-LV" w:bidi="lo-LA"/>
        </w:rPr>
        <w:t> </w:t>
      </w: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 xml:space="preserve">Rūpnieciskās produkcijas NACE 2. </w:t>
      </w:r>
      <w:proofErr w:type="spellStart"/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red</w:t>
      </w:r>
      <w:proofErr w:type="spellEnd"/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. kodam 23.51 atbilstošo komersantu iesniedzamie dati</w:t>
      </w:r>
    </w:p>
    <w:p w14:paraId="0073BE57" w14:textId="77777777" w:rsidR="00BD089D" w:rsidRPr="00A07F11" w:rsidRDefault="00BD089D" w:rsidP="00A2631E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Dati par saražoto cementa klinkeru un tā sastāvu, kas noteikts komersanta laboratorijā vai citā laboratorijā, izmantojot mērījumu metodi.</w:t>
      </w:r>
    </w:p>
    <w:p w14:paraId="7359B67E" w14:textId="72A3EBAF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1.</w:t>
      </w:r>
      <w:r w:rsidR="00486554" w:rsidRPr="00A07F11">
        <w:rPr>
          <w:color w:val="414142"/>
          <w:sz w:val="28"/>
          <w:szCs w:val="28"/>
          <w:lang w:val="lv-LV" w:eastAsia="lv-LV" w:bidi="lo-LA"/>
        </w:rPr>
        <w:t> </w:t>
      </w:r>
      <w:r w:rsidRPr="00A07F11">
        <w:rPr>
          <w:color w:val="414142"/>
          <w:sz w:val="28"/>
          <w:szCs w:val="28"/>
          <w:lang w:val="lv-LV" w:eastAsia="lv-LV" w:bidi="lo-LA"/>
        </w:rPr>
        <w:t>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"/>
        <w:gridCol w:w="835"/>
        <w:gridCol w:w="1157"/>
        <w:gridCol w:w="760"/>
        <w:gridCol w:w="779"/>
        <w:gridCol w:w="672"/>
        <w:gridCol w:w="756"/>
        <w:gridCol w:w="756"/>
        <w:gridCol w:w="368"/>
        <w:gridCol w:w="415"/>
        <w:gridCol w:w="625"/>
        <w:gridCol w:w="434"/>
        <w:gridCol w:w="359"/>
        <w:gridCol w:w="312"/>
        <w:gridCol w:w="415"/>
      </w:tblGrid>
      <w:tr w:rsidR="00BD089D" w:rsidRPr="00A23E17" w14:paraId="363B6DB7" w14:textId="77777777" w:rsidTr="00454636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BAE407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Gads</w:t>
            </w:r>
          </w:p>
        </w:tc>
        <w:tc>
          <w:tcPr>
            <w:tcW w:w="6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CAC745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Izejvielu maisījums, kas izmantots 1 t klinkera saražošanai (t)</w:t>
            </w: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4B7D07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CaCO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3</w:t>
            </w:r>
            <w:r w:rsidRPr="00A07F11">
              <w:rPr>
                <w:color w:val="414142"/>
                <w:lang w:val="lv-LV" w:eastAsia="lv-LV" w:bidi="lo-LA"/>
              </w:rPr>
              <w:t> izejvielu maisījumā (%)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086303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proofErr w:type="spellStart"/>
            <w:r w:rsidRPr="00A07F11">
              <w:rPr>
                <w:color w:val="414142"/>
                <w:lang w:val="lv-LV" w:eastAsia="lv-LV" w:bidi="lo-LA"/>
              </w:rPr>
              <w:t>CaO</w:t>
            </w:r>
            <w:proofErr w:type="spellEnd"/>
            <w:r w:rsidRPr="00A07F11">
              <w:rPr>
                <w:color w:val="414142"/>
                <w:lang w:val="lv-LV" w:eastAsia="lv-LV" w:bidi="lo-LA"/>
              </w:rPr>
              <w:t xml:space="preserve"> izejvielu maisījumā (%)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CB5263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Cementa krāsns putekļu karsēšanas zudumi (%)</w:t>
            </w:r>
          </w:p>
        </w:tc>
        <w:tc>
          <w:tcPr>
            <w:tcW w:w="250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249A2D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Cementa klinkera ķīmiskais sastāvs (gada vidējais rādītājs)</w:t>
            </w:r>
          </w:p>
        </w:tc>
      </w:tr>
      <w:tr w:rsidR="00BD089D" w:rsidRPr="00A07F11" w14:paraId="034295A8" w14:textId="77777777" w:rsidTr="004546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ECD641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E44E1C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95617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C9BFAA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CAD2FE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0D4C3E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SiO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lang w:val="lv-LV" w:eastAsia="lv-LV" w:bidi="lo-LA"/>
              </w:rPr>
              <w:t> 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32A4A5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Al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lang w:val="lv-LV" w:eastAsia="lv-LV" w:bidi="lo-LA"/>
              </w:rPr>
              <w:t>O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3</w:t>
            </w:r>
            <w:r w:rsidRPr="00A07F11">
              <w:rPr>
                <w:color w:val="414142"/>
                <w:lang w:val="lv-LV" w:eastAsia="lv-LV" w:bidi="lo-LA"/>
              </w:rPr>
              <w:t> 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E2F14E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Fe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lang w:val="lv-LV" w:eastAsia="lv-LV" w:bidi="lo-LA"/>
              </w:rPr>
              <w:t>O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3</w:t>
            </w:r>
            <w:r w:rsidRPr="00A07F11">
              <w:rPr>
                <w:color w:val="414142"/>
                <w:lang w:val="lv-LV" w:eastAsia="lv-LV" w:bidi="lo-LA"/>
              </w:rPr>
              <w:t> 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503358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proofErr w:type="spellStart"/>
            <w:r w:rsidRPr="00A07F11">
              <w:rPr>
                <w:color w:val="414142"/>
                <w:lang w:val="lv-LV" w:eastAsia="lv-LV" w:bidi="lo-LA"/>
              </w:rPr>
              <w:t>CaO</w:t>
            </w:r>
            <w:proofErr w:type="spellEnd"/>
            <w:r w:rsidRPr="00A07F11">
              <w:rPr>
                <w:color w:val="414142"/>
                <w:lang w:val="lv-LV" w:eastAsia="lv-LV" w:bidi="lo-LA"/>
              </w:rPr>
              <w:t xml:space="preserve"> 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CEBA78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proofErr w:type="spellStart"/>
            <w:r w:rsidRPr="00A07F11">
              <w:rPr>
                <w:color w:val="414142"/>
                <w:lang w:val="lv-LV" w:eastAsia="lv-LV" w:bidi="lo-LA"/>
              </w:rPr>
              <w:t>MgO</w:t>
            </w:r>
            <w:proofErr w:type="spellEnd"/>
            <w:r w:rsidRPr="00A07F11">
              <w:rPr>
                <w:color w:val="414142"/>
                <w:lang w:val="lv-LV" w:eastAsia="lv-LV" w:bidi="lo-LA"/>
              </w:rPr>
              <w:t xml:space="preserve"> 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45F0A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SO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3</w:t>
            </w:r>
            <w:r w:rsidRPr="00A07F11">
              <w:rPr>
                <w:color w:val="414142"/>
                <w:lang w:val="lv-LV" w:eastAsia="lv-LV" w:bidi="lo-LA"/>
              </w:rPr>
              <w:t> 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4EED7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Na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lang w:val="lv-LV" w:eastAsia="lv-LV" w:bidi="lo-LA"/>
              </w:rPr>
              <w:t>O 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F9626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K</w:t>
            </w:r>
            <w:r w:rsidRPr="00A07F11">
              <w:rPr>
                <w:color w:val="414142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lang w:val="lv-LV" w:eastAsia="lv-LV" w:bidi="lo-LA"/>
              </w:rPr>
              <w:t>O 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41A1CC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IR 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E903C6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proofErr w:type="spellStart"/>
            <w:r w:rsidRPr="00A07F11">
              <w:rPr>
                <w:color w:val="414142"/>
                <w:lang w:val="lv-LV" w:eastAsia="lv-LV" w:bidi="lo-LA"/>
              </w:rPr>
              <w:t>Naeq</w:t>
            </w:r>
            <w:proofErr w:type="spellEnd"/>
            <w:r w:rsidRPr="00A07F11">
              <w:rPr>
                <w:color w:val="414142"/>
                <w:lang w:val="lv-LV" w:eastAsia="lv-LV" w:bidi="lo-LA"/>
              </w:rPr>
              <w:t xml:space="preserve"> (%)</w:t>
            </w:r>
          </w:p>
        </w:tc>
      </w:tr>
      <w:tr w:rsidR="00BD089D" w:rsidRPr="00A07F11" w14:paraId="6E7D163E" w14:textId="77777777" w:rsidTr="00454636">
        <w:trPr>
          <w:trHeight w:val="4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73EF87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B8C8F0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018731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AC1AC6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8BEBB5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DE470F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58EF27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DB89C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42671F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7AEE72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1A719F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858AF3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3049DF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8EBDB2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101EDE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</w:tr>
      <w:tr w:rsidR="00BD089D" w:rsidRPr="00A07F11" w14:paraId="1A4A168C" w14:textId="77777777" w:rsidTr="00454636">
        <w:trPr>
          <w:trHeight w:val="4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CB426E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C0642E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D019F8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811018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5329C2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75C46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FD7858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E8D6E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84770C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D7E925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17E57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BDD54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F6AF29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AABB52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E10357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</w:tr>
    </w:tbl>
    <w:p w14:paraId="274FA8BE" w14:textId="15958E5D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b/>
          <w:bCs/>
          <w:color w:val="414142"/>
          <w:sz w:val="28"/>
          <w:szCs w:val="28"/>
          <w:lang w:val="lv-LV" w:eastAsia="lv-LV" w:bidi="lo-LA"/>
        </w:rPr>
      </w:pP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II.</w:t>
      </w:r>
      <w:r w:rsidR="00486554" w:rsidRPr="00A07F11">
        <w:rPr>
          <w:b/>
          <w:bCs/>
          <w:color w:val="414142"/>
          <w:sz w:val="28"/>
          <w:szCs w:val="28"/>
          <w:lang w:val="lv-LV" w:eastAsia="lv-LV" w:bidi="lo-LA"/>
        </w:rPr>
        <w:t> </w:t>
      </w: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 xml:space="preserve">Rūpnieciskās produkcijas NACE 2. </w:t>
      </w:r>
      <w:proofErr w:type="spellStart"/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red</w:t>
      </w:r>
      <w:proofErr w:type="spellEnd"/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. kodam 24.10 atbilstošo komersantu iesniedzamie dati</w:t>
      </w:r>
    </w:p>
    <w:p w14:paraId="3609371F" w14:textId="77777777" w:rsidR="00BD089D" w:rsidRPr="00A07F11" w:rsidRDefault="00BD089D" w:rsidP="00A2631E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Saražotās produkcijas un izmantoto izejvielu dati, oglekļa saturs izmantotajā čugunā, čuguna lūžņos un saražotajā neapstrādātajā tēraudā, oglekļa elektrodu patēriņš elektrokrāsnīs.</w:t>
      </w:r>
    </w:p>
    <w:p w14:paraId="1A947FA6" w14:textId="20C467B4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2.</w:t>
      </w:r>
      <w:r w:rsidR="00486554" w:rsidRPr="00A07F11">
        <w:rPr>
          <w:color w:val="414142"/>
          <w:sz w:val="28"/>
          <w:szCs w:val="28"/>
          <w:lang w:val="lv-LV" w:eastAsia="lv-LV" w:bidi="lo-LA"/>
        </w:rPr>
        <w:t> </w:t>
      </w:r>
      <w:r w:rsidRPr="00A07F11">
        <w:rPr>
          <w:color w:val="414142"/>
          <w:sz w:val="28"/>
          <w:szCs w:val="28"/>
          <w:lang w:val="lv-LV" w:eastAsia="lv-LV" w:bidi="lo-LA"/>
        </w:rPr>
        <w:t>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828"/>
        <w:gridCol w:w="1399"/>
        <w:gridCol w:w="604"/>
        <w:gridCol w:w="750"/>
        <w:gridCol w:w="1067"/>
        <w:gridCol w:w="1173"/>
        <w:gridCol w:w="1425"/>
        <w:gridCol w:w="1253"/>
      </w:tblGrid>
      <w:tr w:rsidR="00BD089D" w:rsidRPr="00A23E17" w14:paraId="2309A037" w14:textId="77777777" w:rsidTr="00454636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F1BF8C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Gads</w:t>
            </w:r>
          </w:p>
        </w:tc>
        <w:tc>
          <w:tcPr>
            <w:tcW w:w="1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4E3932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Saražotā produkcija – neapstrādātais tērauds (t)</w:t>
            </w:r>
          </w:p>
        </w:tc>
        <w:tc>
          <w:tcPr>
            <w:tcW w:w="14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F51D1D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Izejvielas</w:t>
            </w:r>
          </w:p>
        </w:tc>
        <w:tc>
          <w:tcPr>
            <w:tcW w:w="1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6AB53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Oglekļa saturs (</w:t>
            </w:r>
            <w:proofErr w:type="spellStart"/>
            <w:r w:rsidRPr="00A07F11">
              <w:rPr>
                <w:i/>
                <w:iCs/>
                <w:color w:val="414142"/>
                <w:lang w:val="lv-LV" w:eastAsia="lv-LV" w:bidi="lo-LA"/>
              </w:rPr>
              <w:t>Carbon</w:t>
            </w:r>
            <w:proofErr w:type="spellEnd"/>
            <w:r w:rsidRPr="00A07F11">
              <w:rPr>
                <w:i/>
                <w:iCs/>
                <w:color w:val="414142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lang w:val="lv-LV" w:eastAsia="lv-LV" w:bidi="lo-LA"/>
              </w:rPr>
              <w:t>content</w:t>
            </w:r>
            <w:proofErr w:type="spellEnd"/>
            <w:r w:rsidRPr="00A07F11">
              <w:rPr>
                <w:color w:val="414142"/>
                <w:lang w:val="lv-LV" w:eastAsia="lv-LV" w:bidi="lo-LA"/>
              </w:rPr>
              <w:t>) produkcijā (%)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B76E28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Oglekļa elektrodu patēriņš (kg/t produkcijas)</w:t>
            </w:r>
          </w:p>
        </w:tc>
      </w:tr>
      <w:tr w:rsidR="00BD089D" w:rsidRPr="00A07F11" w14:paraId="2866F105" w14:textId="77777777" w:rsidTr="004546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433D9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55EBD2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martena krāsnīs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447E8D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elektrokrāsnīs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B7C7F5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kokss (t)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EC896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čuguns un čuguna lūžņi (t)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E20060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metāllūžņi (t)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355392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izmantotajā čugunā un čuguna lūžņos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D3C2B5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saražotajā neapstrādātajā tēraudā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E17C36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</w:p>
        </w:tc>
      </w:tr>
      <w:tr w:rsidR="00BD089D" w:rsidRPr="00A07F11" w14:paraId="60196851" w14:textId="77777777" w:rsidTr="00454636">
        <w:trPr>
          <w:trHeight w:val="4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3918A6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7344E2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6953A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37A71E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2E397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B212D0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89240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5F6F2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38E797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</w:tr>
      <w:tr w:rsidR="00BD089D" w:rsidRPr="00A07F11" w14:paraId="66A190F3" w14:textId="77777777" w:rsidTr="00454636">
        <w:trPr>
          <w:trHeight w:val="4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C3CACF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4849C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443F2D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386501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7D864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854614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DE2743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94FF71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18848B" w14:textId="77777777" w:rsidR="00BD089D" w:rsidRPr="00A07F11" w:rsidRDefault="00BD089D" w:rsidP="00BD089D">
            <w:pPr>
              <w:rPr>
                <w:color w:val="414142"/>
                <w:lang w:val="lv-LV" w:eastAsia="lv-LV" w:bidi="lo-LA"/>
              </w:rPr>
            </w:pPr>
            <w:r w:rsidRPr="00A07F11">
              <w:rPr>
                <w:color w:val="414142"/>
                <w:lang w:val="lv-LV" w:eastAsia="lv-LV" w:bidi="lo-LA"/>
              </w:rPr>
              <w:t> </w:t>
            </w:r>
          </w:p>
        </w:tc>
      </w:tr>
    </w:tbl>
    <w:p w14:paraId="5F42ACEB" w14:textId="29CB2DAC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b/>
          <w:bCs/>
          <w:color w:val="414142"/>
          <w:sz w:val="28"/>
          <w:szCs w:val="28"/>
          <w:lang w:val="lv-LV" w:eastAsia="lv-LV" w:bidi="lo-LA"/>
        </w:rPr>
      </w:pP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III.</w:t>
      </w:r>
      <w:r w:rsidR="00486554" w:rsidRPr="00A07F11">
        <w:rPr>
          <w:b/>
          <w:bCs/>
          <w:color w:val="414142"/>
          <w:sz w:val="28"/>
          <w:szCs w:val="28"/>
          <w:lang w:val="lv-LV" w:eastAsia="lv-LV" w:bidi="lo-LA"/>
        </w:rPr>
        <w:t> </w:t>
      </w: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Dabasgāzes importēšanas, transportēšanas, uzglabāšanas un realizācijas komersantu iesniedzamie dati</w:t>
      </w:r>
    </w:p>
    <w:p w14:paraId="1BF089C4" w14:textId="77777777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3. 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2"/>
        <w:gridCol w:w="570"/>
        <w:gridCol w:w="571"/>
        <w:gridCol w:w="571"/>
        <w:gridCol w:w="1072"/>
        <w:gridCol w:w="571"/>
        <w:gridCol w:w="571"/>
        <w:gridCol w:w="571"/>
      </w:tblGrid>
      <w:tr w:rsidR="00BD089D" w:rsidRPr="00A07F11" w14:paraId="7697434C" w14:textId="77777777" w:rsidTr="00454636">
        <w:tc>
          <w:tcPr>
            <w:tcW w:w="0" w:type="auto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E1E83C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[gads]</w:t>
            </w:r>
          </w:p>
        </w:tc>
      </w:tr>
      <w:tr w:rsidR="00BD089D" w:rsidRPr="00A07F11" w14:paraId="7F5F9C0F" w14:textId="77777777" w:rsidTr="00454636">
        <w:tc>
          <w:tcPr>
            <w:tcW w:w="25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FDC468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Siltumnīcefekta gāzes noplūdes avots</w:t>
            </w:r>
          </w:p>
        </w:tc>
        <w:tc>
          <w:tcPr>
            <w:tcW w:w="245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647EC1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Siltumnīcefekta gāze (</w:t>
            </w:r>
            <w:proofErr w:type="spellStart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kt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</w:tr>
      <w:tr w:rsidR="00BD089D" w:rsidRPr="00A07F11" w14:paraId="5202F1F4" w14:textId="77777777" w:rsidTr="004546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F2E58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5B8205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CH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4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97D2D6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CO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800720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O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9E36F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NMGOS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02BA7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proofErr w:type="spellStart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NO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x</w:t>
            </w:r>
            <w:proofErr w:type="spellEnd"/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8771CC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CO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256791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SO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</w:p>
        </w:tc>
      </w:tr>
      <w:tr w:rsidR="00BD089D" w:rsidRPr="00A07F11" w14:paraId="288FE615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08F40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Kontrolētās noplūdes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86C14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B2A47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5CBFA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32242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A1602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F39C2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BA5D0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65E14B69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7A75D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 Kontrolētās noplūdes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Venting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088F0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62EC8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90F3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69D43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006D3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6AF2C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EFC83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7939FACF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16DC0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Nekontrolētās noplūdes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3CD0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DEB47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BDB7A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3B88F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032D6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F1739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EBC03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483BABA4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57C89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iii 4 Pārvade un uzglabāšana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Transmission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and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storage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B635C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39B14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524A5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FB6EE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DB93A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BB41E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DD3B6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10458B3A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347D4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4.1. Pārvade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Transmission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B710A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073DF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E148B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B00EA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2F7CB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CFE36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54A4D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5D43C774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FAFAE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4.2. Uzglabāšana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Storage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791B2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149FA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3ECCA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EC2F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CB625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87815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78B1A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7ABEB502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47960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iii 5 Sadales tīkli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Distribution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53E2D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32FAF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D2EF4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3197D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9BA772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736FB2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90CAB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68416B92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3313B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iii 6 Citas izplūdes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Other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878B2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F30C5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2C9C5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77739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99405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45379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71B53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25B55611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C8BE8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6.1. Rūpniecības uzņēmumos un spēkstacijās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At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industrial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plants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and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power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stations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41BF2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4FC012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88382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DED9D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57738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8EAB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528B4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2ACC4AF1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B3A40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6.2. Mājsaimniecībās un tirdzniecības sektoros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In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residential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and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commercial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sectors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A7FF2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F3480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1E8FA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7AD1F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D5BCB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B54CA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49DDB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11A1A62C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63CAA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Kopējais noplūžu daudzums (</w:t>
            </w:r>
            <w:proofErr w:type="spellStart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kt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):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615C7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25940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ABC27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50B38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47A3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D17BF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D0FB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</w:tbl>
    <w:p w14:paraId="017097AA" w14:textId="620624F3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4.</w:t>
      </w:r>
      <w:r w:rsidR="00486554" w:rsidRPr="00A07F11">
        <w:rPr>
          <w:color w:val="414142"/>
          <w:sz w:val="28"/>
          <w:szCs w:val="28"/>
          <w:lang w:val="lv-LV" w:eastAsia="lv-LV" w:bidi="lo-LA"/>
        </w:rPr>
        <w:t> </w:t>
      </w:r>
      <w:r w:rsidRPr="00A07F11">
        <w:rPr>
          <w:color w:val="414142"/>
          <w:sz w:val="28"/>
          <w:szCs w:val="28"/>
          <w:lang w:val="lv-LV" w:eastAsia="lv-LV" w:bidi="lo-LA"/>
        </w:rPr>
        <w:t>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2"/>
        <w:gridCol w:w="570"/>
        <w:gridCol w:w="571"/>
        <w:gridCol w:w="571"/>
        <w:gridCol w:w="1072"/>
        <w:gridCol w:w="571"/>
        <w:gridCol w:w="571"/>
        <w:gridCol w:w="571"/>
      </w:tblGrid>
      <w:tr w:rsidR="00BD089D" w:rsidRPr="00A07F11" w14:paraId="0EF93B27" w14:textId="77777777" w:rsidTr="00454636">
        <w:tc>
          <w:tcPr>
            <w:tcW w:w="0" w:type="auto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7718A4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[gads]</w:t>
            </w:r>
          </w:p>
        </w:tc>
      </w:tr>
      <w:tr w:rsidR="00BD089D" w:rsidRPr="00A07F11" w14:paraId="45FFB2C4" w14:textId="77777777" w:rsidTr="00454636">
        <w:tc>
          <w:tcPr>
            <w:tcW w:w="25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5EF182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Siltumnīcefekta gāzes noplūdes avots</w:t>
            </w:r>
          </w:p>
        </w:tc>
        <w:tc>
          <w:tcPr>
            <w:tcW w:w="245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63AD63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Noplūžu apjoms (m</w:t>
            </w:r>
            <w:r w:rsidRPr="00A07F11">
              <w:rPr>
                <w:color w:val="414142"/>
                <w:sz w:val="28"/>
                <w:szCs w:val="28"/>
                <w:vertAlign w:val="superscript"/>
                <w:lang w:val="lv-LV" w:eastAsia="lv-LV" w:bidi="lo-LA"/>
              </w:rPr>
              <w:t>3</w:t>
            </w: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</w:tr>
      <w:tr w:rsidR="00BD089D" w:rsidRPr="00A07F11" w14:paraId="6DCE2199" w14:textId="77777777" w:rsidTr="004546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79D02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338F42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CH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4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0BB336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CO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E70F75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O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48EA79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NMGOS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57FE2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proofErr w:type="spellStart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NO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x</w:t>
            </w:r>
            <w:proofErr w:type="spellEnd"/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BEAC23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CO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DE7F80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SO</w:t>
            </w:r>
            <w:r w:rsidRPr="00A07F11">
              <w:rPr>
                <w:color w:val="414142"/>
                <w:sz w:val="28"/>
                <w:szCs w:val="28"/>
                <w:bdr w:val="none" w:sz="0" w:space="0" w:color="auto" w:frame="1"/>
                <w:vertAlign w:val="subscript"/>
                <w:lang w:val="lv-LV" w:eastAsia="lv-LV" w:bidi="lo-LA"/>
              </w:rPr>
              <w:t>2</w:t>
            </w:r>
          </w:p>
        </w:tc>
      </w:tr>
      <w:tr w:rsidR="00BD089D" w:rsidRPr="00A07F11" w14:paraId="3CE4506E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EBCB1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Kontrolētās noplūdes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DB096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0451F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C853C2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41FEB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55FA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C3C48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57BC6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7DF4A179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EE539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 Kontrolētās noplūdes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Venting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9BA92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47506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E43F5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5E776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173D8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A023B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7A5E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6E6F23C8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E3AA4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Nekontrolētās noplūdes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07268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5CE0C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27274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B911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98CF6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A86C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F155A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4A665956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BC9A2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lastRenderedPageBreak/>
              <w:t>1 B 2 b iii 4 Pārvade un uzglabāšana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Transmission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and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storage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71C22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32F83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6819F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B9BC8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1602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538AD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025AE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6BD61A49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7E170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4.1. Pārvade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Transmission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4638C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FC8D2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BFAB6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F0B3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FD5E4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6667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66B90D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73B1043D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BB584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4.2. Uzglabāšana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Storage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3796D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A3265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02250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53668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90C22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7510B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0FC97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43479627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FC9DD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iii 5 Sadales tīkli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Distribution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3FD00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1C08E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8EBC3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D7878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78634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85449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A5AF6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79FDB864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5840C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1 B 2 b iii 6 Citas izplūdes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Other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BA716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E5FF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D3E91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A0C0F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1869E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A37B0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B40A5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4E939A2B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97E02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6.1. Rūpniecības uzņēmumos un spēkstacijās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At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industrial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plants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and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power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stations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7EC32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12B07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08059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CC5011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289BE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F2C7C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E6568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66AABF6B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8E44F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6.2. Mājsaimniecībās un tirdzniecības sektoros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In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residential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and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commercial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sectors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F81C9B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6E499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09F32F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C316F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53A5E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0FF837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B22E6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  <w:tr w:rsidR="00BD089D" w:rsidRPr="00A07F11" w14:paraId="36AC9898" w14:textId="77777777" w:rsidTr="00454636"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7E46E9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Kopējais noplūžu daudzums (m</w:t>
            </w:r>
            <w:r w:rsidRPr="00A07F11">
              <w:rPr>
                <w:color w:val="414142"/>
                <w:sz w:val="28"/>
                <w:szCs w:val="28"/>
                <w:vertAlign w:val="superscript"/>
                <w:lang w:val="lv-LV" w:eastAsia="lv-LV" w:bidi="lo-LA"/>
              </w:rPr>
              <w:t>3</w:t>
            </w: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):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7326B8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A14505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E1CB6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44E830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8C5512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A8995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10482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</w:tbl>
    <w:p w14:paraId="1666E14E" w14:textId="77777777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5. 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0"/>
        <w:gridCol w:w="1833"/>
        <w:gridCol w:w="2739"/>
        <w:gridCol w:w="2287"/>
      </w:tblGrid>
      <w:tr w:rsidR="00BD089D" w:rsidRPr="00A07F11" w14:paraId="23308A96" w14:textId="77777777" w:rsidTr="00454636"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DE17E6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right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Dati</w:t>
            </w:r>
          </w:p>
          <w:p w14:paraId="7A478C9F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noProof/>
                <w:color w:val="414142"/>
                <w:sz w:val="28"/>
                <w:szCs w:val="28"/>
                <w:lang w:val="lv-LV" w:eastAsia="lv-LV" w:bidi="lo-LA"/>
              </w:rPr>
              <w:drawing>
                <wp:inline distT="0" distB="0" distL="0" distR="0" wp14:anchorId="305DEA30" wp14:editId="1DEE111A">
                  <wp:extent cx="1352550" cy="133350"/>
                  <wp:effectExtent l="0" t="0" r="0" b="0"/>
                  <wp:docPr id="3" name="Picture 3" descr="https://likumi.lv/wwwraksti/2017/249/BILDES/LINIJA_LEJ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7/249/BILDES/LINIJA_LEJ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AA733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Gads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1D17AF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Oglekļa saturs (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carbon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content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 %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26B58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Zemākais sadegšanas siltums (</w:t>
            </w:r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net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calorific</w:t>
            </w:r>
            <w:proofErr w:type="spellEnd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 xml:space="preserve"> </w:t>
            </w:r>
            <w:proofErr w:type="spellStart"/>
            <w:r w:rsidRPr="00A07F11">
              <w:rPr>
                <w:i/>
                <w:iCs/>
                <w:color w:val="414142"/>
                <w:sz w:val="28"/>
                <w:szCs w:val="28"/>
                <w:lang w:val="lv-LV" w:eastAsia="lv-LV" w:bidi="lo-LA"/>
              </w:rPr>
              <w:t>value</w:t>
            </w:r>
            <w:proofErr w:type="spellEnd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 TJ/</w:t>
            </w:r>
            <w:proofErr w:type="spellStart"/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kt</w:t>
            </w:r>
            <w:proofErr w:type="spellEnd"/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7CCF7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Dabasgāzes blīvums t/1000m</w:t>
            </w:r>
            <w:r w:rsidRPr="00A07F11">
              <w:rPr>
                <w:color w:val="414142"/>
                <w:sz w:val="28"/>
                <w:szCs w:val="28"/>
                <w:vertAlign w:val="superscript"/>
                <w:lang w:val="lv-LV" w:eastAsia="lv-LV" w:bidi="lo-LA"/>
              </w:rPr>
              <w:t>3</w:t>
            </w:r>
          </w:p>
        </w:tc>
      </w:tr>
      <w:tr w:rsidR="00BD089D" w:rsidRPr="00A07F11" w14:paraId="5F534041" w14:textId="77777777" w:rsidTr="00454636">
        <w:trPr>
          <w:trHeight w:val="405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415B5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A9B1C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FD4DFA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A52A43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</w:tbl>
    <w:p w14:paraId="17D4D761" w14:textId="77777777" w:rsidR="00BD089D" w:rsidRPr="00A07F11" w:rsidRDefault="00BD089D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b/>
          <w:bCs/>
          <w:color w:val="414142"/>
          <w:sz w:val="28"/>
          <w:szCs w:val="28"/>
          <w:lang w:val="lv-LV" w:eastAsia="lv-LV" w:bidi="lo-LA"/>
        </w:rPr>
      </w:pPr>
      <w:r w:rsidRPr="00A07F11">
        <w:rPr>
          <w:b/>
          <w:bCs/>
          <w:color w:val="414142"/>
          <w:sz w:val="28"/>
          <w:szCs w:val="28"/>
          <w:lang w:val="lv-LV" w:eastAsia="lv-LV" w:bidi="lo-LA"/>
        </w:rPr>
        <w:t>V. Notekūdeņu dūņu gāzes (ražotāju un izmantotāju komersantu) iesniedzamie dati</w:t>
      </w:r>
    </w:p>
    <w:p w14:paraId="5B576EF1" w14:textId="5B23E898" w:rsidR="00BD089D" w:rsidRPr="00A07F11" w:rsidRDefault="004567AE" w:rsidP="00BD089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8"/>
          <w:szCs w:val="28"/>
          <w:lang w:val="lv-LV" w:eastAsia="lv-LV" w:bidi="lo-LA"/>
        </w:rPr>
      </w:pPr>
      <w:r w:rsidRPr="00A07F11">
        <w:rPr>
          <w:color w:val="414142"/>
          <w:sz w:val="28"/>
          <w:szCs w:val="28"/>
          <w:lang w:val="lv-LV" w:eastAsia="lv-LV" w:bidi="lo-LA"/>
        </w:rPr>
        <w:t>6</w:t>
      </w:r>
      <w:r w:rsidR="00BD089D" w:rsidRPr="00A07F11">
        <w:rPr>
          <w:color w:val="414142"/>
          <w:sz w:val="28"/>
          <w:szCs w:val="28"/>
          <w:lang w:val="lv-LV" w:eastAsia="lv-LV" w:bidi="lo-LA"/>
        </w:rPr>
        <w:t>. 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0"/>
        <w:gridCol w:w="2705"/>
        <w:gridCol w:w="4154"/>
      </w:tblGrid>
      <w:tr w:rsidR="00BD089D" w:rsidRPr="00A07F11" w14:paraId="7FD2F8FF" w14:textId="77777777" w:rsidTr="004546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47F110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right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Dati</w:t>
            </w:r>
          </w:p>
          <w:p w14:paraId="16F7C0AA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noProof/>
                <w:color w:val="414142"/>
                <w:sz w:val="28"/>
                <w:szCs w:val="28"/>
                <w:lang w:val="lv-LV" w:eastAsia="lv-LV" w:bidi="lo-LA"/>
              </w:rPr>
              <w:drawing>
                <wp:inline distT="0" distB="0" distL="0" distR="0" wp14:anchorId="5112C7DE" wp14:editId="588A7D0B">
                  <wp:extent cx="1352550" cy="133350"/>
                  <wp:effectExtent l="0" t="0" r="0" b="0"/>
                  <wp:docPr id="4" name="Picture 4" descr="https://likumi.lv/wwwraksti/2017/249/BILDES/LINIJA_LEJ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ikumi.lv/wwwraksti/2017/249/BILDES/LINIJA_LEJ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70908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Gads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12587D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Metāna saturs gāzē (%)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D9926B" w14:textId="77777777" w:rsidR="00BD089D" w:rsidRPr="00A07F11" w:rsidRDefault="00BD089D" w:rsidP="00BD089D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Sadedzinātās gāzes daudzums (m</w:t>
            </w:r>
            <w:r w:rsidRPr="00A07F11">
              <w:rPr>
                <w:color w:val="414142"/>
                <w:sz w:val="28"/>
                <w:szCs w:val="28"/>
                <w:vertAlign w:val="superscript"/>
                <w:lang w:val="lv-LV" w:eastAsia="lv-LV" w:bidi="lo-LA"/>
              </w:rPr>
              <w:t>3</w:t>
            </w: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)</w:t>
            </w:r>
          </w:p>
        </w:tc>
      </w:tr>
      <w:tr w:rsidR="00BD089D" w:rsidRPr="00A07F11" w14:paraId="761B9594" w14:textId="77777777" w:rsidTr="00454636">
        <w:trPr>
          <w:trHeight w:val="405"/>
        </w:trPr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A73E94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189BFE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52C26" w14:textId="77777777" w:rsidR="00BD089D" w:rsidRPr="00A07F11" w:rsidRDefault="00BD089D" w:rsidP="00BD089D">
            <w:pPr>
              <w:rPr>
                <w:color w:val="414142"/>
                <w:sz w:val="28"/>
                <w:szCs w:val="28"/>
                <w:lang w:val="lv-LV" w:eastAsia="lv-LV" w:bidi="lo-LA"/>
              </w:rPr>
            </w:pPr>
            <w:r w:rsidRPr="00A07F11">
              <w:rPr>
                <w:color w:val="414142"/>
                <w:sz w:val="28"/>
                <w:szCs w:val="28"/>
                <w:lang w:val="lv-LV" w:eastAsia="lv-LV" w:bidi="lo-LA"/>
              </w:rPr>
              <w:t> </w:t>
            </w:r>
          </w:p>
        </w:tc>
      </w:tr>
    </w:tbl>
    <w:p w14:paraId="1B463E90" w14:textId="77777777" w:rsidR="00BD089D" w:rsidRPr="00A07F11" w:rsidRDefault="00BD089D" w:rsidP="00BD089D">
      <w:pPr>
        <w:shd w:val="clear" w:color="auto" w:fill="FFFFFF"/>
        <w:jc w:val="right"/>
        <w:rPr>
          <w:color w:val="414142"/>
          <w:sz w:val="28"/>
          <w:szCs w:val="28"/>
          <w:lang w:val="lv-LV" w:eastAsia="lv-LV" w:bidi="lo-LA"/>
        </w:rPr>
      </w:pPr>
    </w:p>
    <w:p w14:paraId="1AA51927" w14:textId="77777777" w:rsidR="00D902B2" w:rsidRDefault="00D902B2" w:rsidP="00D2667A">
      <w:pPr>
        <w:pStyle w:val="Title"/>
        <w:jc w:val="both"/>
        <w:outlineLvl w:val="0"/>
      </w:pPr>
    </w:p>
    <w:p w14:paraId="1B552B0E" w14:textId="22C3E08E" w:rsidR="00D2667A" w:rsidRDefault="00D2667A" w:rsidP="00D2667A">
      <w:pPr>
        <w:pStyle w:val="Title"/>
        <w:jc w:val="both"/>
        <w:outlineLvl w:val="0"/>
      </w:pPr>
      <w:r>
        <w:t xml:space="preserve">Vides aizsardzības un reģionālās </w:t>
      </w:r>
    </w:p>
    <w:p w14:paraId="3F1DABB7" w14:textId="5923E612" w:rsidR="00D2667A" w:rsidRDefault="00AA1C90" w:rsidP="00D2667A">
      <w:pPr>
        <w:pStyle w:val="Title"/>
        <w:jc w:val="both"/>
        <w:outlineLvl w:val="0"/>
      </w:pPr>
      <w:r>
        <w:t xml:space="preserve">attīstības </w:t>
      </w:r>
      <w:r w:rsidR="00357CFD">
        <w:t xml:space="preserve">ministrijas ministrs </w:t>
      </w:r>
      <w:r w:rsidR="00357CFD">
        <w:tab/>
      </w:r>
      <w:r w:rsidR="00357CFD">
        <w:tab/>
      </w:r>
      <w:r w:rsidR="00357CFD">
        <w:tab/>
      </w:r>
      <w:r w:rsidR="00357CFD">
        <w:tab/>
      </w:r>
      <w:r w:rsidR="00357CFD">
        <w:tab/>
      </w:r>
      <w:r w:rsidR="00357CFD">
        <w:tab/>
      </w:r>
      <w:r w:rsidR="00357CFD">
        <w:tab/>
      </w:r>
      <w:proofErr w:type="spellStart"/>
      <w:r>
        <w:t>A.T.Plešs</w:t>
      </w:r>
      <w:proofErr w:type="spellEnd"/>
    </w:p>
    <w:p w14:paraId="4132F7F5" w14:textId="77777777" w:rsidR="00D902B2" w:rsidRDefault="00D902B2" w:rsidP="00D902B2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F3787A" w14:textId="40DA99FC" w:rsidR="00D902B2" w:rsidRPr="00D902B2" w:rsidRDefault="006645B2" w:rsidP="00D902B2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="00D902B2" w:rsidRPr="00D902B2">
        <w:rPr>
          <w:rFonts w:ascii="Times New Roman" w:hAnsi="Times New Roman"/>
          <w:sz w:val="20"/>
          <w:szCs w:val="20"/>
        </w:rPr>
        <w:t xml:space="preserve">.12.2020 </w:t>
      </w:r>
    </w:p>
    <w:p w14:paraId="0C61E219" w14:textId="3F540EDA" w:rsidR="00D902B2" w:rsidRPr="00D902B2" w:rsidRDefault="00D902B2" w:rsidP="00D902B2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  <w:r w:rsidRPr="00D902B2">
        <w:rPr>
          <w:rFonts w:ascii="Times New Roman" w:hAnsi="Times New Roman"/>
          <w:sz w:val="20"/>
          <w:szCs w:val="20"/>
        </w:rPr>
        <w:t>9</w:t>
      </w:r>
      <w:r w:rsidR="00357CFD">
        <w:rPr>
          <w:rFonts w:ascii="Times New Roman" w:hAnsi="Times New Roman"/>
          <w:sz w:val="20"/>
          <w:szCs w:val="20"/>
        </w:rPr>
        <w:t>53</w:t>
      </w:r>
    </w:p>
    <w:p w14:paraId="222BA3A3" w14:textId="77777777" w:rsidR="00D902B2" w:rsidRPr="00D902B2" w:rsidRDefault="00D902B2" w:rsidP="00D902B2">
      <w:pPr>
        <w:pStyle w:val="BodyText"/>
        <w:spacing w:after="0" w:line="240" w:lineRule="auto"/>
        <w:rPr>
          <w:rFonts w:ascii="Times New Roman" w:hAnsi="Times New Roman"/>
          <w:sz w:val="20"/>
          <w:szCs w:val="20"/>
        </w:rPr>
      </w:pPr>
      <w:r w:rsidRPr="00D902B2">
        <w:rPr>
          <w:rFonts w:ascii="Times New Roman" w:hAnsi="Times New Roman"/>
          <w:sz w:val="20"/>
          <w:szCs w:val="20"/>
        </w:rPr>
        <w:t>Gancone 67026495</w:t>
      </w:r>
    </w:p>
    <w:p w14:paraId="238499C7" w14:textId="57E5D849" w:rsidR="00B05A23" w:rsidRPr="00A07F11" w:rsidRDefault="00D902B2" w:rsidP="00D509CD">
      <w:r>
        <w:rPr>
          <w:sz w:val="20"/>
          <w:szCs w:val="20"/>
        </w:rPr>
        <w:t>agita.gancone@varam.gov.lv</w:t>
      </w:r>
    </w:p>
    <w:sectPr w:rsidR="00B05A23" w:rsidRPr="00A07F11" w:rsidSect="00A2631E">
      <w:headerReference w:type="default" r:id="rId9"/>
      <w:footerReference w:type="default" r:id="rId10"/>
      <w:pgSz w:w="11900" w:h="16840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041A" w14:textId="77777777" w:rsidR="000906ED" w:rsidRDefault="000906ED" w:rsidP="00E6724F">
      <w:r>
        <w:separator/>
      </w:r>
    </w:p>
  </w:endnote>
  <w:endnote w:type="continuationSeparator" w:id="0">
    <w:p w14:paraId="688A739C" w14:textId="77777777" w:rsidR="000906ED" w:rsidRDefault="000906ED" w:rsidP="00E6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59CB" w14:textId="62159CDB" w:rsidR="00E6724F" w:rsidRPr="00E6724F" w:rsidRDefault="00E6724F">
    <w:pPr>
      <w:pStyle w:val="Footer"/>
      <w:rPr>
        <w:sz w:val="20"/>
        <w:szCs w:val="20"/>
      </w:rPr>
    </w:pPr>
    <w:r w:rsidRPr="00E6724F">
      <w:rPr>
        <w:sz w:val="20"/>
        <w:szCs w:val="20"/>
      </w:rPr>
      <w:fldChar w:fldCharType="begin"/>
    </w:r>
    <w:r w:rsidRPr="00E6724F">
      <w:rPr>
        <w:sz w:val="20"/>
        <w:szCs w:val="20"/>
        <w:lang w:val="lv-LV"/>
      </w:rPr>
      <w:instrText xml:space="preserve"> FILENAME \* MERGEFORMAT </w:instrText>
    </w:r>
    <w:r w:rsidRPr="00E6724F">
      <w:rPr>
        <w:sz w:val="20"/>
        <w:szCs w:val="20"/>
      </w:rPr>
      <w:fldChar w:fldCharType="separate"/>
    </w:r>
    <w:r w:rsidR="0091050A">
      <w:rPr>
        <w:noProof/>
        <w:sz w:val="20"/>
        <w:szCs w:val="20"/>
        <w:lang w:val="lv-LV"/>
      </w:rPr>
      <w:t>VARAMNot_Groz_28122020_Groz737</w:t>
    </w:r>
    <w:r w:rsidRPr="00E6724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5513" w14:textId="77777777" w:rsidR="000906ED" w:rsidRDefault="000906ED" w:rsidP="00E6724F">
      <w:r>
        <w:separator/>
      </w:r>
    </w:p>
  </w:footnote>
  <w:footnote w:type="continuationSeparator" w:id="0">
    <w:p w14:paraId="05DD3984" w14:textId="77777777" w:rsidR="000906ED" w:rsidRDefault="000906ED" w:rsidP="00E6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8648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ABB42" w14:textId="2B89BDD2" w:rsidR="008C6696" w:rsidRDefault="008C66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BA24F8" w14:textId="77777777" w:rsidR="008C6696" w:rsidRDefault="008C6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F0D14"/>
    <w:multiLevelType w:val="hybridMultilevel"/>
    <w:tmpl w:val="56F219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32B4"/>
    <w:multiLevelType w:val="multilevel"/>
    <w:tmpl w:val="C61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A1014"/>
    <w:multiLevelType w:val="hybridMultilevel"/>
    <w:tmpl w:val="4F68CFB0"/>
    <w:lvl w:ilvl="0" w:tplc="87A2B9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EB274A"/>
    <w:multiLevelType w:val="hybridMultilevel"/>
    <w:tmpl w:val="44D4FE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6790"/>
    <w:multiLevelType w:val="hybridMultilevel"/>
    <w:tmpl w:val="1D280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51DF"/>
    <w:multiLevelType w:val="hybridMultilevel"/>
    <w:tmpl w:val="4DC4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62"/>
    <w:rsid w:val="00014653"/>
    <w:rsid w:val="000232DF"/>
    <w:rsid w:val="000360D2"/>
    <w:rsid w:val="00050781"/>
    <w:rsid w:val="00081212"/>
    <w:rsid w:val="000906ED"/>
    <w:rsid w:val="00095971"/>
    <w:rsid w:val="000B331E"/>
    <w:rsid w:val="000B70D9"/>
    <w:rsid w:val="000C2ECF"/>
    <w:rsid w:val="000E3C22"/>
    <w:rsid w:val="000E5049"/>
    <w:rsid w:val="000E51EA"/>
    <w:rsid w:val="000E639E"/>
    <w:rsid w:val="00100763"/>
    <w:rsid w:val="00130307"/>
    <w:rsid w:val="00130995"/>
    <w:rsid w:val="00131699"/>
    <w:rsid w:val="0013220B"/>
    <w:rsid w:val="00141B75"/>
    <w:rsid w:val="00151325"/>
    <w:rsid w:val="00160718"/>
    <w:rsid w:val="00163FD6"/>
    <w:rsid w:val="00166025"/>
    <w:rsid w:val="0017191C"/>
    <w:rsid w:val="00182E90"/>
    <w:rsid w:val="00192E2F"/>
    <w:rsid w:val="00197C8E"/>
    <w:rsid w:val="001A102C"/>
    <w:rsid w:val="001A1D3F"/>
    <w:rsid w:val="001A6777"/>
    <w:rsid w:val="001B06AB"/>
    <w:rsid w:val="001C1126"/>
    <w:rsid w:val="001C45BC"/>
    <w:rsid w:val="001D4976"/>
    <w:rsid w:val="001D7544"/>
    <w:rsid w:val="001D789B"/>
    <w:rsid w:val="001E3F4E"/>
    <w:rsid w:val="001E7502"/>
    <w:rsid w:val="001E7603"/>
    <w:rsid w:val="001F368F"/>
    <w:rsid w:val="001F3D63"/>
    <w:rsid w:val="001F6093"/>
    <w:rsid w:val="00203C92"/>
    <w:rsid w:val="0020797F"/>
    <w:rsid w:val="00210D1B"/>
    <w:rsid w:val="00213420"/>
    <w:rsid w:val="00214576"/>
    <w:rsid w:val="002211B9"/>
    <w:rsid w:val="00224331"/>
    <w:rsid w:val="00231214"/>
    <w:rsid w:val="00245F5B"/>
    <w:rsid w:val="002511F2"/>
    <w:rsid w:val="00263868"/>
    <w:rsid w:val="002700A6"/>
    <w:rsid w:val="00277325"/>
    <w:rsid w:val="00281B4C"/>
    <w:rsid w:val="00282286"/>
    <w:rsid w:val="00286AA8"/>
    <w:rsid w:val="002A56F7"/>
    <w:rsid w:val="002A6EC2"/>
    <w:rsid w:val="002B0E94"/>
    <w:rsid w:val="002B50E3"/>
    <w:rsid w:val="002C295E"/>
    <w:rsid w:val="002C708C"/>
    <w:rsid w:val="002D631A"/>
    <w:rsid w:val="002D6CA1"/>
    <w:rsid w:val="002E5176"/>
    <w:rsid w:val="002F2D25"/>
    <w:rsid w:val="002F4910"/>
    <w:rsid w:val="003061B8"/>
    <w:rsid w:val="00313EB2"/>
    <w:rsid w:val="0032143F"/>
    <w:rsid w:val="0032651D"/>
    <w:rsid w:val="0032689F"/>
    <w:rsid w:val="00335C69"/>
    <w:rsid w:val="0034254A"/>
    <w:rsid w:val="00344CB9"/>
    <w:rsid w:val="00351400"/>
    <w:rsid w:val="00353063"/>
    <w:rsid w:val="0035397B"/>
    <w:rsid w:val="00357CFD"/>
    <w:rsid w:val="00362379"/>
    <w:rsid w:val="00367CF1"/>
    <w:rsid w:val="003715F9"/>
    <w:rsid w:val="00371E98"/>
    <w:rsid w:val="00376846"/>
    <w:rsid w:val="003806EC"/>
    <w:rsid w:val="00385F84"/>
    <w:rsid w:val="00390FE5"/>
    <w:rsid w:val="003A2FBF"/>
    <w:rsid w:val="003A3551"/>
    <w:rsid w:val="003B3E06"/>
    <w:rsid w:val="003C04FC"/>
    <w:rsid w:val="003D21B6"/>
    <w:rsid w:val="003D31A1"/>
    <w:rsid w:val="003E4CE8"/>
    <w:rsid w:val="003E58CF"/>
    <w:rsid w:val="00410574"/>
    <w:rsid w:val="00416462"/>
    <w:rsid w:val="00420E0B"/>
    <w:rsid w:val="0042217A"/>
    <w:rsid w:val="00431338"/>
    <w:rsid w:val="00432265"/>
    <w:rsid w:val="00436B94"/>
    <w:rsid w:val="00443D62"/>
    <w:rsid w:val="00447E67"/>
    <w:rsid w:val="00452227"/>
    <w:rsid w:val="004567AE"/>
    <w:rsid w:val="00457D52"/>
    <w:rsid w:val="004615A0"/>
    <w:rsid w:val="00464647"/>
    <w:rsid w:val="00486554"/>
    <w:rsid w:val="00487621"/>
    <w:rsid w:val="004A038F"/>
    <w:rsid w:val="004A6BDF"/>
    <w:rsid w:val="004B3725"/>
    <w:rsid w:val="004C2B27"/>
    <w:rsid w:val="004C3A83"/>
    <w:rsid w:val="004C41D0"/>
    <w:rsid w:val="004D3DDF"/>
    <w:rsid w:val="004D5DE8"/>
    <w:rsid w:val="004F5AD6"/>
    <w:rsid w:val="004F6014"/>
    <w:rsid w:val="005070A8"/>
    <w:rsid w:val="005223C9"/>
    <w:rsid w:val="00523C14"/>
    <w:rsid w:val="005241A3"/>
    <w:rsid w:val="005256FC"/>
    <w:rsid w:val="0053277F"/>
    <w:rsid w:val="00534DE3"/>
    <w:rsid w:val="00547C53"/>
    <w:rsid w:val="00551213"/>
    <w:rsid w:val="005530FC"/>
    <w:rsid w:val="00560700"/>
    <w:rsid w:val="00566A87"/>
    <w:rsid w:val="00566F0A"/>
    <w:rsid w:val="00566F65"/>
    <w:rsid w:val="0057472C"/>
    <w:rsid w:val="005A0C73"/>
    <w:rsid w:val="005A1B0C"/>
    <w:rsid w:val="005A61B5"/>
    <w:rsid w:val="005B2AEB"/>
    <w:rsid w:val="005D0F68"/>
    <w:rsid w:val="005D6AF4"/>
    <w:rsid w:val="005E22E2"/>
    <w:rsid w:val="005F3464"/>
    <w:rsid w:val="005F5497"/>
    <w:rsid w:val="005F6E82"/>
    <w:rsid w:val="00604C48"/>
    <w:rsid w:val="00624DBF"/>
    <w:rsid w:val="00631DE6"/>
    <w:rsid w:val="00640CE4"/>
    <w:rsid w:val="0064569C"/>
    <w:rsid w:val="006468F8"/>
    <w:rsid w:val="00652B98"/>
    <w:rsid w:val="006645B2"/>
    <w:rsid w:val="0067105F"/>
    <w:rsid w:val="00674BA5"/>
    <w:rsid w:val="006A0E21"/>
    <w:rsid w:val="006B3251"/>
    <w:rsid w:val="006C3D4A"/>
    <w:rsid w:val="006C5C6E"/>
    <w:rsid w:val="006D250C"/>
    <w:rsid w:val="006D339A"/>
    <w:rsid w:val="006D4F5F"/>
    <w:rsid w:val="006D66AC"/>
    <w:rsid w:val="006E1839"/>
    <w:rsid w:val="006E75D7"/>
    <w:rsid w:val="006F0FF2"/>
    <w:rsid w:val="006F154F"/>
    <w:rsid w:val="006F24E2"/>
    <w:rsid w:val="007008A0"/>
    <w:rsid w:val="00711137"/>
    <w:rsid w:val="007140CF"/>
    <w:rsid w:val="00724277"/>
    <w:rsid w:val="007303B8"/>
    <w:rsid w:val="00733BE6"/>
    <w:rsid w:val="007401B4"/>
    <w:rsid w:val="0076013A"/>
    <w:rsid w:val="00763C43"/>
    <w:rsid w:val="0076686E"/>
    <w:rsid w:val="00775AE5"/>
    <w:rsid w:val="007855A6"/>
    <w:rsid w:val="0078675D"/>
    <w:rsid w:val="0079413B"/>
    <w:rsid w:val="007963D2"/>
    <w:rsid w:val="007B2C7F"/>
    <w:rsid w:val="007B5D97"/>
    <w:rsid w:val="007C499F"/>
    <w:rsid w:val="007C4AF5"/>
    <w:rsid w:val="007D64DC"/>
    <w:rsid w:val="007D68EC"/>
    <w:rsid w:val="007D713E"/>
    <w:rsid w:val="007E40DB"/>
    <w:rsid w:val="008029E0"/>
    <w:rsid w:val="0080466F"/>
    <w:rsid w:val="00814D9F"/>
    <w:rsid w:val="0081534A"/>
    <w:rsid w:val="008163AF"/>
    <w:rsid w:val="0082178A"/>
    <w:rsid w:val="00824130"/>
    <w:rsid w:val="0082497D"/>
    <w:rsid w:val="00832A76"/>
    <w:rsid w:val="00833516"/>
    <w:rsid w:val="00834752"/>
    <w:rsid w:val="00840F13"/>
    <w:rsid w:val="0084400B"/>
    <w:rsid w:val="00866762"/>
    <w:rsid w:val="008725AE"/>
    <w:rsid w:val="00872D51"/>
    <w:rsid w:val="00883F8E"/>
    <w:rsid w:val="008B2339"/>
    <w:rsid w:val="008C368D"/>
    <w:rsid w:val="008C6696"/>
    <w:rsid w:val="008C706A"/>
    <w:rsid w:val="008E7E75"/>
    <w:rsid w:val="008F5DC3"/>
    <w:rsid w:val="00902537"/>
    <w:rsid w:val="009079FC"/>
    <w:rsid w:val="0091050A"/>
    <w:rsid w:val="00934076"/>
    <w:rsid w:val="00942614"/>
    <w:rsid w:val="00947AD1"/>
    <w:rsid w:val="00950CC5"/>
    <w:rsid w:val="009551D5"/>
    <w:rsid w:val="00960F5A"/>
    <w:rsid w:val="00970DE0"/>
    <w:rsid w:val="00984E5B"/>
    <w:rsid w:val="009926ED"/>
    <w:rsid w:val="00993CB4"/>
    <w:rsid w:val="0099719B"/>
    <w:rsid w:val="009A1AAA"/>
    <w:rsid w:val="009A4542"/>
    <w:rsid w:val="009A766A"/>
    <w:rsid w:val="009E786C"/>
    <w:rsid w:val="009E7F96"/>
    <w:rsid w:val="009F262A"/>
    <w:rsid w:val="00A016D0"/>
    <w:rsid w:val="00A06387"/>
    <w:rsid w:val="00A07F11"/>
    <w:rsid w:val="00A13C43"/>
    <w:rsid w:val="00A15052"/>
    <w:rsid w:val="00A16BC4"/>
    <w:rsid w:val="00A2379F"/>
    <w:rsid w:val="00A23E17"/>
    <w:rsid w:val="00A24034"/>
    <w:rsid w:val="00A2631E"/>
    <w:rsid w:val="00A30D0E"/>
    <w:rsid w:val="00A31BD6"/>
    <w:rsid w:val="00A32889"/>
    <w:rsid w:val="00A34432"/>
    <w:rsid w:val="00A42092"/>
    <w:rsid w:val="00A44D18"/>
    <w:rsid w:val="00A545DC"/>
    <w:rsid w:val="00A63E4B"/>
    <w:rsid w:val="00A87605"/>
    <w:rsid w:val="00AA1C90"/>
    <w:rsid w:val="00AA316F"/>
    <w:rsid w:val="00AA5C81"/>
    <w:rsid w:val="00AB421B"/>
    <w:rsid w:val="00AC06A7"/>
    <w:rsid w:val="00AC65D9"/>
    <w:rsid w:val="00AC7B28"/>
    <w:rsid w:val="00AD13AB"/>
    <w:rsid w:val="00AE29BE"/>
    <w:rsid w:val="00B031C4"/>
    <w:rsid w:val="00B05A23"/>
    <w:rsid w:val="00B14B0B"/>
    <w:rsid w:val="00B26FC8"/>
    <w:rsid w:val="00B31B6B"/>
    <w:rsid w:val="00B35662"/>
    <w:rsid w:val="00B37F80"/>
    <w:rsid w:val="00B40E8A"/>
    <w:rsid w:val="00B44CCC"/>
    <w:rsid w:val="00B51E1A"/>
    <w:rsid w:val="00B53C05"/>
    <w:rsid w:val="00B6721A"/>
    <w:rsid w:val="00B71E1A"/>
    <w:rsid w:val="00B72EF0"/>
    <w:rsid w:val="00B7432C"/>
    <w:rsid w:val="00B809CF"/>
    <w:rsid w:val="00B813E9"/>
    <w:rsid w:val="00BA4253"/>
    <w:rsid w:val="00BB5D56"/>
    <w:rsid w:val="00BB75E4"/>
    <w:rsid w:val="00BC23BC"/>
    <w:rsid w:val="00BD089D"/>
    <w:rsid w:val="00BD1CAF"/>
    <w:rsid w:val="00BD6A01"/>
    <w:rsid w:val="00BE0495"/>
    <w:rsid w:val="00BE2029"/>
    <w:rsid w:val="00BE4CA1"/>
    <w:rsid w:val="00BE5D64"/>
    <w:rsid w:val="00BE7364"/>
    <w:rsid w:val="00BF3AF5"/>
    <w:rsid w:val="00BF5F10"/>
    <w:rsid w:val="00C0120B"/>
    <w:rsid w:val="00C063BA"/>
    <w:rsid w:val="00C152E1"/>
    <w:rsid w:val="00C16503"/>
    <w:rsid w:val="00C35D1F"/>
    <w:rsid w:val="00C475CC"/>
    <w:rsid w:val="00C53971"/>
    <w:rsid w:val="00C6195B"/>
    <w:rsid w:val="00C6308D"/>
    <w:rsid w:val="00C70A12"/>
    <w:rsid w:val="00C7256A"/>
    <w:rsid w:val="00C74947"/>
    <w:rsid w:val="00C74EDE"/>
    <w:rsid w:val="00C84959"/>
    <w:rsid w:val="00C87A68"/>
    <w:rsid w:val="00C938C0"/>
    <w:rsid w:val="00C9689D"/>
    <w:rsid w:val="00CA0F9C"/>
    <w:rsid w:val="00CA64DE"/>
    <w:rsid w:val="00CA754A"/>
    <w:rsid w:val="00CC4C7C"/>
    <w:rsid w:val="00CC6738"/>
    <w:rsid w:val="00CC71F2"/>
    <w:rsid w:val="00CD76E7"/>
    <w:rsid w:val="00D2667A"/>
    <w:rsid w:val="00D32F70"/>
    <w:rsid w:val="00D34C52"/>
    <w:rsid w:val="00D35CD3"/>
    <w:rsid w:val="00D35D98"/>
    <w:rsid w:val="00D36A3A"/>
    <w:rsid w:val="00D509CD"/>
    <w:rsid w:val="00D51C91"/>
    <w:rsid w:val="00D530DA"/>
    <w:rsid w:val="00D55612"/>
    <w:rsid w:val="00D568C8"/>
    <w:rsid w:val="00D76F5E"/>
    <w:rsid w:val="00D811F9"/>
    <w:rsid w:val="00D835CA"/>
    <w:rsid w:val="00D902B2"/>
    <w:rsid w:val="00D91245"/>
    <w:rsid w:val="00DA1E32"/>
    <w:rsid w:val="00DA6CDF"/>
    <w:rsid w:val="00DA6E4F"/>
    <w:rsid w:val="00DB10DD"/>
    <w:rsid w:val="00DD05D7"/>
    <w:rsid w:val="00DD3D54"/>
    <w:rsid w:val="00DD6999"/>
    <w:rsid w:val="00DE3D58"/>
    <w:rsid w:val="00DE52C3"/>
    <w:rsid w:val="00DF2CEE"/>
    <w:rsid w:val="00DF6392"/>
    <w:rsid w:val="00DF7781"/>
    <w:rsid w:val="00E10AD8"/>
    <w:rsid w:val="00E14565"/>
    <w:rsid w:val="00E154F1"/>
    <w:rsid w:val="00E21993"/>
    <w:rsid w:val="00E26277"/>
    <w:rsid w:val="00E35CA1"/>
    <w:rsid w:val="00E4241A"/>
    <w:rsid w:val="00E510B4"/>
    <w:rsid w:val="00E60145"/>
    <w:rsid w:val="00E65B29"/>
    <w:rsid w:val="00E6724F"/>
    <w:rsid w:val="00E73FCD"/>
    <w:rsid w:val="00E85776"/>
    <w:rsid w:val="00E93314"/>
    <w:rsid w:val="00EA3553"/>
    <w:rsid w:val="00EA6DEE"/>
    <w:rsid w:val="00EB2FE7"/>
    <w:rsid w:val="00EC251C"/>
    <w:rsid w:val="00EC4A32"/>
    <w:rsid w:val="00ED18C8"/>
    <w:rsid w:val="00ED401A"/>
    <w:rsid w:val="00ED4622"/>
    <w:rsid w:val="00EE5FE7"/>
    <w:rsid w:val="00EF33E1"/>
    <w:rsid w:val="00F002D8"/>
    <w:rsid w:val="00F01B32"/>
    <w:rsid w:val="00F041AE"/>
    <w:rsid w:val="00F044FA"/>
    <w:rsid w:val="00F318B6"/>
    <w:rsid w:val="00F324F1"/>
    <w:rsid w:val="00F32845"/>
    <w:rsid w:val="00F35008"/>
    <w:rsid w:val="00F37D91"/>
    <w:rsid w:val="00F456E2"/>
    <w:rsid w:val="00F46D01"/>
    <w:rsid w:val="00F47F8F"/>
    <w:rsid w:val="00F620DE"/>
    <w:rsid w:val="00F73AFE"/>
    <w:rsid w:val="00F740CF"/>
    <w:rsid w:val="00F81B71"/>
    <w:rsid w:val="00F82032"/>
    <w:rsid w:val="00F84260"/>
    <w:rsid w:val="00F86500"/>
    <w:rsid w:val="00F86F79"/>
    <w:rsid w:val="00FA0A0C"/>
    <w:rsid w:val="00FA6667"/>
    <w:rsid w:val="00FA7E00"/>
    <w:rsid w:val="00FC19C9"/>
    <w:rsid w:val="00FC77EB"/>
    <w:rsid w:val="00FD0E01"/>
    <w:rsid w:val="00FD185E"/>
    <w:rsid w:val="00FD7250"/>
    <w:rsid w:val="00FE4339"/>
    <w:rsid w:val="00FE70A1"/>
    <w:rsid w:val="00FF789A"/>
    <w:rsid w:val="647FD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B8089"/>
  <w15:chartTrackingRefBased/>
  <w15:docId w15:val="{13146DBC-0E53-4F03-8467-790A6DD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D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6762"/>
    <w:pPr>
      <w:jc w:val="center"/>
    </w:pPr>
    <w:rPr>
      <w:sz w:val="28"/>
      <w:szCs w:val="20"/>
      <w:lang w:val="lv-LV" w:eastAsia="en-US"/>
    </w:rPr>
  </w:style>
  <w:style w:type="character" w:customStyle="1" w:styleId="TitleChar">
    <w:name w:val="Title Char"/>
    <w:basedOn w:val="DefaultParagraphFont"/>
    <w:link w:val="Title"/>
    <w:rsid w:val="00866762"/>
    <w:rPr>
      <w:rFonts w:ascii="Times New Roman" w:eastAsia="Times New Roman" w:hAnsi="Times New Roman" w:cs="Times New Roman"/>
      <w:sz w:val="28"/>
      <w:szCs w:val="20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416462"/>
    <w:rPr>
      <w:color w:val="0000FF"/>
      <w:u w:val="single"/>
    </w:rPr>
  </w:style>
  <w:style w:type="character" w:customStyle="1" w:styleId="labojumupamats">
    <w:name w:val="labojumu_pamats"/>
    <w:basedOn w:val="DefaultParagraphFont"/>
    <w:rsid w:val="00416462"/>
  </w:style>
  <w:style w:type="paragraph" w:customStyle="1" w:styleId="vlist">
    <w:name w:val="vlist"/>
    <w:basedOn w:val="Normal"/>
    <w:rsid w:val="007303B8"/>
    <w:pPr>
      <w:spacing w:before="100" w:beforeAutospacing="1" w:after="100" w:afterAutospacing="1"/>
    </w:pPr>
  </w:style>
  <w:style w:type="character" w:customStyle="1" w:styleId="t3">
    <w:name w:val="t3"/>
    <w:basedOn w:val="DefaultParagraphFont"/>
    <w:rsid w:val="007303B8"/>
  </w:style>
  <w:style w:type="character" w:customStyle="1" w:styleId="fwn">
    <w:name w:val="fwn"/>
    <w:basedOn w:val="DefaultParagraphFont"/>
    <w:rsid w:val="007303B8"/>
  </w:style>
  <w:style w:type="paragraph" w:customStyle="1" w:styleId="tv213">
    <w:name w:val="tv213"/>
    <w:basedOn w:val="Normal"/>
    <w:rsid w:val="009079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A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F5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A6EC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245F5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C7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8C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2C708C"/>
  </w:style>
  <w:style w:type="character" w:styleId="CommentReference">
    <w:name w:val="annotation reference"/>
    <w:basedOn w:val="DefaultParagraphFont"/>
    <w:uiPriority w:val="99"/>
    <w:semiHidden/>
    <w:unhideWhenUsed/>
    <w:rsid w:val="00DE3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D5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5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italic">
    <w:name w:val="italic"/>
    <w:basedOn w:val="DefaultParagraphFont"/>
    <w:rsid w:val="001F3D63"/>
  </w:style>
  <w:style w:type="character" w:customStyle="1" w:styleId="sub">
    <w:name w:val="sub"/>
    <w:basedOn w:val="DefaultParagraphFont"/>
    <w:rsid w:val="001F3D63"/>
  </w:style>
  <w:style w:type="paragraph" w:customStyle="1" w:styleId="Normal1">
    <w:name w:val="Normal1"/>
    <w:basedOn w:val="Normal"/>
    <w:rsid w:val="00566A87"/>
    <w:pPr>
      <w:spacing w:before="100" w:beforeAutospacing="1" w:after="100" w:afterAutospacing="1"/>
    </w:pPr>
    <w:rPr>
      <w:lang w:val="lv-LV" w:eastAsia="lv-LV"/>
    </w:rPr>
  </w:style>
  <w:style w:type="paragraph" w:customStyle="1" w:styleId="title-article-norm">
    <w:name w:val="title-article-norm"/>
    <w:basedOn w:val="Normal"/>
    <w:rsid w:val="007C499F"/>
    <w:pPr>
      <w:spacing w:before="100" w:beforeAutospacing="1" w:after="100" w:afterAutospacing="1"/>
    </w:pPr>
    <w:rPr>
      <w:lang w:val="lv-LV" w:eastAsia="lv-LV"/>
    </w:rPr>
  </w:style>
  <w:style w:type="paragraph" w:customStyle="1" w:styleId="stitle-article-norm">
    <w:name w:val="stitle-article-norm"/>
    <w:basedOn w:val="Normal"/>
    <w:rsid w:val="007C499F"/>
    <w:pPr>
      <w:spacing w:before="100" w:beforeAutospacing="1" w:after="100" w:afterAutospacing="1"/>
    </w:pPr>
    <w:rPr>
      <w:lang w:val="lv-LV" w:eastAsia="lv-LV"/>
    </w:rPr>
  </w:style>
  <w:style w:type="paragraph" w:customStyle="1" w:styleId="norm">
    <w:name w:val="norm"/>
    <w:basedOn w:val="Normal"/>
    <w:rsid w:val="007C499F"/>
    <w:pPr>
      <w:spacing w:before="100" w:beforeAutospacing="1" w:after="100" w:afterAutospacing="1"/>
    </w:pPr>
    <w:rPr>
      <w:lang w:val="lv-LV" w:eastAsia="lv-LV"/>
    </w:rPr>
  </w:style>
  <w:style w:type="character" w:customStyle="1" w:styleId="subscript">
    <w:name w:val="subscript"/>
    <w:basedOn w:val="DefaultParagraphFont"/>
    <w:rsid w:val="007C499F"/>
  </w:style>
  <w:style w:type="paragraph" w:styleId="Header">
    <w:name w:val="header"/>
    <w:basedOn w:val="Normal"/>
    <w:link w:val="HeaderChar"/>
    <w:uiPriority w:val="99"/>
    <w:unhideWhenUsed/>
    <w:rsid w:val="00E672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4F"/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265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51D"/>
    <w:rPr>
      <w:rFonts w:ascii="Times New Roman" w:eastAsia="Times New Roman" w:hAnsi="Times New Roman" w:cs="Times New Roman"/>
      <w:i/>
      <w:iCs/>
      <w:color w:val="404040" w:themeColor="text1" w:themeTint="BF"/>
      <w:lang w:eastAsia="en-GB"/>
    </w:rPr>
  </w:style>
  <w:style w:type="paragraph" w:styleId="ListParagraph">
    <w:name w:val="List Paragraph"/>
    <w:basedOn w:val="Normal"/>
    <w:uiPriority w:val="34"/>
    <w:qFormat/>
    <w:rsid w:val="003265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table" w:styleId="TableGrid">
    <w:name w:val="Table Grid"/>
    <w:basedOn w:val="TableNormal"/>
    <w:uiPriority w:val="39"/>
    <w:rsid w:val="00B53C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3C05"/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D902B2"/>
    <w:pPr>
      <w:spacing w:after="120" w:line="276" w:lineRule="auto"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02B2"/>
    <w:rPr>
      <w:rFonts w:ascii="Calibri" w:eastAsia="Calibri" w:hAnsi="Calibri" w:cs="Times New Roman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153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916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74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16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7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0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304B-6DD6-4940-AC90-C3E8BD5B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5015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2017. gada 12. decembra</vt:lpstr>
    </vt:vector>
  </TitlesOfParts>
  <Company>Vides aizsardzības un reģionālās attīstības ministrija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2017. gada 12. decembra</dc:title>
  <dc:subject/>
  <dc:creator>Agita.Gancone@varam.gov.lv</dc:creator>
  <cp:keywords/>
  <dc:description/>
  <cp:lastModifiedBy>Lita Trakina</cp:lastModifiedBy>
  <cp:revision>2</cp:revision>
  <dcterms:created xsi:type="dcterms:W3CDTF">2021-01-13T07:26:00Z</dcterms:created>
  <dcterms:modified xsi:type="dcterms:W3CDTF">2021-01-13T07:26:00Z</dcterms:modified>
  <cp:contentStatus>noteikumu projekts</cp:contentStatus>
</cp:coreProperties>
</file>