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3ABF" w14:textId="77777777" w:rsidR="00F23E30" w:rsidRPr="00C27E83" w:rsidRDefault="00F23E30" w:rsidP="00F23E30">
      <w:pPr>
        <w:rPr>
          <w:lang w:val="lv-LV"/>
        </w:rPr>
      </w:pPr>
    </w:p>
    <w:p w14:paraId="70BAAAC5" w14:textId="77777777" w:rsidR="00F23E30" w:rsidRPr="00C27E83" w:rsidRDefault="00F23E30" w:rsidP="00F23E30">
      <w:pPr>
        <w:spacing w:after="60" w:line="240" w:lineRule="auto"/>
        <w:rPr>
          <w:lang w:val="lv-LV"/>
        </w:rPr>
      </w:pPr>
    </w:p>
    <w:p w14:paraId="44362B4C" w14:textId="77777777" w:rsidR="00F23E30" w:rsidRPr="00C27E83" w:rsidRDefault="00F23E30" w:rsidP="00F23E30">
      <w:pPr>
        <w:spacing w:after="60" w:line="240" w:lineRule="auto"/>
        <w:rPr>
          <w:lang w:val="lv-LV"/>
        </w:rPr>
      </w:pPr>
    </w:p>
    <w:p w14:paraId="6D27D374" w14:textId="77777777" w:rsidR="00F23E30" w:rsidRPr="00C27E83" w:rsidRDefault="00F23E30" w:rsidP="00F23E30">
      <w:pPr>
        <w:spacing w:after="60" w:line="240" w:lineRule="auto"/>
        <w:rPr>
          <w:lang w:val="lv-LV"/>
        </w:rPr>
      </w:pPr>
    </w:p>
    <w:p w14:paraId="2BE808F8" w14:textId="77777777" w:rsidR="00F23E30" w:rsidRPr="00C27E83" w:rsidRDefault="00F23E30" w:rsidP="00F23E30">
      <w:pPr>
        <w:spacing w:after="60" w:line="240" w:lineRule="auto"/>
        <w:rPr>
          <w:lang w:val="lv-LV"/>
        </w:rPr>
      </w:pPr>
    </w:p>
    <w:p w14:paraId="7FACE76F" w14:textId="77777777" w:rsidR="00F23E30" w:rsidRPr="00C27E83" w:rsidRDefault="00F23E30" w:rsidP="00F23E30">
      <w:pPr>
        <w:keepNext/>
        <w:pBdr>
          <w:top w:val="nil"/>
          <w:left w:val="nil"/>
          <w:bottom w:val="nil"/>
          <w:right w:val="nil"/>
          <w:between w:val="nil"/>
        </w:pBdr>
        <w:spacing w:after="60" w:line="240" w:lineRule="auto"/>
        <w:rPr>
          <w:color w:val="A32020"/>
          <w:sz w:val="52"/>
          <w:szCs w:val="52"/>
          <w:lang w:val="lv-LV"/>
        </w:rPr>
      </w:pPr>
      <w:bookmarkStart w:id="0" w:name="_heading=h.gjdgxs" w:colFirst="0" w:colLast="0"/>
      <w:bookmarkEnd w:id="0"/>
    </w:p>
    <w:p w14:paraId="27378942" w14:textId="77777777" w:rsidR="00F23E30" w:rsidRPr="00C27E83" w:rsidRDefault="00F23E30" w:rsidP="00F23E30">
      <w:pPr>
        <w:keepNext/>
        <w:pBdr>
          <w:top w:val="nil"/>
          <w:left w:val="nil"/>
          <w:bottom w:val="nil"/>
          <w:right w:val="nil"/>
          <w:between w:val="nil"/>
        </w:pBdr>
        <w:spacing w:after="60" w:line="240" w:lineRule="auto"/>
        <w:ind w:left="284"/>
        <w:jc w:val="center"/>
        <w:rPr>
          <w:color w:val="A32020"/>
          <w:sz w:val="52"/>
          <w:szCs w:val="52"/>
          <w:lang w:val="lv-LV"/>
        </w:rPr>
      </w:pPr>
    </w:p>
    <w:p w14:paraId="361554A4" w14:textId="1BFD28C0" w:rsidR="00F23E30" w:rsidRPr="00F23E30" w:rsidRDefault="00F23E30" w:rsidP="00434999">
      <w:pPr>
        <w:keepNext/>
        <w:pBdr>
          <w:top w:val="nil"/>
          <w:left w:val="nil"/>
          <w:bottom w:val="nil"/>
          <w:right w:val="nil"/>
          <w:between w:val="nil"/>
        </w:pBdr>
        <w:spacing w:after="60" w:line="240" w:lineRule="auto"/>
        <w:ind w:left="1389" w:hanging="709"/>
        <w:jc w:val="center"/>
        <w:rPr>
          <w:b/>
          <w:bCs/>
          <w:sz w:val="52"/>
          <w:szCs w:val="52"/>
          <w:lang w:val="lv-LV"/>
        </w:rPr>
      </w:pPr>
      <w:r w:rsidRPr="00F23E30">
        <w:rPr>
          <w:b/>
          <w:bCs/>
          <w:sz w:val="52"/>
          <w:szCs w:val="52"/>
          <w:lang w:val="lv-LV"/>
        </w:rPr>
        <w:t>Valsts digitāl</w:t>
      </w:r>
      <w:r w:rsidR="00434999">
        <w:rPr>
          <w:b/>
          <w:bCs/>
          <w:sz w:val="52"/>
          <w:szCs w:val="52"/>
          <w:lang w:val="lv-LV"/>
        </w:rPr>
        <w:t xml:space="preserve">ās pārvaldes </w:t>
      </w:r>
      <w:r w:rsidRPr="00F23E30">
        <w:rPr>
          <w:b/>
          <w:bCs/>
          <w:sz w:val="52"/>
          <w:szCs w:val="52"/>
          <w:lang w:val="lv-LV"/>
        </w:rPr>
        <w:t>arhitektūras principi</w:t>
      </w:r>
    </w:p>
    <w:p w14:paraId="510082D8" w14:textId="77777777" w:rsidR="00F23E30" w:rsidRPr="00C27E83" w:rsidRDefault="00F23E30" w:rsidP="00F23E30">
      <w:pPr>
        <w:keepNext/>
        <w:pBdr>
          <w:top w:val="nil"/>
          <w:left w:val="nil"/>
          <w:bottom w:val="nil"/>
          <w:right w:val="nil"/>
          <w:between w:val="nil"/>
        </w:pBdr>
        <w:spacing w:after="60" w:line="240" w:lineRule="auto"/>
        <w:ind w:left="1389" w:hanging="709"/>
        <w:jc w:val="center"/>
        <w:rPr>
          <w:rFonts w:cstheme="minorHAnsi"/>
          <w:sz w:val="32"/>
          <w:szCs w:val="32"/>
          <w:lang w:val="lv-LV"/>
        </w:rPr>
      </w:pPr>
      <w:r w:rsidRPr="00C27E83">
        <w:rPr>
          <w:rFonts w:asciiTheme="majorBidi" w:hAnsiTheme="majorBidi" w:cstheme="majorBidi"/>
          <w:color w:val="A32020"/>
          <w:sz w:val="32"/>
          <w:szCs w:val="32"/>
          <w:lang w:val="lv-LV"/>
        </w:rPr>
        <w:br/>
      </w:r>
      <w:r w:rsidRPr="00C27E83">
        <w:rPr>
          <w:rFonts w:cstheme="minorHAnsi"/>
          <w:sz w:val="32"/>
          <w:szCs w:val="32"/>
          <w:lang w:val="lv-LV"/>
        </w:rPr>
        <w:t>Viedās administrācijas un reģionālās attīstības ministrija</w:t>
      </w:r>
    </w:p>
    <w:p w14:paraId="27C8D74A" w14:textId="77777777" w:rsidR="00F23E30" w:rsidRPr="00C27E83" w:rsidRDefault="00F23E30" w:rsidP="00F23E30">
      <w:pPr>
        <w:spacing w:after="60" w:line="240" w:lineRule="auto"/>
        <w:rPr>
          <w:lang w:val="lv-LV"/>
        </w:rPr>
      </w:pPr>
    </w:p>
    <w:p w14:paraId="5EF7E80E" w14:textId="77777777" w:rsidR="00F23E30" w:rsidRPr="00C27E83" w:rsidRDefault="00F23E30" w:rsidP="00F23E30">
      <w:pPr>
        <w:spacing w:after="60" w:line="240" w:lineRule="auto"/>
        <w:rPr>
          <w:lang w:val="lv-LV"/>
        </w:rPr>
      </w:pPr>
    </w:p>
    <w:p w14:paraId="678E4770" w14:textId="77777777" w:rsidR="00F23E30" w:rsidRPr="00C27E83" w:rsidRDefault="00F23E30" w:rsidP="00F23E30">
      <w:pPr>
        <w:spacing w:after="60" w:line="240" w:lineRule="auto"/>
        <w:rPr>
          <w:lang w:val="lv-LV"/>
        </w:rPr>
      </w:pPr>
    </w:p>
    <w:p w14:paraId="5857722C" w14:textId="77777777" w:rsidR="00F23E30" w:rsidRPr="00C27E83" w:rsidRDefault="00F23E30" w:rsidP="00F23E30">
      <w:pPr>
        <w:spacing w:after="60" w:line="240" w:lineRule="auto"/>
        <w:rPr>
          <w:lang w:val="lv-LV"/>
        </w:rPr>
      </w:pPr>
    </w:p>
    <w:p w14:paraId="443443CF" w14:textId="77777777" w:rsidR="00F23E30" w:rsidRPr="00C27E83" w:rsidRDefault="00F23E30" w:rsidP="00F23E30">
      <w:pPr>
        <w:spacing w:after="60" w:line="240" w:lineRule="auto"/>
        <w:rPr>
          <w:lang w:val="lv-LV"/>
        </w:rPr>
      </w:pPr>
    </w:p>
    <w:p w14:paraId="241A33CB" w14:textId="77777777" w:rsidR="00F23E30" w:rsidRPr="00C27E83" w:rsidRDefault="00F23E30" w:rsidP="00F23E30">
      <w:pPr>
        <w:spacing w:after="60" w:line="240" w:lineRule="auto"/>
        <w:rPr>
          <w:lang w:val="lv-LV"/>
        </w:rPr>
      </w:pPr>
    </w:p>
    <w:p w14:paraId="1C41B330" w14:textId="77777777" w:rsidR="00F23E30" w:rsidRPr="00C27E83" w:rsidRDefault="00F23E30" w:rsidP="00F23E30">
      <w:pPr>
        <w:spacing w:after="60" w:line="240" w:lineRule="auto"/>
        <w:rPr>
          <w:lang w:val="lv-LV"/>
        </w:rPr>
      </w:pPr>
    </w:p>
    <w:p w14:paraId="1F83F402" w14:textId="77777777" w:rsidR="00F23E30" w:rsidRPr="00C27E83" w:rsidRDefault="00F23E30" w:rsidP="00F23E30">
      <w:pPr>
        <w:spacing w:after="60" w:line="240" w:lineRule="auto"/>
        <w:jc w:val="center"/>
        <w:rPr>
          <w:lang w:val="lv-LV"/>
        </w:rPr>
      </w:pPr>
      <w:r w:rsidRPr="00C27E83">
        <w:rPr>
          <w:lang w:val="lv-LV"/>
        </w:rPr>
        <w:tab/>
      </w:r>
      <w:r w:rsidRPr="00C27E83">
        <w:rPr>
          <w:lang w:val="lv-LV"/>
        </w:rPr>
        <w:tab/>
      </w:r>
    </w:p>
    <w:p w14:paraId="2434B3B7" w14:textId="77777777" w:rsidR="00F23E30" w:rsidRPr="00C27E83" w:rsidRDefault="00F23E30" w:rsidP="00F23E30">
      <w:pPr>
        <w:spacing w:after="60" w:line="240" w:lineRule="auto"/>
        <w:jc w:val="center"/>
        <w:rPr>
          <w:lang w:val="lv-LV"/>
        </w:rPr>
      </w:pPr>
    </w:p>
    <w:p w14:paraId="14DF35CC" w14:textId="77777777" w:rsidR="00F23E30" w:rsidRPr="00C27E83" w:rsidRDefault="00F23E30" w:rsidP="00F23E30">
      <w:pPr>
        <w:spacing w:after="60" w:line="240" w:lineRule="auto"/>
        <w:jc w:val="center"/>
        <w:rPr>
          <w:lang w:val="lv-LV"/>
        </w:rPr>
      </w:pPr>
    </w:p>
    <w:p w14:paraId="521F7D12" w14:textId="77777777" w:rsidR="00F23E30" w:rsidRPr="00C27E83" w:rsidRDefault="00F23E30" w:rsidP="00F23E30">
      <w:pPr>
        <w:spacing w:after="60" w:line="240" w:lineRule="auto"/>
        <w:jc w:val="center"/>
        <w:rPr>
          <w:lang w:val="lv-LV"/>
        </w:rPr>
      </w:pPr>
    </w:p>
    <w:p w14:paraId="1D0DEA97" w14:textId="77777777" w:rsidR="00F23E30" w:rsidRPr="00C27E83" w:rsidRDefault="00F23E30" w:rsidP="00F23E30">
      <w:pPr>
        <w:spacing w:after="60" w:line="240" w:lineRule="auto"/>
        <w:jc w:val="center"/>
        <w:rPr>
          <w:lang w:val="lv-LV"/>
        </w:rPr>
      </w:pPr>
    </w:p>
    <w:p w14:paraId="39ED6E89" w14:textId="4E6CE7A1" w:rsidR="00F23E30" w:rsidRPr="00C27E83" w:rsidRDefault="00F23E30" w:rsidP="00F23E30">
      <w:pPr>
        <w:spacing w:after="60" w:line="240" w:lineRule="auto"/>
        <w:jc w:val="center"/>
        <w:rPr>
          <w:sz w:val="32"/>
          <w:szCs w:val="32"/>
          <w:lang w:val="lv-LV"/>
        </w:rPr>
        <w:sectPr w:rsidR="00F23E30" w:rsidRPr="00C27E83" w:rsidSect="00F23E30">
          <w:headerReference w:type="default" r:id="rId11"/>
          <w:footerReference w:type="default" r:id="rId12"/>
          <w:headerReference w:type="first" r:id="rId13"/>
          <w:footerReference w:type="first" r:id="rId14"/>
          <w:pgSz w:w="11906" w:h="16838"/>
          <w:pgMar w:top="1440" w:right="1800" w:bottom="1440" w:left="851" w:header="708" w:footer="708" w:gutter="0"/>
          <w:pgNumType w:start="1"/>
          <w:cols w:space="720" w:equalWidth="0">
            <w:col w:w="9360"/>
          </w:cols>
          <w:titlePg/>
          <w:docGrid w:linePitch="272"/>
        </w:sectPr>
      </w:pPr>
      <w:r w:rsidRPr="00C27E83">
        <w:rPr>
          <w:sz w:val="32"/>
          <w:szCs w:val="32"/>
          <w:lang w:val="lv-LV"/>
        </w:rPr>
        <w:t>202</w:t>
      </w:r>
      <w:r w:rsidR="005C0B53">
        <w:rPr>
          <w:sz w:val="32"/>
          <w:szCs w:val="32"/>
          <w:lang w:val="lv-LV"/>
        </w:rPr>
        <w:t>5</w:t>
      </w:r>
    </w:p>
    <w:p w14:paraId="33186736" w14:textId="77777777" w:rsidR="00972A8D" w:rsidRDefault="00972A8D" w:rsidP="00972A8D">
      <w:pPr>
        <w:rPr>
          <w:rFonts w:asciiTheme="majorHAnsi" w:hAnsiTheme="majorHAnsi"/>
          <w:sz w:val="28"/>
          <w:szCs w:val="28"/>
          <w:lang w:val="lv-LV"/>
        </w:rPr>
      </w:pPr>
      <w:bookmarkStart w:id="1" w:name="_Toc183708557"/>
      <w:bookmarkStart w:id="2" w:name="_Hlk184736886"/>
      <w:r w:rsidRPr="00972A8D">
        <w:rPr>
          <w:rFonts w:asciiTheme="majorHAnsi" w:hAnsiTheme="majorHAnsi"/>
          <w:sz w:val="28"/>
          <w:szCs w:val="28"/>
          <w:lang w:val="lv-LV"/>
        </w:rPr>
        <w:lastRenderedPageBreak/>
        <w:t>Izmaiņu vēsture</w:t>
      </w:r>
    </w:p>
    <w:tbl>
      <w:tblPr>
        <w:tblStyle w:val="PwCTableText11331"/>
        <w:tblW w:w="5000" w:type="pct"/>
        <w:tblLook w:val="04A0" w:firstRow="1" w:lastRow="0" w:firstColumn="1" w:lastColumn="0" w:noHBand="0" w:noVBand="1"/>
      </w:tblPr>
      <w:tblGrid>
        <w:gridCol w:w="236"/>
        <w:gridCol w:w="923"/>
        <w:gridCol w:w="1711"/>
        <w:gridCol w:w="3902"/>
        <w:gridCol w:w="2588"/>
      </w:tblGrid>
      <w:tr w:rsidR="005C0B53" w:rsidRPr="00E37790" w14:paraId="01F59BD1" w14:textId="691781DB" w:rsidTr="000E1597">
        <w:trPr>
          <w:cnfStyle w:val="100000000000" w:firstRow="1" w:lastRow="0" w:firstColumn="0" w:lastColumn="0" w:oddVBand="0" w:evenVBand="0" w:oddHBand="0" w:evenHBand="0" w:firstRowFirstColumn="0" w:firstRowLastColumn="0" w:lastRowFirstColumn="0" w:lastRowLastColumn="0"/>
          <w:tblHeader/>
        </w:trPr>
        <w:tc>
          <w:tcPr>
            <w:tcW w:w="120" w:type="pct"/>
            <w:tcBorders>
              <w:top w:val="nil"/>
              <w:bottom w:val="single" w:sz="36" w:space="0" w:color="FFFFFF"/>
            </w:tcBorders>
            <w:shd w:val="clear" w:color="auto" w:fill="156082" w:themeFill="accent1"/>
            <w:vAlign w:val="top"/>
          </w:tcPr>
          <w:p w14:paraId="00BAF955" w14:textId="77777777" w:rsidR="005C0B53" w:rsidRPr="00E37790" w:rsidRDefault="005C0B53" w:rsidP="001C4F27">
            <w:pPr>
              <w:spacing w:after="120"/>
              <w:ind w:left="346"/>
              <w:rPr>
                <w:rFonts w:asciiTheme="minorHAnsi" w:hAnsiTheme="minorHAnsi"/>
                <w:sz w:val="22"/>
                <w:szCs w:val="22"/>
              </w:rPr>
            </w:pPr>
          </w:p>
        </w:tc>
        <w:tc>
          <w:tcPr>
            <w:tcW w:w="470" w:type="pct"/>
            <w:tcBorders>
              <w:top w:val="nil"/>
              <w:bottom w:val="single" w:sz="36" w:space="0" w:color="FFFFFF"/>
            </w:tcBorders>
            <w:shd w:val="clear" w:color="auto" w:fill="343434"/>
            <w:vAlign w:val="top"/>
          </w:tcPr>
          <w:p w14:paraId="1FFBE97A" w14:textId="53E72181" w:rsidR="005C0B53" w:rsidRPr="00E37790" w:rsidRDefault="005C0B53" w:rsidP="001C4F27">
            <w:pPr>
              <w:rPr>
                <w:rFonts w:asciiTheme="minorHAnsi" w:eastAsia="Arial" w:hAnsiTheme="minorHAnsi" w:cs="Times New Roman"/>
                <w:color w:val="FFFFFF"/>
                <w:sz w:val="22"/>
                <w:szCs w:val="22"/>
              </w:rPr>
            </w:pPr>
            <w:proofErr w:type="spellStart"/>
            <w:r w:rsidRPr="00E37790">
              <w:rPr>
                <w:rFonts w:asciiTheme="minorHAnsi" w:eastAsia="Arial" w:hAnsiTheme="minorHAnsi" w:cs="Times New Roman"/>
                <w:color w:val="FFFFFF"/>
                <w:sz w:val="22"/>
                <w:szCs w:val="22"/>
              </w:rPr>
              <w:t>Versija</w:t>
            </w:r>
            <w:proofErr w:type="spellEnd"/>
          </w:p>
        </w:tc>
        <w:tc>
          <w:tcPr>
            <w:tcW w:w="924" w:type="pct"/>
            <w:tcBorders>
              <w:top w:val="nil"/>
              <w:bottom w:val="single" w:sz="36" w:space="0" w:color="FFFFFF"/>
            </w:tcBorders>
            <w:shd w:val="clear" w:color="auto" w:fill="595959"/>
            <w:vAlign w:val="top"/>
          </w:tcPr>
          <w:p w14:paraId="1E38BE9F" w14:textId="11397734" w:rsidR="005C0B53" w:rsidRPr="00E37790" w:rsidRDefault="005C0B53" w:rsidP="001C4F27">
            <w:pPr>
              <w:rPr>
                <w:rFonts w:asciiTheme="minorHAnsi" w:eastAsia="Arial" w:hAnsiTheme="minorHAnsi" w:cs="Times New Roman"/>
                <w:color w:val="FFFFFF"/>
                <w:sz w:val="22"/>
                <w:szCs w:val="22"/>
              </w:rPr>
            </w:pPr>
            <w:r w:rsidRPr="00E37790">
              <w:rPr>
                <w:rFonts w:asciiTheme="minorHAnsi" w:eastAsia="Arial" w:hAnsiTheme="minorHAnsi" w:cs="Times New Roman"/>
                <w:color w:val="FFFFFF"/>
                <w:sz w:val="22"/>
                <w:szCs w:val="22"/>
              </w:rPr>
              <w:t>Datums</w:t>
            </w:r>
          </w:p>
        </w:tc>
        <w:tc>
          <w:tcPr>
            <w:tcW w:w="2094" w:type="pct"/>
            <w:tcBorders>
              <w:top w:val="nil"/>
              <w:bottom w:val="single" w:sz="36" w:space="0" w:color="FFFFFF"/>
            </w:tcBorders>
            <w:shd w:val="clear" w:color="auto" w:fill="595959"/>
          </w:tcPr>
          <w:p w14:paraId="76D94C66" w14:textId="37FC190D" w:rsidR="005C0B53" w:rsidRPr="00E37790" w:rsidRDefault="005C0B53" w:rsidP="001C4F27">
            <w:pPr>
              <w:rPr>
                <w:rFonts w:eastAsia="Arial" w:cs="Times New Roman"/>
                <w:color w:val="FFFFFF"/>
                <w:sz w:val="22"/>
                <w:szCs w:val="22"/>
              </w:rPr>
            </w:pPr>
            <w:proofErr w:type="spellStart"/>
            <w:r>
              <w:rPr>
                <w:rFonts w:eastAsia="Arial" w:cs="Times New Roman"/>
                <w:color w:val="FFFFFF"/>
                <w:sz w:val="22"/>
                <w:szCs w:val="22"/>
              </w:rPr>
              <w:t>Izmaiņu</w:t>
            </w:r>
            <w:proofErr w:type="spellEnd"/>
            <w:r>
              <w:rPr>
                <w:rFonts w:eastAsia="Arial" w:cs="Times New Roman"/>
                <w:color w:val="FFFFFF"/>
                <w:sz w:val="22"/>
                <w:szCs w:val="22"/>
              </w:rPr>
              <w:t xml:space="preserve"> </w:t>
            </w:r>
            <w:proofErr w:type="spellStart"/>
            <w:r>
              <w:rPr>
                <w:rFonts w:eastAsia="Arial" w:cs="Times New Roman"/>
                <w:color w:val="FFFFFF"/>
                <w:sz w:val="22"/>
                <w:szCs w:val="22"/>
              </w:rPr>
              <w:t>apraksts</w:t>
            </w:r>
            <w:proofErr w:type="spellEnd"/>
          </w:p>
        </w:tc>
        <w:tc>
          <w:tcPr>
            <w:tcW w:w="1392" w:type="pct"/>
            <w:tcBorders>
              <w:top w:val="nil"/>
              <w:bottom w:val="single" w:sz="36" w:space="0" w:color="FFFFFF"/>
            </w:tcBorders>
            <w:shd w:val="clear" w:color="auto" w:fill="595959"/>
          </w:tcPr>
          <w:p w14:paraId="45DDAD56" w14:textId="69C2F260" w:rsidR="005C0B53" w:rsidRPr="00E37790" w:rsidRDefault="005C0B53" w:rsidP="001C4F27">
            <w:pPr>
              <w:rPr>
                <w:rFonts w:asciiTheme="minorHAnsi" w:eastAsia="Arial" w:hAnsiTheme="minorHAnsi" w:cs="Times New Roman"/>
                <w:color w:val="FFFFFF"/>
                <w:sz w:val="22"/>
                <w:szCs w:val="22"/>
              </w:rPr>
            </w:pPr>
            <w:proofErr w:type="spellStart"/>
            <w:r w:rsidRPr="00E37790">
              <w:rPr>
                <w:rFonts w:asciiTheme="minorHAnsi" w:eastAsia="Arial" w:hAnsiTheme="minorHAnsi" w:cs="Times New Roman"/>
                <w:color w:val="FFFFFF"/>
                <w:sz w:val="22"/>
                <w:szCs w:val="22"/>
              </w:rPr>
              <w:t>Autors</w:t>
            </w:r>
            <w:proofErr w:type="spellEnd"/>
          </w:p>
        </w:tc>
      </w:tr>
      <w:tr w:rsidR="005C0B53" w:rsidRPr="00E37790" w14:paraId="1064D223" w14:textId="5419098E" w:rsidTr="000E1597">
        <w:tc>
          <w:tcPr>
            <w:tcW w:w="120" w:type="pct"/>
            <w:tcBorders>
              <w:top w:val="single" w:sz="18" w:space="0" w:color="FFFFFF"/>
              <w:bottom w:val="single" w:sz="18" w:space="0" w:color="FFFFFF"/>
            </w:tcBorders>
            <w:shd w:val="clear" w:color="auto" w:fill="E5E5E5"/>
            <w:vAlign w:val="top"/>
          </w:tcPr>
          <w:p w14:paraId="466745AE" w14:textId="77777777" w:rsidR="005C0B53" w:rsidRPr="00E37790" w:rsidRDefault="005C0B53" w:rsidP="00E37790">
            <w:pPr>
              <w:spacing w:after="120"/>
              <w:rPr>
                <w:rFonts w:asciiTheme="minorHAnsi" w:hAnsiTheme="minorHAnsi"/>
                <w:sz w:val="22"/>
                <w:szCs w:val="22"/>
              </w:rPr>
            </w:pPr>
          </w:p>
        </w:tc>
        <w:tc>
          <w:tcPr>
            <w:tcW w:w="470" w:type="pct"/>
            <w:tcBorders>
              <w:top w:val="single" w:sz="18" w:space="0" w:color="FFFFFF"/>
              <w:bottom w:val="single" w:sz="18" w:space="0" w:color="FFFFFF"/>
            </w:tcBorders>
            <w:shd w:val="clear" w:color="auto" w:fill="F2F2F2"/>
            <w:vAlign w:val="top"/>
          </w:tcPr>
          <w:p w14:paraId="02E8EE82" w14:textId="026BDC6C" w:rsidR="005C0B53" w:rsidRPr="00E37790" w:rsidRDefault="005C0B53" w:rsidP="00E37790">
            <w:pPr>
              <w:rPr>
                <w:rFonts w:asciiTheme="minorHAnsi" w:hAnsiTheme="minorHAnsi"/>
                <w:sz w:val="22"/>
                <w:szCs w:val="22"/>
              </w:rPr>
            </w:pPr>
            <w:r w:rsidRPr="00E37790">
              <w:rPr>
                <w:rFonts w:asciiTheme="minorHAnsi" w:hAnsiTheme="minorHAnsi" w:cstheme="minorHAnsi"/>
                <w:sz w:val="22"/>
                <w:szCs w:val="22"/>
                <w:lang w:val="lv-LV"/>
              </w:rPr>
              <w:t>0.1</w:t>
            </w:r>
          </w:p>
        </w:tc>
        <w:tc>
          <w:tcPr>
            <w:tcW w:w="924" w:type="pct"/>
            <w:tcBorders>
              <w:top w:val="single" w:sz="2" w:space="0" w:color="BFBFBF"/>
              <w:bottom w:val="single" w:sz="2" w:space="0" w:color="BFBFBF"/>
            </w:tcBorders>
            <w:vAlign w:val="top"/>
          </w:tcPr>
          <w:p w14:paraId="3D12AC32" w14:textId="66236A74" w:rsidR="005C0B53" w:rsidRPr="00E37790" w:rsidRDefault="005C0B53" w:rsidP="00E37790">
            <w:pPr>
              <w:rPr>
                <w:rFonts w:asciiTheme="minorHAnsi" w:hAnsiTheme="minorHAnsi"/>
                <w:sz w:val="22"/>
                <w:szCs w:val="22"/>
              </w:rPr>
            </w:pPr>
            <w:r w:rsidRPr="00E37790">
              <w:rPr>
                <w:rFonts w:asciiTheme="minorHAnsi" w:eastAsia="Arial" w:hAnsiTheme="minorHAnsi" w:cstheme="minorHAnsi"/>
                <w:sz w:val="22"/>
                <w:szCs w:val="22"/>
                <w:lang w:val="lv-LV"/>
              </w:rPr>
              <w:t>2024. gada 10.decembris</w:t>
            </w:r>
          </w:p>
        </w:tc>
        <w:tc>
          <w:tcPr>
            <w:tcW w:w="2094" w:type="pct"/>
            <w:tcBorders>
              <w:top w:val="single" w:sz="2" w:space="0" w:color="BFBFBF"/>
              <w:bottom w:val="single" w:sz="2" w:space="0" w:color="BFBFBF"/>
            </w:tcBorders>
          </w:tcPr>
          <w:p w14:paraId="19CC1CA3" w14:textId="13B740C2" w:rsidR="005C0B53" w:rsidRPr="00E37790" w:rsidRDefault="005C0B53" w:rsidP="00E37790">
            <w:pPr>
              <w:rPr>
                <w:sz w:val="22"/>
                <w:szCs w:val="22"/>
                <w:lang w:val="lv-LV"/>
              </w:rPr>
            </w:pPr>
            <w:r>
              <w:rPr>
                <w:sz w:val="22"/>
                <w:szCs w:val="22"/>
                <w:lang w:val="lv-LV"/>
              </w:rPr>
              <w:t>Sākotnējais principu saraksts</w:t>
            </w:r>
          </w:p>
        </w:tc>
        <w:tc>
          <w:tcPr>
            <w:tcW w:w="1392" w:type="pct"/>
            <w:tcBorders>
              <w:top w:val="single" w:sz="2" w:space="0" w:color="BFBFBF"/>
              <w:bottom w:val="single" w:sz="2" w:space="0" w:color="BFBFBF"/>
            </w:tcBorders>
          </w:tcPr>
          <w:p w14:paraId="5F9074E2" w14:textId="0954EB1B" w:rsidR="005C0B53" w:rsidRPr="00E37790" w:rsidRDefault="005C0B53" w:rsidP="00E37790">
            <w:pPr>
              <w:rPr>
                <w:rFonts w:asciiTheme="minorHAnsi" w:eastAsia="Arial" w:hAnsiTheme="minorHAnsi" w:cstheme="minorHAnsi"/>
                <w:sz w:val="22"/>
                <w:szCs w:val="22"/>
                <w:lang w:val="lv-LV"/>
              </w:rPr>
            </w:pPr>
            <w:proofErr w:type="spellStart"/>
            <w:r w:rsidRPr="00E37790">
              <w:rPr>
                <w:sz w:val="22"/>
                <w:szCs w:val="22"/>
                <w:lang w:val="lv-LV"/>
              </w:rPr>
              <w:t>R.Pirta</w:t>
            </w:r>
            <w:proofErr w:type="spellEnd"/>
          </w:p>
        </w:tc>
      </w:tr>
      <w:tr w:rsidR="005C0B53" w:rsidRPr="00E37790" w14:paraId="7B60F089" w14:textId="0863DADE" w:rsidTr="000E1597">
        <w:tc>
          <w:tcPr>
            <w:tcW w:w="120" w:type="pct"/>
            <w:tcBorders>
              <w:top w:val="single" w:sz="18" w:space="0" w:color="FFFFFF"/>
              <w:bottom w:val="single" w:sz="18" w:space="0" w:color="FFFFFF"/>
            </w:tcBorders>
            <w:shd w:val="clear" w:color="auto" w:fill="E5E5E5"/>
            <w:vAlign w:val="top"/>
          </w:tcPr>
          <w:p w14:paraId="06DE3646" w14:textId="77777777" w:rsidR="005C0B53" w:rsidRPr="00E37790" w:rsidRDefault="005C0B53" w:rsidP="00E37790">
            <w:pPr>
              <w:spacing w:after="120"/>
              <w:rPr>
                <w:rFonts w:asciiTheme="minorHAnsi" w:hAnsiTheme="minorHAnsi"/>
                <w:sz w:val="22"/>
                <w:szCs w:val="22"/>
              </w:rPr>
            </w:pPr>
          </w:p>
        </w:tc>
        <w:tc>
          <w:tcPr>
            <w:tcW w:w="470" w:type="pct"/>
            <w:tcBorders>
              <w:top w:val="single" w:sz="18" w:space="0" w:color="FFFFFF"/>
              <w:bottom w:val="single" w:sz="18" w:space="0" w:color="FFFFFF"/>
            </w:tcBorders>
            <w:shd w:val="clear" w:color="auto" w:fill="F2F2F2"/>
            <w:vAlign w:val="top"/>
          </w:tcPr>
          <w:p w14:paraId="15D4DFB1" w14:textId="499C2313" w:rsidR="005C0B53" w:rsidRPr="00E37790" w:rsidRDefault="005C0B53" w:rsidP="00E37790">
            <w:pPr>
              <w:rPr>
                <w:rFonts w:asciiTheme="minorHAnsi" w:hAnsiTheme="minorHAnsi"/>
                <w:sz w:val="22"/>
                <w:szCs w:val="22"/>
              </w:rPr>
            </w:pPr>
            <w:r w:rsidRPr="00E37790">
              <w:rPr>
                <w:rFonts w:asciiTheme="minorHAnsi" w:hAnsiTheme="minorHAnsi" w:cstheme="minorHAnsi"/>
                <w:sz w:val="22"/>
                <w:szCs w:val="22"/>
                <w:lang w:val="lv-LV"/>
              </w:rPr>
              <w:t>0.2</w:t>
            </w:r>
          </w:p>
        </w:tc>
        <w:tc>
          <w:tcPr>
            <w:tcW w:w="924" w:type="pct"/>
            <w:tcBorders>
              <w:top w:val="single" w:sz="2" w:space="0" w:color="BFBFBF"/>
              <w:bottom w:val="single" w:sz="2" w:space="0" w:color="BFBFBF"/>
            </w:tcBorders>
            <w:vAlign w:val="top"/>
          </w:tcPr>
          <w:p w14:paraId="22964EFC" w14:textId="71F70B39" w:rsidR="005C0B53" w:rsidRPr="00E37790" w:rsidRDefault="005C0B53" w:rsidP="00E37790">
            <w:pPr>
              <w:rPr>
                <w:rFonts w:asciiTheme="minorHAnsi" w:hAnsiTheme="minorHAnsi"/>
                <w:sz w:val="22"/>
                <w:szCs w:val="22"/>
              </w:rPr>
            </w:pPr>
            <w:r w:rsidRPr="00E37790">
              <w:rPr>
                <w:rFonts w:asciiTheme="minorHAnsi" w:eastAsia="Arial" w:hAnsiTheme="minorHAnsi" w:cstheme="minorHAnsi"/>
                <w:sz w:val="22"/>
                <w:szCs w:val="22"/>
                <w:lang w:val="lv-LV"/>
              </w:rPr>
              <w:t>2024.gada 30.decembris</w:t>
            </w:r>
          </w:p>
        </w:tc>
        <w:tc>
          <w:tcPr>
            <w:tcW w:w="2094" w:type="pct"/>
            <w:tcBorders>
              <w:top w:val="single" w:sz="2" w:space="0" w:color="BFBFBF"/>
              <w:bottom w:val="single" w:sz="2" w:space="0" w:color="BFBFBF"/>
            </w:tcBorders>
          </w:tcPr>
          <w:p w14:paraId="54DE1F98" w14:textId="7D7665EC" w:rsidR="005C0B53" w:rsidRPr="00E37790" w:rsidRDefault="005C0B53" w:rsidP="00E37790">
            <w:pPr>
              <w:rPr>
                <w:sz w:val="22"/>
                <w:szCs w:val="22"/>
                <w:lang w:val="lv-LV"/>
              </w:rPr>
            </w:pPr>
            <w:r>
              <w:rPr>
                <w:sz w:val="22"/>
                <w:szCs w:val="22"/>
                <w:lang w:val="lv-LV"/>
              </w:rPr>
              <w:t>Pievienotas principu ieviešanas un novērtēšanas rekomendācijas</w:t>
            </w:r>
          </w:p>
        </w:tc>
        <w:tc>
          <w:tcPr>
            <w:tcW w:w="1392" w:type="pct"/>
            <w:tcBorders>
              <w:top w:val="single" w:sz="2" w:space="0" w:color="BFBFBF"/>
              <w:bottom w:val="single" w:sz="2" w:space="0" w:color="BFBFBF"/>
            </w:tcBorders>
          </w:tcPr>
          <w:p w14:paraId="79D026E6" w14:textId="46736B09" w:rsidR="005C0B53" w:rsidRPr="00E37790" w:rsidRDefault="005C0B53" w:rsidP="00E37790">
            <w:pPr>
              <w:rPr>
                <w:rFonts w:asciiTheme="minorHAnsi" w:eastAsia="Arial" w:hAnsiTheme="minorHAnsi" w:cstheme="minorHAnsi"/>
                <w:sz w:val="22"/>
                <w:szCs w:val="22"/>
                <w:lang w:val="lv-LV"/>
              </w:rPr>
            </w:pPr>
            <w:proofErr w:type="spellStart"/>
            <w:r w:rsidRPr="00E37790">
              <w:rPr>
                <w:sz w:val="22"/>
                <w:szCs w:val="22"/>
                <w:lang w:val="lv-LV"/>
              </w:rPr>
              <w:t>R.Pirta</w:t>
            </w:r>
            <w:proofErr w:type="spellEnd"/>
          </w:p>
        </w:tc>
      </w:tr>
      <w:tr w:rsidR="005C0B53" w:rsidRPr="00E37790" w14:paraId="4667DFA6" w14:textId="02B87562" w:rsidTr="000E1597">
        <w:tc>
          <w:tcPr>
            <w:tcW w:w="120" w:type="pct"/>
            <w:tcBorders>
              <w:top w:val="single" w:sz="18" w:space="0" w:color="FFFFFF"/>
              <w:bottom w:val="single" w:sz="18" w:space="0" w:color="FFFFFF"/>
            </w:tcBorders>
            <w:shd w:val="clear" w:color="auto" w:fill="E5E5E5"/>
            <w:vAlign w:val="top"/>
          </w:tcPr>
          <w:p w14:paraId="50F8B38D" w14:textId="77777777" w:rsidR="005C0B53" w:rsidRPr="00E37790" w:rsidRDefault="005C0B53" w:rsidP="00E37790">
            <w:pPr>
              <w:spacing w:after="120"/>
              <w:rPr>
                <w:rFonts w:asciiTheme="minorHAnsi" w:hAnsiTheme="minorHAnsi"/>
                <w:sz w:val="22"/>
                <w:szCs w:val="22"/>
              </w:rPr>
            </w:pPr>
          </w:p>
        </w:tc>
        <w:tc>
          <w:tcPr>
            <w:tcW w:w="470" w:type="pct"/>
            <w:tcBorders>
              <w:top w:val="single" w:sz="18" w:space="0" w:color="FFFFFF"/>
              <w:bottom w:val="single" w:sz="18" w:space="0" w:color="FFFFFF"/>
            </w:tcBorders>
            <w:shd w:val="clear" w:color="auto" w:fill="F2F2F2"/>
            <w:vAlign w:val="top"/>
          </w:tcPr>
          <w:p w14:paraId="700D04C2" w14:textId="57C1ACE4" w:rsidR="005C0B53" w:rsidRPr="00E37790" w:rsidRDefault="005C0B53" w:rsidP="00E37790">
            <w:pPr>
              <w:rPr>
                <w:rFonts w:asciiTheme="minorHAnsi" w:hAnsiTheme="minorHAnsi"/>
                <w:sz w:val="22"/>
                <w:szCs w:val="22"/>
              </w:rPr>
            </w:pPr>
            <w:r>
              <w:rPr>
                <w:rFonts w:asciiTheme="minorHAnsi" w:hAnsiTheme="minorHAnsi"/>
                <w:sz w:val="22"/>
                <w:szCs w:val="22"/>
              </w:rPr>
              <w:t>0.3</w:t>
            </w:r>
          </w:p>
        </w:tc>
        <w:tc>
          <w:tcPr>
            <w:tcW w:w="924" w:type="pct"/>
            <w:tcBorders>
              <w:top w:val="single" w:sz="2" w:space="0" w:color="BFBFBF"/>
              <w:bottom w:val="single" w:sz="2" w:space="0" w:color="BFBFBF"/>
            </w:tcBorders>
            <w:vAlign w:val="top"/>
          </w:tcPr>
          <w:p w14:paraId="3E7C6CD4" w14:textId="4391C3D3" w:rsidR="005C0B53" w:rsidRPr="000E1597" w:rsidRDefault="005C0B53" w:rsidP="00E37790">
            <w:pPr>
              <w:rPr>
                <w:rFonts w:asciiTheme="minorHAnsi" w:hAnsiTheme="minorHAnsi"/>
                <w:sz w:val="22"/>
                <w:szCs w:val="22"/>
                <w:lang w:val="lv-LV"/>
              </w:rPr>
            </w:pPr>
            <w:r>
              <w:rPr>
                <w:rFonts w:asciiTheme="minorHAnsi" w:hAnsiTheme="minorHAnsi"/>
                <w:sz w:val="22"/>
                <w:szCs w:val="22"/>
              </w:rPr>
              <w:t xml:space="preserve">2025.gada </w:t>
            </w:r>
            <w:proofErr w:type="gramStart"/>
            <w:r>
              <w:rPr>
                <w:rFonts w:asciiTheme="minorHAnsi" w:hAnsiTheme="minorHAnsi"/>
                <w:sz w:val="22"/>
                <w:szCs w:val="22"/>
              </w:rPr>
              <w:t>15.janv</w:t>
            </w:r>
            <w:proofErr w:type="spellStart"/>
            <w:r>
              <w:rPr>
                <w:rFonts w:asciiTheme="minorHAnsi" w:hAnsiTheme="minorHAnsi"/>
                <w:sz w:val="22"/>
                <w:szCs w:val="22"/>
                <w:lang w:val="lv-LV"/>
              </w:rPr>
              <w:t>āris</w:t>
            </w:r>
            <w:proofErr w:type="spellEnd"/>
            <w:proofErr w:type="gramEnd"/>
          </w:p>
        </w:tc>
        <w:tc>
          <w:tcPr>
            <w:tcW w:w="2094" w:type="pct"/>
            <w:tcBorders>
              <w:top w:val="single" w:sz="2" w:space="0" w:color="BFBFBF"/>
              <w:bottom w:val="single" w:sz="2" w:space="0" w:color="BFBFBF"/>
            </w:tcBorders>
          </w:tcPr>
          <w:p w14:paraId="03F5E52E" w14:textId="687EC502" w:rsidR="005C0B53" w:rsidRPr="00E37790" w:rsidRDefault="005C0B53" w:rsidP="00E37790">
            <w:pPr>
              <w:rPr>
                <w:sz w:val="22"/>
                <w:szCs w:val="22"/>
                <w:lang w:val="lv-LV"/>
              </w:rPr>
            </w:pPr>
            <w:r>
              <w:rPr>
                <w:sz w:val="22"/>
                <w:szCs w:val="22"/>
                <w:lang w:val="lv-LV"/>
              </w:rPr>
              <w:t>Veikti precizējumi atbilstoši saņemtajiem komentāriem no Satiksmes ministrijas un Valsts ieņēmumu dienesta</w:t>
            </w:r>
          </w:p>
        </w:tc>
        <w:tc>
          <w:tcPr>
            <w:tcW w:w="1392" w:type="pct"/>
            <w:tcBorders>
              <w:top w:val="single" w:sz="2" w:space="0" w:color="BFBFBF"/>
              <w:bottom w:val="single" w:sz="2" w:space="0" w:color="BFBFBF"/>
            </w:tcBorders>
          </w:tcPr>
          <w:p w14:paraId="797BCFD8" w14:textId="686EF690" w:rsidR="005C0B53" w:rsidRPr="00E37790" w:rsidRDefault="005C0B53" w:rsidP="00E37790">
            <w:pPr>
              <w:rPr>
                <w:rFonts w:asciiTheme="minorHAnsi" w:hAnsiTheme="minorHAnsi"/>
                <w:sz w:val="22"/>
                <w:szCs w:val="22"/>
              </w:rPr>
            </w:pPr>
            <w:proofErr w:type="spellStart"/>
            <w:r w:rsidRPr="00E37790">
              <w:rPr>
                <w:sz w:val="22"/>
                <w:szCs w:val="22"/>
                <w:lang w:val="lv-LV"/>
              </w:rPr>
              <w:t>R.Pirta</w:t>
            </w:r>
            <w:proofErr w:type="spellEnd"/>
          </w:p>
        </w:tc>
      </w:tr>
      <w:tr w:rsidR="005C0B53" w:rsidRPr="00E37790" w14:paraId="5D41F01B" w14:textId="753D1169" w:rsidTr="000E1597">
        <w:tc>
          <w:tcPr>
            <w:tcW w:w="120" w:type="pct"/>
            <w:tcBorders>
              <w:top w:val="single" w:sz="18" w:space="0" w:color="FFFFFF"/>
              <w:bottom w:val="single" w:sz="18" w:space="0" w:color="FFFFFF"/>
            </w:tcBorders>
            <w:shd w:val="clear" w:color="auto" w:fill="E5E5E5"/>
            <w:vAlign w:val="top"/>
          </w:tcPr>
          <w:p w14:paraId="19FBCCF5" w14:textId="77777777" w:rsidR="005C0B53" w:rsidRPr="00E37790" w:rsidRDefault="005C0B53" w:rsidP="00E37790">
            <w:pPr>
              <w:spacing w:after="120"/>
              <w:rPr>
                <w:rFonts w:asciiTheme="minorHAnsi" w:hAnsiTheme="minorHAnsi"/>
                <w:sz w:val="22"/>
                <w:szCs w:val="22"/>
              </w:rPr>
            </w:pPr>
          </w:p>
        </w:tc>
        <w:tc>
          <w:tcPr>
            <w:tcW w:w="470" w:type="pct"/>
            <w:tcBorders>
              <w:top w:val="single" w:sz="18" w:space="0" w:color="FFFFFF"/>
              <w:bottom w:val="single" w:sz="18" w:space="0" w:color="FFFFFF"/>
            </w:tcBorders>
            <w:shd w:val="clear" w:color="auto" w:fill="F2F2F2"/>
            <w:vAlign w:val="top"/>
          </w:tcPr>
          <w:p w14:paraId="6BF28AD3" w14:textId="2B7D8C61" w:rsidR="005C0B53" w:rsidRPr="00E37790" w:rsidRDefault="005C0B53" w:rsidP="00E37790">
            <w:pPr>
              <w:rPr>
                <w:rFonts w:asciiTheme="minorHAnsi" w:hAnsiTheme="minorHAnsi"/>
                <w:sz w:val="22"/>
                <w:szCs w:val="22"/>
              </w:rPr>
            </w:pPr>
          </w:p>
        </w:tc>
        <w:tc>
          <w:tcPr>
            <w:tcW w:w="924" w:type="pct"/>
            <w:tcBorders>
              <w:top w:val="single" w:sz="2" w:space="0" w:color="BFBFBF"/>
              <w:bottom w:val="single" w:sz="2" w:space="0" w:color="BFBFBF"/>
            </w:tcBorders>
            <w:vAlign w:val="top"/>
          </w:tcPr>
          <w:p w14:paraId="52C4A6DB" w14:textId="39090E7C" w:rsidR="005C0B53" w:rsidRPr="00E37790" w:rsidRDefault="005C0B53" w:rsidP="00E37790">
            <w:pPr>
              <w:rPr>
                <w:rFonts w:asciiTheme="minorHAnsi" w:hAnsiTheme="minorHAnsi"/>
                <w:sz w:val="22"/>
                <w:szCs w:val="22"/>
              </w:rPr>
            </w:pPr>
          </w:p>
        </w:tc>
        <w:tc>
          <w:tcPr>
            <w:tcW w:w="2094" w:type="pct"/>
            <w:tcBorders>
              <w:top w:val="single" w:sz="2" w:space="0" w:color="BFBFBF"/>
              <w:bottom w:val="single" w:sz="2" w:space="0" w:color="BFBFBF"/>
            </w:tcBorders>
          </w:tcPr>
          <w:p w14:paraId="5D81C9FA" w14:textId="77777777" w:rsidR="005C0B53" w:rsidRPr="00E37790" w:rsidRDefault="005C0B53" w:rsidP="00E37790">
            <w:pPr>
              <w:rPr>
                <w:sz w:val="22"/>
                <w:szCs w:val="22"/>
              </w:rPr>
            </w:pPr>
          </w:p>
        </w:tc>
        <w:tc>
          <w:tcPr>
            <w:tcW w:w="1392" w:type="pct"/>
            <w:tcBorders>
              <w:top w:val="single" w:sz="2" w:space="0" w:color="BFBFBF"/>
              <w:bottom w:val="single" w:sz="2" w:space="0" w:color="BFBFBF"/>
            </w:tcBorders>
          </w:tcPr>
          <w:p w14:paraId="42D1CFDF" w14:textId="0B65DAA6" w:rsidR="005C0B53" w:rsidRPr="00E37790" w:rsidRDefault="005C0B53" w:rsidP="00E37790">
            <w:pPr>
              <w:rPr>
                <w:rFonts w:asciiTheme="minorHAnsi" w:hAnsiTheme="minorHAnsi"/>
                <w:sz w:val="22"/>
                <w:szCs w:val="22"/>
              </w:rPr>
            </w:pPr>
          </w:p>
        </w:tc>
      </w:tr>
    </w:tbl>
    <w:p w14:paraId="5B8E64B9" w14:textId="77777777" w:rsidR="00E37790" w:rsidRPr="00972A8D" w:rsidRDefault="00E37790" w:rsidP="00972A8D">
      <w:pPr>
        <w:rPr>
          <w:rFonts w:asciiTheme="majorHAnsi" w:hAnsiTheme="majorHAnsi"/>
          <w:sz w:val="28"/>
          <w:szCs w:val="28"/>
          <w:lang w:val="lv-LV"/>
        </w:rPr>
      </w:pPr>
    </w:p>
    <w:p w14:paraId="7BACE69F" w14:textId="77777777" w:rsidR="00972A8D" w:rsidRPr="00972A8D" w:rsidRDefault="00972A8D" w:rsidP="00972A8D">
      <w:pPr>
        <w:sectPr w:rsidR="00972A8D" w:rsidRPr="00972A8D">
          <w:pgSz w:w="12240" w:h="15840"/>
          <w:pgMar w:top="1440" w:right="1440" w:bottom="1440" w:left="1440" w:header="720" w:footer="720" w:gutter="0"/>
          <w:cols w:space="720"/>
          <w:docGrid w:linePitch="360"/>
        </w:sectPr>
      </w:pPr>
    </w:p>
    <w:p w14:paraId="15041BED" w14:textId="14744DB7" w:rsidR="00972A8D" w:rsidRPr="00972A8D" w:rsidRDefault="00972A8D" w:rsidP="00D5520A">
      <w:pPr>
        <w:pStyle w:val="Heading1"/>
        <w:numPr>
          <w:ilvl w:val="0"/>
          <w:numId w:val="4"/>
        </w:numPr>
      </w:pPr>
      <w:proofErr w:type="spellStart"/>
      <w:r w:rsidRPr="00972A8D">
        <w:lastRenderedPageBreak/>
        <w:t>Ievads</w:t>
      </w:r>
      <w:bookmarkEnd w:id="1"/>
      <w:proofErr w:type="spellEnd"/>
    </w:p>
    <w:bookmarkEnd w:id="2"/>
    <w:p w14:paraId="4C8786BC" w14:textId="7806F0A3" w:rsidR="00AC772B" w:rsidRDefault="00AC772B" w:rsidP="004C2471">
      <w:pPr>
        <w:jc w:val="both"/>
        <w:rPr>
          <w:lang w:val="lv-LV"/>
        </w:rPr>
      </w:pPr>
      <w:r>
        <w:rPr>
          <w:lang w:val="lv-LV"/>
        </w:rPr>
        <w:t>Dokumenta mērķis ir definēt nacionālā līmeņa arhitektūras principus, kas jāņem vērā, izstrādājot jomu</w:t>
      </w:r>
      <w:r w:rsidR="00E7265F">
        <w:rPr>
          <w:lang w:val="lv-LV"/>
        </w:rPr>
        <w:t xml:space="preserve"> </w:t>
      </w:r>
      <w:proofErr w:type="spellStart"/>
      <w:r w:rsidR="00E7265F">
        <w:rPr>
          <w:lang w:val="lv-LV"/>
        </w:rPr>
        <w:t>mērķarhitektūras</w:t>
      </w:r>
      <w:proofErr w:type="spellEnd"/>
      <w:r>
        <w:rPr>
          <w:lang w:val="lv-LV"/>
        </w:rPr>
        <w:t xml:space="preserve"> un </w:t>
      </w:r>
      <w:r w:rsidR="00E7265F">
        <w:rPr>
          <w:lang w:val="lv-LV"/>
        </w:rPr>
        <w:t xml:space="preserve">nākotnes </w:t>
      </w:r>
      <w:r>
        <w:rPr>
          <w:lang w:val="lv-LV"/>
        </w:rPr>
        <w:t xml:space="preserve">IKT risinājumu arhitektūras. </w:t>
      </w:r>
    </w:p>
    <w:p w14:paraId="722FB096" w14:textId="157F2B23" w:rsidR="00D831D9" w:rsidRDefault="00D831D9" w:rsidP="004C2471">
      <w:pPr>
        <w:jc w:val="both"/>
        <w:rPr>
          <w:lang w:val="lv-LV"/>
        </w:rPr>
      </w:pPr>
      <w:r>
        <w:rPr>
          <w:lang w:val="lv-LV"/>
        </w:rPr>
        <w:t xml:space="preserve">Valsts digitālo pakalpojumu arhitektūras principi iedalīti </w:t>
      </w:r>
      <w:r w:rsidR="004C2471">
        <w:rPr>
          <w:lang w:val="lv-LV"/>
        </w:rPr>
        <w:t>trīs</w:t>
      </w:r>
      <w:r>
        <w:rPr>
          <w:lang w:val="lv-LV"/>
        </w:rPr>
        <w:t xml:space="preserve"> grupās:</w:t>
      </w:r>
    </w:p>
    <w:p w14:paraId="12CC3A21" w14:textId="0054BDB8" w:rsidR="00D831D9" w:rsidRPr="008E3698" w:rsidRDefault="00D831D9" w:rsidP="00D5520A">
      <w:pPr>
        <w:pStyle w:val="ListParagraph"/>
        <w:numPr>
          <w:ilvl w:val="0"/>
          <w:numId w:val="3"/>
        </w:numPr>
        <w:spacing w:before="120" w:after="60" w:line="240" w:lineRule="auto"/>
        <w:jc w:val="both"/>
        <w:rPr>
          <w:lang w:val="lv-LV"/>
        </w:rPr>
      </w:pPr>
      <w:r w:rsidRPr="008E3698">
        <w:rPr>
          <w:b/>
          <w:bCs/>
          <w:lang w:val="lv-LV"/>
        </w:rPr>
        <w:t>Vispārējie principi</w:t>
      </w:r>
      <w:r w:rsidRPr="008E3698">
        <w:rPr>
          <w:lang w:val="lv-LV"/>
        </w:rPr>
        <w:t xml:space="preserve"> – principi, kas attiecināmi uz visiem arhitektūras skatiem</w:t>
      </w:r>
      <w:r w:rsidR="002F05D2">
        <w:rPr>
          <w:lang w:val="lv-LV"/>
        </w:rPr>
        <w:t>.</w:t>
      </w:r>
    </w:p>
    <w:p w14:paraId="17FB8DE8" w14:textId="464184B5" w:rsidR="00D831D9" w:rsidRPr="008E3698" w:rsidRDefault="00D831D9" w:rsidP="00D5520A">
      <w:pPr>
        <w:pStyle w:val="ListParagraph"/>
        <w:numPr>
          <w:ilvl w:val="0"/>
          <w:numId w:val="3"/>
        </w:numPr>
        <w:spacing w:before="120" w:after="60" w:line="240" w:lineRule="auto"/>
        <w:jc w:val="both"/>
        <w:rPr>
          <w:b/>
          <w:bCs/>
          <w:i/>
          <w:iCs/>
          <w:lang w:val="lv-LV"/>
        </w:rPr>
      </w:pPr>
      <w:r w:rsidRPr="008E3698">
        <w:rPr>
          <w:b/>
          <w:bCs/>
          <w:lang w:val="lv-LV"/>
        </w:rPr>
        <w:t xml:space="preserve">Semantiskie principi </w:t>
      </w:r>
      <w:r w:rsidRPr="008E3698">
        <w:rPr>
          <w:lang w:val="lv-LV"/>
        </w:rPr>
        <w:t>– principi, kas nosaka datu arhitektūras izveidi un pārvaldību</w:t>
      </w:r>
      <w:r w:rsidR="002F05D2">
        <w:rPr>
          <w:lang w:val="lv-LV"/>
        </w:rPr>
        <w:t>.</w:t>
      </w:r>
      <w:r w:rsidRPr="008E3698">
        <w:rPr>
          <w:i/>
          <w:iCs/>
          <w:lang w:val="lv-LV"/>
        </w:rPr>
        <w:t xml:space="preserve"> </w:t>
      </w:r>
    </w:p>
    <w:p w14:paraId="76BB8437" w14:textId="6A97FC7E" w:rsidR="00D831D9" w:rsidRDefault="00D831D9" w:rsidP="00D5520A">
      <w:pPr>
        <w:pStyle w:val="ListParagraph"/>
        <w:numPr>
          <w:ilvl w:val="0"/>
          <w:numId w:val="3"/>
        </w:numPr>
        <w:spacing w:before="120" w:after="60" w:line="240" w:lineRule="auto"/>
        <w:jc w:val="both"/>
        <w:rPr>
          <w:lang w:val="lv-LV"/>
        </w:rPr>
      </w:pPr>
      <w:r w:rsidRPr="008E3698">
        <w:rPr>
          <w:b/>
          <w:bCs/>
          <w:lang w:val="lv-LV"/>
        </w:rPr>
        <w:t xml:space="preserve">Tehniskie principi </w:t>
      </w:r>
      <w:r w:rsidRPr="008E3698">
        <w:rPr>
          <w:lang w:val="lv-LV"/>
        </w:rPr>
        <w:t>– principi, kas attiecināmi uz informācijas sistēmām, to sadarbību, kā arī sistēmu darbībai nepieciešamās infrastruktūras arhitektūras izveidi</w:t>
      </w:r>
      <w:r w:rsidR="002F05D2">
        <w:rPr>
          <w:lang w:val="lv-LV"/>
        </w:rPr>
        <w:t>.</w:t>
      </w:r>
    </w:p>
    <w:p w14:paraId="5153F3C1" w14:textId="59492830" w:rsidR="005E02C2" w:rsidRPr="005E02C2" w:rsidRDefault="005E02C2" w:rsidP="004C2471">
      <w:pPr>
        <w:spacing w:before="120" w:after="60" w:line="240" w:lineRule="auto"/>
        <w:jc w:val="both"/>
        <w:rPr>
          <w:iCs/>
          <w:lang w:val="lv-LV"/>
        </w:rPr>
      </w:pPr>
      <w:r w:rsidRPr="005E02C2">
        <w:rPr>
          <w:iCs/>
          <w:lang w:val="lv-LV"/>
        </w:rPr>
        <w:t>Dokumenta mērķauditorija ir:</w:t>
      </w:r>
    </w:p>
    <w:p w14:paraId="1CBB236F" w14:textId="0681C991" w:rsidR="005E02C2" w:rsidRPr="005E02C2" w:rsidRDefault="005E02C2" w:rsidP="00D5520A">
      <w:pPr>
        <w:numPr>
          <w:ilvl w:val="0"/>
          <w:numId w:val="5"/>
        </w:numPr>
        <w:spacing w:before="120" w:after="60" w:line="240" w:lineRule="auto"/>
        <w:jc w:val="both"/>
        <w:rPr>
          <w:iCs/>
          <w:lang w:val="lv-LV"/>
        </w:rPr>
      </w:pPr>
      <w:r>
        <w:rPr>
          <w:b/>
          <w:bCs/>
          <w:iCs/>
          <w:lang w:val="lv-LV"/>
        </w:rPr>
        <w:t>Valsts pārvaldes i</w:t>
      </w:r>
      <w:r w:rsidRPr="005E02C2">
        <w:rPr>
          <w:b/>
          <w:bCs/>
          <w:iCs/>
          <w:lang w:val="lv-LV"/>
        </w:rPr>
        <w:t>estādes</w:t>
      </w:r>
      <w:r w:rsidRPr="005E02C2">
        <w:rPr>
          <w:iCs/>
          <w:lang w:val="lv-LV"/>
        </w:rPr>
        <w:t xml:space="preserve"> –</w:t>
      </w:r>
      <w:r>
        <w:rPr>
          <w:iCs/>
          <w:lang w:val="lv-LV"/>
        </w:rPr>
        <w:t xml:space="preserve"> jomas arhitektūru,</w:t>
      </w:r>
      <w:r w:rsidRPr="005E02C2">
        <w:rPr>
          <w:iCs/>
          <w:lang w:val="lv-LV"/>
        </w:rPr>
        <w:t xml:space="preserve"> </w:t>
      </w:r>
      <w:r w:rsidR="00BD2F4B">
        <w:rPr>
          <w:iCs/>
          <w:lang w:val="lv-LV"/>
        </w:rPr>
        <w:t xml:space="preserve">digitālo pakalpojumu un </w:t>
      </w:r>
      <w:r>
        <w:rPr>
          <w:iCs/>
          <w:lang w:val="lv-LV"/>
        </w:rPr>
        <w:t>IKT</w:t>
      </w:r>
      <w:r w:rsidRPr="005E02C2">
        <w:rPr>
          <w:iCs/>
          <w:lang w:val="lv-LV"/>
        </w:rPr>
        <w:t xml:space="preserve"> risinājumu arhitektūras plānošanai.</w:t>
      </w:r>
    </w:p>
    <w:p w14:paraId="524B1784" w14:textId="77777777" w:rsidR="005E02C2" w:rsidRDefault="005E02C2" w:rsidP="00D5520A">
      <w:pPr>
        <w:numPr>
          <w:ilvl w:val="0"/>
          <w:numId w:val="5"/>
        </w:numPr>
        <w:spacing w:before="120" w:after="60" w:line="240" w:lineRule="auto"/>
        <w:jc w:val="both"/>
        <w:rPr>
          <w:iCs/>
          <w:lang w:val="lv-LV"/>
        </w:rPr>
      </w:pPr>
      <w:r w:rsidRPr="005E02C2">
        <w:rPr>
          <w:b/>
          <w:bCs/>
          <w:iCs/>
          <w:lang w:val="lv-LV"/>
        </w:rPr>
        <w:t>Valsts IKT politikas plānotāji</w:t>
      </w:r>
      <w:r w:rsidRPr="005E02C2">
        <w:rPr>
          <w:iCs/>
          <w:lang w:val="lv-LV"/>
        </w:rPr>
        <w:t xml:space="preserve"> – valsts IKT arhitektūras plānošanai un pārvaldībai.</w:t>
      </w:r>
    </w:p>
    <w:p w14:paraId="57CC5CC9" w14:textId="4DC1F93A" w:rsidR="00BD2F4B" w:rsidRDefault="00BD2F4B" w:rsidP="004C2471">
      <w:pPr>
        <w:spacing w:before="120" w:after="60" w:line="240" w:lineRule="auto"/>
        <w:jc w:val="both"/>
        <w:rPr>
          <w:iCs/>
          <w:lang w:val="lv-LV"/>
        </w:rPr>
      </w:pPr>
      <w:r w:rsidRPr="00BD2F4B">
        <w:rPr>
          <w:iCs/>
          <w:lang w:val="lv-LV"/>
        </w:rPr>
        <w:t>Nacionālās līmeņa arhitektūras principi ir izstrādāti kā vispārējs</w:t>
      </w:r>
      <w:r>
        <w:rPr>
          <w:iCs/>
          <w:lang w:val="lv-LV"/>
        </w:rPr>
        <w:t xml:space="preserve"> metodiskais</w:t>
      </w:r>
      <w:r w:rsidRPr="00BD2F4B">
        <w:rPr>
          <w:iCs/>
          <w:lang w:val="lv-LV"/>
        </w:rPr>
        <w:t xml:space="preserve"> ietvars, kas piemērojams visām valsts pārvaldes iestādēm. Tajos noteikti galvenie nosacījumi </w:t>
      </w:r>
      <w:proofErr w:type="spellStart"/>
      <w:r w:rsidRPr="00BD2F4B">
        <w:rPr>
          <w:iCs/>
          <w:lang w:val="lv-LV"/>
        </w:rPr>
        <w:t>sadarbspējas</w:t>
      </w:r>
      <w:proofErr w:type="spellEnd"/>
      <w:r w:rsidRPr="00BD2F4B">
        <w:rPr>
          <w:iCs/>
          <w:lang w:val="lv-LV"/>
        </w:rPr>
        <w:t xml:space="preserve"> nodrošināšanai, un tie kalpo kā vienots vadmotīvs iniciatīvām visos līmeņos</w:t>
      </w:r>
      <w:r>
        <w:rPr>
          <w:iCs/>
          <w:lang w:val="lv-LV"/>
        </w:rPr>
        <w:t>.</w:t>
      </w:r>
      <w:r w:rsidR="00E7265F">
        <w:rPr>
          <w:iCs/>
          <w:lang w:val="lv-LV"/>
        </w:rPr>
        <w:t xml:space="preserve"> </w:t>
      </w:r>
    </w:p>
    <w:p w14:paraId="0FB4E4A3" w14:textId="6F1B5134" w:rsidR="00E7265F" w:rsidRDefault="00E7265F" w:rsidP="004C2471">
      <w:pPr>
        <w:spacing w:before="120" w:after="60" w:line="240" w:lineRule="auto"/>
        <w:jc w:val="both"/>
        <w:rPr>
          <w:iCs/>
          <w:lang w:val="lv-LV"/>
        </w:rPr>
      </w:pPr>
      <w:r>
        <w:rPr>
          <w:iCs/>
          <w:lang w:val="lv-LV"/>
        </w:rPr>
        <w:t>Principiem ir definētas to ieviešanas vadlīnijas, kā arī novērtējuma vadlīnijas jeb prasības, kas apkopotas kontrolsarakstos</w:t>
      </w:r>
      <w:r w:rsidR="0019416D">
        <w:rPr>
          <w:iCs/>
          <w:lang w:val="lv-LV"/>
        </w:rPr>
        <w:t xml:space="preserve"> (skatīt pielikumu). Kontrolsaraksti izmantojami</w:t>
      </w:r>
      <w:r>
        <w:rPr>
          <w:iCs/>
          <w:lang w:val="lv-LV"/>
        </w:rPr>
        <w:t xml:space="preserve"> jomu </w:t>
      </w:r>
      <w:proofErr w:type="spellStart"/>
      <w:r>
        <w:rPr>
          <w:iCs/>
          <w:lang w:val="lv-LV"/>
        </w:rPr>
        <w:t>mērķarhitektūru</w:t>
      </w:r>
      <w:proofErr w:type="spellEnd"/>
      <w:r>
        <w:rPr>
          <w:iCs/>
          <w:lang w:val="lv-LV"/>
        </w:rPr>
        <w:t xml:space="preserve"> un nākotnes IKT risinājumu </w:t>
      </w:r>
      <w:r w:rsidR="0019416D">
        <w:rPr>
          <w:iCs/>
          <w:lang w:val="lv-LV"/>
        </w:rPr>
        <w:t xml:space="preserve">arhitektūras </w:t>
      </w:r>
      <w:r>
        <w:rPr>
          <w:iCs/>
          <w:lang w:val="lv-LV"/>
        </w:rPr>
        <w:t xml:space="preserve">novērtēšanai. Novērtēšanas kontroljautājumi jeb prasības tiks iedalīti obligātajos un rekomendējamajos. Obligātos kontroljautājumus noteiks normatīvā regulējuma prasības. Rekomendējamo </w:t>
      </w:r>
      <w:r w:rsidR="009913D5">
        <w:rPr>
          <w:iCs/>
          <w:lang w:val="lv-LV"/>
        </w:rPr>
        <w:t>kontroljautājumu</w:t>
      </w:r>
      <w:r>
        <w:rPr>
          <w:iCs/>
          <w:lang w:val="lv-LV"/>
        </w:rPr>
        <w:t xml:space="preserve"> piemērošana ir skatāma, vērtējot katras specifiskās jomas vai IKT risinājuma kontekstu</w:t>
      </w:r>
      <w:r w:rsidR="009913D5">
        <w:rPr>
          <w:iCs/>
          <w:lang w:val="lv-LV"/>
        </w:rPr>
        <w:t xml:space="preserve"> un specifiku</w:t>
      </w:r>
      <w:r>
        <w:rPr>
          <w:iCs/>
          <w:lang w:val="lv-LV"/>
        </w:rPr>
        <w:t xml:space="preserve">, esošās arhitektūras ierobežojumus, kā arī </w:t>
      </w:r>
      <w:r w:rsidR="009913D5">
        <w:rPr>
          <w:iCs/>
          <w:lang w:val="lv-LV"/>
        </w:rPr>
        <w:t xml:space="preserve">citus </w:t>
      </w:r>
      <w:r>
        <w:rPr>
          <w:iCs/>
          <w:lang w:val="lv-LV"/>
        </w:rPr>
        <w:t>raksturlielumus. Principi primāri piemērojami jaunu IKT risinājumu izveidē</w:t>
      </w:r>
      <w:r w:rsidR="009913D5">
        <w:rPr>
          <w:iCs/>
          <w:lang w:val="lv-LV"/>
        </w:rPr>
        <w:t xml:space="preserve"> un neuzliek pienākumu vēsturisko esošo risinājumu tūlītējai pārveidei. </w:t>
      </w:r>
    </w:p>
    <w:p w14:paraId="2BA33E24" w14:textId="53F317DC" w:rsidR="00694273" w:rsidRDefault="00694273" w:rsidP="004C2471">
      <w:pPr>
        <w:spacing w:before="120" w:after="60" w:line="240" w:lineRule="auto"/>
        <w:jc w:val="both"/>
        <w:rPr>
          <w:iCs/>
          <w:lang w:val="lv-LV"/>
        </w:rPr>
      </w:pPr>
      <w:r>
        <w:rPr>
          <w:iCs/>
          <w:lang w:val="lv-LV"/>
        </w:rPr>
        <w:t>Dokumentā izmantoto terminu un saīsinājumu apraksts skatāms 1.tabulā.</w:t>
      </w:r>
    </w:p>
    <w:p w14:paraId="04E98FAA" w14:textId="77777777" w:rsidR="00FF477B" w:rsidRDefault="00FF477B" w:rsidP="004C2471">
      <w:pPr>
        <w:spacing w:before="120" w:after="60" w:line="240" w:lineRule="auto"/>
        <w:jc w:val="both"/>
        <w:rPr>
          <w:iCs/>
          <w:lang w:val="lv-LV"/>
        </w:rPr>
      </w:pPr>
    </w:p>
    <w:p w14:paraId="29EE871F" w14:textId="3F4D2A77" w:rsidR="00FF477B" w:rsidRPr="00FF477B" w:rsidRDefault="00FF477B" w:rsidP="00FF477B">
      <w:pPr>
        <w:keepNext/>
        <w:rPr>
          <w:i/>
          <w:iCs/>
          <w:color w:val="0E2841" w:themeColor="text2"/>
          <w:szCs w:val="18"/>
        </w:rPr>
      </w:pPr>
      <w:r w:rsidRPr="00A45190">
        <w:rPr>
          <w:i/>
          <w:iCs/>
          <w:color w:val="0E2841" w:themeColor="text2"/>
          <w:szCs w:val="18"/>
        </w:rPr>
        <w:t xml:space="preserve">Tabula </w:t>
      </w:r>
      <w:r w:rsidRPr="00A45190">
        <w:rPr>
          <w:i/>
          <w:color w:val="0E2841" w:themeColor="text2"/>
          <w:szCs w:val="18"/>
          <w:shd w:val="clear" w:color="auto" w:fill="E6E6E6"/>
        </w:rPr>
        <w:fldChar w:fldCharType="begin"/>
      </w:r>
      <w:r w:rsidRPr="00A45190">
        <w:rPr>
          <w:i/>
          <w:iCs/>
          <w:color w:val="0E2841" w:themeColor="text2"/>
          <w:szCs w:val="18"/>
        </w:rPr>
        <w:instrText xml:space="preserve"> SEQ Tabula \* ARABIC </w:instrText>
      </w:r>
      <w:r w:rsidRPr="00A45190">
        <w:rPr>
          <w:i/>
          <w:color w:val="0E2841" w:themeColor="text2"/>
          <w:szCs w:val="18"/>
          <w:shd w:val="clear" w:color="auto" w:fill="E6E6E6"/>
        </w:rPr>
        <w:fldChar w:fldCharType="separate"/>
      </w:r>
      <w:r>
        <w:rPr>
          <w:i/>
          <w:iCs/>
          <w:noProof/>
          <w:color w:val="0E2841" w:themeColor="text2"/>
          <w:szCs w:val="18"/>
        </w:rPr>
        <w:t>1</w:t>
      </w:r>
      <w:r w:rsidRPr="00A45190">
        <w:rPr>
          <w:i/>
          <w:color w:val="0E2841" w:themeColor="text2"/>
          <w:szCs w:val="18"/>
          <w:shd w:val="clear" w:color="auto" w:fill="E6E6E6"/>
        </w:rPr>
        <w:fldChar w:fldCharType="end"/>
      </w:r>
      <w:r w:rsidRPr="00A45190">
        <w:rPr>
          <w:i/>
          <w:iCs/>
          <w:color w:val="0E2841" w:themeColor="text2"/>
          <w:szCs w:val="18"/>
        </w:rPr>
        <w:t xml:space="preserve">. </w:t>
      </w:r>
      <w:proofErr w:type="spellStart"/>
      <w:r w:rsidRPr="00A45190">
        <w:rPr>
          <w:i/>
          <w:iCs/>
          <w:color w:val="0E2841" w:themeColor="text2"/>
          <w:szCs w:val="18"/>
        </w:rPr>
        <w:t>Saīsinājumi</w:t>
      </w:r>
      <w:proofErr w:type="spellEnd"/>
      <w:r w:rsidRPr="00A45190">
        <w:rPr>
          <w:i/>
          <w:iCs/>
          <w:color w:val="0E2841" w:themeColor="text2"/>
          <w:szCs w:val="18"/>
        </w:rPr>
        <w:t xml:space="preserve"> un </w:t>
      </w:r>
      <w:proofErr w:type="spellStart"/>
      <w:r w:rsidRPr="00A45190">
        <w:rPr>
          <w:i/>
          <w:iCs/>
          <w:color w:val="0E2841" w:themeColor="text2"/>
          <w:szCs w:val="18"/>
        </w:rPr>
        <w:t>terminu</w:t>
      </w:r>
      <w:proofErr w:type="spellEnd"/>
      <w:r w:rsidRPr="00A45190">
        <w:rPr>
          <w:i/>
          <w:iCs/>
          <w:color w:val="0E2841" w:themeColor="text2"/>
          <w:szCs w:val="18"/>
        </w:rPr>
        <w:t xml:space="preserve"> </w:t>
      </w:r>
      <w:proofErr w:type="spellStart"/>
      <w:r w:rsidRPr="00A45190">
        <w:rPr>
          <w:i/>
          <w:iCs/>
          <w:color w:val="0E2841" w:themeColor="text2"/>
          <w:szCs w:val="18"/>
        </w:rPr>
        <w:t>skaidrojumi</w:t>
      </w:r>
      <w:proofErr w:type="spellEnd"/>
    </w:p>
    <w:tbl>
      <w:tblPr>
        <w:tblStyle w:val="PwCTableText11331"/>
        <w:tblW w:w="5000" w:type="pct"/>
        <w:tblLook w:val="04A0" w:firstRow="1" w:lastRow="0" w:firstColumn="1" w:lastColumn="0" w:noHBand="0" w:noVBand="1"/>
      </w:tblPr>
      <w:tblGrid>
        <w:gridCol w:w="236"/>
        <w:gridCol w:w="1964"/>
        <w:gridCol w:w="7160"/>
      </w:tblGrid>
      <w:tr w:rsidR="00092E36" w:rsidRPr="00FC236C" w14:paraId="397EE13F" w14:textId="77777777" w:rsidTr="00E37790">
        <w:trPr>
          <w:cnfStyle w:val="100000000000" w:firstRow="1" w:lastRow="0" w:firstColumn="0" w:lastColumn="0" w:oddVBand="0" w:evenVBand="0" w:oddHBand="0" w:evenHBand="0" w:firstRowFirstColumn="0" w:firstRowLastColumn="0" w:lastRowFirstColumn="0" w:lastRowLastColumn="0"/>
          <w:tblHeader/>
        </w:trPr>
        <w:tc>
          <w:tcPr>
            <w:tcW w:w="126" w:type="pct"/>
            <w:tcBorders>
              <w:top w:val="nil"/>
              <w:bottom w:val="single" w:sz="36" w:space="0" w:color="FFFFFF"/>
            </w:tcBorders>
            <w:shd w:val="clear" w:color="auto" w:fill="156082" w:themeFill="accent1"/>
            <w:vAlign w:val="top"/>
          </w:tcPr>
          <w:p w14:paraId="1190468F" w14:textId="77777777" w:rsidR="00092E36" w:rsidRPr="00FC236C" w:rsidRDefault="00092E36" w:rsidP="001C4F27">
            <w:pPr>
              <w:spacing w:after="120"/>
              <w:ind w:left="346"/>
              <w:rPr>
                <w:rFonts w:asciiTheme="minorHAnsi" w:hAnsiTheme="minorHAnsi"/>
                <w:sz w:val="22"/>
                <w:szCs w:val="22"/>
                <w:lang w:val="lv-LV"/>
              </w:rPr>
            </w:pPr>
          </w:p>
        </w:tc>
        <w:tc>
          <w:tcPr>
            <w:tcW w:w="1049" w:type="pct"/>
            <w:tcBorders>
              <w:top w:val="nil"/>
              <w:bottom w:val="single" w:sz="36" w:space="0" w:color="FFFFFF"/>
            </w:tcBorders>
            <w:shd w:val="clear" w:color="auto" w:fill="343434"/>
            <w:vAlign w:val="top"/>
          </w:tcPr>
          <w:p w14:paraId="66EF9DF6" w14:textId="77777777" w:rsidR="00092E36" w:rsidRPr="00FC236C" w:rsidRDefault="00092E36" w:rsidP="001C4F27">
            <w:pPr>
              <w:rPr>
                <w:rFonts w:asciiTheme="minorHAnsi" w:eastAsia="Arial" w:hAnsiTheme="minorHAnsi" w:cs="Times New Roman"/>
                <w:color w:val="FFFFFF"/>
                <w:sz w:val="22"/>
                <w:szCs w:val="22"/>
                <w:lang w:val="lv-LV"/>
              </w:rPr>
            </w:pPr>
            <w:r w:rsidRPr="00FC236C">
              <w:rPr>
                <w:rFonts w:asciiTheme="minorHAnsi" w:eastAsia="Arial" w:hAnsiTheme="minorHAnsi" w:cs="Times New Roman"/>
                <w:color w:val="FFFFFF"/>
                <w:sz w:val="22"/>
                <w:szCs w:val="22"/>
                <w:lang w:val="lv-LV"/>
              </w:rPr>
              <w:t>Saīsinājums</w:t>
            </w:r>
          </w:p>
        </w:tc>
        <w:tc>
          <w:tcPr>
            <w:tcW w:w="3825" w:type="pct"/>
            <w:tcBorders>
              <w:top w:val="nil"/>
              <w:bottom w:val="single" w:sz="36" w:space="0" w:color="FFFFFF"/>
            </w:tcBorders>
            <w:shd w:val="clear" w:color="auto" w:fill="595959"/>
            <w:vAlign w:val="top"/>
          </w:tcPr>
          <w:p w14:paraId="118BC12F" w14:textId="77777777" w:rsidR="00092E36" w:rsidRPr="00FC236C" w:rsidRDefault="00092E36" w:rsidP="001C4F27">
            <w:pPr>
              <w:rPr>
                <w:rFonts w:asciiTheme="minorHAnsi" w:eastAsia="Arial" w:hAnsiTheme="minorHAnsi" w:cs="Times New Roman"/>
                <w:color w:val="FFFFFF"/>
                <w:sz w:val="22"/>
                <w:szCs w:val="22"/>
                <w:lang w:val="lv-LV"/>
              </w:rPr>
            </w:pPr>
            <w:r w:rsidRPr="00FC236C">
              <w:rPr>
                <w:rFonts w:asciiTheme="minorHAnsi" w:eastAsia="Arial" w:hAnsiTheme="minorHAnsi" w:cs="Times New Roman"/>
                <w:color w:val="FFFFFF"/>
                <w:sz w:val="22"/>
                <w:szCs w:val="22"/>
                <w:lang w:val="lv-LV"/>
              </w:rPr>
              <w:t>Skaidrojums</w:t>
            </w:r>
          </w:p>
        </w:tc>
      </w:tr>
      <w:tr w:rsidR="00092E36" w:rsidRPr="00FC236C" w14:paraId="3A1E2533" w14:textId="77777777" w:rsidTr="00E37790">
        <w:tc>
          <w:tcPr>
            <w:tcW w:w="126" w:type="pct"/>
            <w:tcBorders>
              <w:top w:val="single" w:sz="18" w:space="0" w:color="FFFFFF"/>
              <w:bottom w:val="single" w:sz="18" w:space="0" w:color="FFFFFF"/>
            </w:tcBorders>
            <w:shd w:val="clear" w:color="auto" w:fill="E5E5E5"/>
            <w:vAlign w:val="top"/>
          </w:tcPr>
          <w:p w14:paraId="3B9BC59B"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1F88F91"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bidi="lv-LV"/>
              </w:rPr>
              <w:t>A2A</w:t>
            </w:r>
          </w:p>
        </w:tc>
        <w:tc>
          <w:tcPr>
            <w:tcW w:w="3825" w:type="pct"/>
            <w:tcBorders>
              <w:top w:val="single" w:sz="2" w:space="0" w:color="BFBFBF"/>
              <w:bottom w:val="single" w:sz="2" w:space="0" w:color="BFBFBF"/>
            </w:tcBorders>
            <w:vAlign w:val="top"/>
          </w:tcPr>
          <w:p w14:paraId="17A899BA" w14:textId="77777777" w:rsidR="00092E36" w:rsidRPr="00FC236C" w:rsidRDefault="00092E36" w:rsidP="00CC0295">
            <w:pPr>
              <w:rPr>
                <w:rFonts w:asciiTheme="minorHAnsi" w:hAnsiTheme="minorHAnsi"/>
                <w:sz w:val="22"/>
                <w:szCs w:val="22"/>
                <w:lang w:val="lv-LV" w:bidi="lv-LV"/>
              </w:rPr>
            </w:pPr>
            <w:r w:rsidRPr="00CC0295">
              <w:rPr>
                <w:rFonts w:asciiTheme="minorHAnsi" w:hAnsiTheme="minorHAnsi"/>
                <w:sz w:val="22"/>
                <w:szCs w:val="22"/>
                <w:lang w:val="lv-LV" w:bidi="lv-LV"/>
              </w:rPr>
              <w:t xml:space="preserve">Pārvaldes iestāde — pārvaldes iestāde </w:t>
            </w:r>
            <w:r w:rsidRPr="000E1597">
              <w:rPr>
                <w:i/>
                <w:iCs/>
                <w:sz w:val="22"/>
                <w:szCs w:val="22"/>
                <w:lang w:val="lv-LV" w:bidi="lv-LV"/>
              </w:rPr>
              <w:t>(</w:t>
            </w:r>
            <w:proofErr w:type="spellStart"/>
            <w:r w:rsidRPr="000E1597">
              <w:rPr>
                <w:i/>
                <w:iCs/>
                <w:sz w:val="22"/>
                <w:szCs w:val="22"/>
                <w:lang w:val="lv-LV" w:bidi="lv-LV"/>
              </w:rPr>
              <w:t>angl</w:t>
            </w:r>
            <w:proofErr w:type="spellEnd"/>
            <w:r w:rsidRPr="000E1597">
              <w:rPr>
                <w:i/>
                <w:iCs/>
                <w:sz w:val="22"/>
                <w:szCs w:val="22"/>
                <w:lang w:val="lv-LV" w:bidi="lv-LV"/>
              </w:rPr>
              <w:t>. - A</w:t>
            </w:r>
            <w:r w:rsidRPr="00F03AB0">
              <w:rPr>
                <w:rFonts w:asciiTheme="minorHAnsi" w:hAnsiTheme="minorHAnsi"/>
                <w:i/>
                <w:iCs/>
                <w:sz w:val="22"/>
                <w:szCs w:val="22"/>
                <w:lang w:val="lv-LV" w:bidi="lv-LV"/>
              </w:rPr>
              <w:t xml:space="preserve">dministration to </w:t>
            </w:r>
            <w:proofErr w:type="spellStart"/>
            <w:r w:rsidRPr="00F03AB0">
              <w:rPr>
                <w:rFonts w:asciiTheme="minorHAnsi" w:hAnsiTheme="minorHAnsi"/>
                <w:i/>
                <w:iCs/>
                <w:sz w:val="22"/>
                <w:szCs w:val="22"/>
                <w:lang w:val="lv-LV" w:bidi="lv-LV"/>
              </w:rPr>
              <w:t>administration</w:t>
            </w:r>
            <w:proofErr w:type="spellEnd"/>
            <w:r w:rsidRPr="000E1597">
              <w:rPr>
                <w:i/>
                <w:iCs/>
                <w:sz w:val="22"/>
                <w:szCs w:val="22"/>
                <w:lang w:val="lv-LV" w:bidi="lv-LV"/>
              </w:rPr>
              <w:t>)</w:t>
            </w:r>
          </w:p>
        </w:tc>
      </w:tr>
      <w:tr w:rsidR="00092E36" w:rsidRPr="00FC236C" w14:paraId="60AFDC9F" w14:textId="77777777" w:rsidTr="00E37790">
        <w:tc>
          <w:tcPr>
            <w:tcW w:w="126" w:type="pct"/>
            <w:tcBorders>
              <w:top w:val="single" w:sz="18" w:space="0" w:color="FFFFFF"/>
              <w:bottom w:val="single" w:sz="18" w:space="0" w:color="FFFFFF"/>
            </w:tcBorders>
            <w:shd w:val="clear" w:color="auto" w:fill="E5E5E5"/>
            <w:vAlign w:val="top"/>
          </w:tcPr>
          <w:p w14:paraId="3185EAF2"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79932273" w14:textId="77777777" w:rsidR="00092E36" w:rsidRPr="00FC236C" w:rsidRDefault="00092E36" w:rsidP="001C4F27">
            <w:pPr>
              <w:rPr>
                <w:rFonts w:asciiTheme="minorHAnsi" w:hAnsiTheme="minorHAnsi"/>
                <w:sz w:val="22"/>
                <w:szCs w:val="22"/>
                <w:lang w:val="lv-LV" w:bidi="lv-LV"/>
              </w:rPr>
            </w:pPr>
            <w:r w:rsidRPr="00FC236C">
              <w:rPr>
                <w:rFonts w:asciiTheme="minorHAnsi" w:hAnsiTheme="minorHAnsi"/>
                <w:sz w:val="22"/>
                <w:szCs w:val="22"/>
                <w:lang w:val="lv-LV" w:bidi="lv-LV"/>
              </w:rPr>
              <w:t>A2B</w:t>
            </w:r>
          </w:p>
        </w:tc>
        <w:tc>
          <w:tcPr>
            <w:tcW w:w="3825" w:type="pct"/>
            <w:tcBorders>
              <w:top w:val="single" w:sz="2" w:space="0" w:color="BFBFBF"/>
              <w:bottom w:val="single" w:sz="2" w:space="0" w:color="BFBFBF"/>
            </w:tcBorders>
            <w:vAlign w:val="top"/>
          </w:tcPr>
          <w:p w14:paraId="1C9D7C22" w14:textId="77777777" w:rsidR="00092E36" w:rsidRPr="00FC236C" w:rsidRDefault="00092E36" w:rsidP="00524C97">
            <w:pPr>
              <w:rPr>
                <w:rFonts w:asciiTheme="minorHAnsi" w:hAnsiTheme="minorHAnsi"/>
                <w:sz w:val="22"/>
                <w:szCs w:val="22"/>
                <w:lang w:val="lv-LV" w:bidi="lv-LV"/>
              </w:rPr>
            </w:pPr>
            <w:r w:rsidRPr="00524C97">
              <w:rPr>
                <w:rFonts w:asciiTheme="minorHAnsi" w:hAnsiTheme="minorHAnsi"/>
                <w:sz w:val="22"/>
                <w:szCs w:val="22"/>
                <w:lang w:val="lv-LV" w:bidi="lv-LV"/>
              </w:rPr>
              <w:t>Pārvaldes iestāde — uzņēmums</w:t>
            </w:r>
            <w:r w:rsidRPr="000E1597">
              <w:rPr>
                <w:i/>
                <w:iCs/>
                <w:sz w:val="22"/>
                <w:szCs w:val="22"/>
                <w:lang w:val="lv-LV" w:bidi="lv-LV"/>
              </w:rPr>
              <w:t xml:space="preserve"> (</w:t>
            </w:r>
            <w:proofErr w:type="spellStart"/>
            <w:r w:rsidRPr="000E1597">
              <w:rPr>
                <w:i/>
                <w:iCs/>
                <w:sz w:val="22"/>
                <w:szCs w:val="22"/>
                <w:lang w:val="lv-LV" w:bidi="lv-LV"/>
              </w:rPr>
              <w:t>angl</w:t>
            </w:r>
            <w:proofErr w:type="spellEnd"/>
            <w:r w:rsidRPr="000E1597">
              <w:rPr>
                <w:i/>
                <w:iCs/>
                <w:sz w:val="22"/>
                <w:szCs w:val="22"/>
                <w:lang w:val="lv-LV" w:bidi="lv-LV"/>
              </w:rPr>
              <w:t>. - A</w:t>
            </w:r>
            <w:r w:rsidRPr="00DD70A0">
              <w:rPr>
                <w:rFonts w:asciiTheme="minorHAnsi" w:hAnsiTheme="minorHAnsi"/>
                <w:i/>
                <w:iCs/>
                <w:sz w:val="22"/>
                <w:szCs w:val="22"/>
                <w:lang w:val="lv-LV" w:bidi="lv-LV"/>
              </w:rPr>
              <w:t xml:space="preserve">dministration to </w:t>
            </w:r>
            <w:proofErr w:type="spellStart"/>
            <w:r w:rsidRPr="00DD70A0">
              <w:rPr>
                <w:rFonts w:asciiTheme="minorHAnsi" w:hAnsiTheme="minorHAnsi"/>
                <w:i/>
                <w:iCs/>
                <w:sz w:val="22"/>
                <w:szCs w:val="22"/>
                <w:lang w:val="lv-LV" w:bidi="lv-LV"/>
              </w:rPr>
              <w:t>business</w:t>
            </w:r>
            <w:proofErr w:type="spellEnd"/>
            <w:r w:rsidRPr="000E1597">
              <w:rPr>
                <w:i/>
                <w:iCs/>
                <w:sz w:val="22"/>
                <w:szCs w:val="22"/>
                <w:lang w:val="lv-LV" w:bidi="lv-LV"/>
              </w:rPr>
              <w:t>)</w:t>
            </w:r>
          </w:p>
        </w:tc>
      </w:tr>
      <w:tr w:rsidR="00092E36" w:rsidRPr="00FC236C" w14:paraId="3C6FA664" w14:textId="77777777" w:rsidTr="00E37790">
        <w:tc>
          <w:tcPr>
            <w:tcW w:w="126" w:type="pct"/>
            <w:tcBorders>
              <w:top w:val="single" w:sz="18" w:space="0" w:color="FFFFFF"/>
              <w:bottom w:val="single" w:sz="18" w:space="0" w:color="FFFFFF"/>
            </w:tcBorders>
            <w:shd w:val="clear" w:color="auto" w:fill="E5E5E5"/>
            <w:vAlign w:val="top"/>
          </w:tcPr>
          <w:p w14:paraId="55AFA969"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4F02FF54" w14:textId="77777777" w:rsidR="00092E36" w:rsidRPr="00FC236C" w:rsidRDefault="00092E36" w:rsidP="001C4F27">
            <w:pPr>
              <w:rPr>
                <w:rFonts w:asciiTheme="minorHAnsi" w:hAnsiTheme="minorHAnsi"/>
                <w:sz w:val="22"/>
                <w:szCs w:val="22"/>
                <w:lang w:val="lv-LV" w:bidi="lv-LV"/>
              </w:rPr>
            </w:pPr>
            <w:r w:rsidRPr="00FC236C">
              <w:rPr>
                <w:rFonts w:asciiTheme="minorHAnsi" w:hAnsiTheme="minorHAnsi"/>
                <w:sz w:val="22"/>
                <w:szCs w:val="22"/>
                <w:lang w:val="lv-LV" w:bidi="lv-LV"/>
              </w:rPr>
              <w:t>A2C</w:t>
            </w:r>
          </w:p>
        </w:tc>
        <w:tc>
          <w:tcPr>
            <w:tcW w:w="3825" w:type="pct"/>
            <w:tcBorders>
              <w:top w:val="single" w:sz="2" w:space="0" w:color="BFBFBF"/>
              <w:bottom w:val="single" w:sz="2" w:space="0" w:color="BFBFBF"/>
            </w:tcBorders>
            <w:vAlign w:val="top"/>
          </w:tcPr>
          <w:p w14:paraId="410A1FB8" w14:textId="58247662" w:rsidR="00092E36" w:rsidRPr="00FC236C" w:rsidRDefault="00092E36" w:rsidP="00DE75FF">
            <w:pPr>
              <w:rPr>
                <w:rFonts w:asciiTheme="minorHAnsi" w:hAnsiTheme="minorHAnsi"/>
                <w:sz w:val="22"/>
                <w:szCs w:val="22"/>
                <w:lang w:val="lv-LV" w:bidi="lv-LV"/>
              </w:rPr>
            </w:pPr>
            <w:r w:rsidRPr="00DE75FF">
              <w:rPr>
                <w:rFonts w:asciiTheme="minorHAnsi" w:hAnsiTheme="minorHAnsi"/>
                <w:sz w:val="22"/>
                <w:szCs w:val="22"/>
                <w:lang w:val="lv-LV" w:bidi="lv-LV"/>
              </w:rPr>
              <w:t xml:space="preserve">Pārvaldes iestāde — iedzīvotājs </w:t>
            </w:r>
            <w:r w:rsidRPr="00FC236C">
              <w:rPr>
                <w:rFonts w:asciiTheme="minorHAnsi" w:hAnsiTheme="minorHAnsi"/>
                <w:sz w:val="22"/>
                <w:szCs w:val="22"/>
                <w:lang w:val="lv-LV" w:bidi="lv-LV"/>
              </w:rPr>
              <w:t>(</w:t>
            </w:r>
            <w:proofErr w:type="spellStart"/>
            <w:r w:rsidRPr="00FC236C">
              <w:rPr>
                <w:rFonts w:asciiTheme="minorHAnsi" w:hAnsiTheme="minorHAnsi"/>
                <w:i/>
                <w:sz w:val="22"/>
                <w:szCs w:val="22"/>
                <w:lang w:val="lv-LV" w:bidi="lv-LV"/>
              </w:rPr>
              <w:t>angl</w:t>
            </w:r>
            <w:proofErr w:type="spellEnd"/>
            <w:r w:rsidRPr="00FC236C">
              <w:rPr>
                <w:rFonts w:asciiTheme="minorHAnsi" w:hAnsiTheme="minorHAnsi"/>
                <w:i/>
                <w:sz w:val="22"/>
                <w:szCs w:val="22"/>
                <w:lang w:val="lv-LV" w:bidi="lv-LV"/>
              </w:rPr>
              <w:t xml:space="preserve">. - Administration to </w:t>
            </w:r>
            <w:proofErr w:type="spellStart"/>
            <w:r w:rsidRPr="00FC236C">
              <w:rPr>
                <w:rFonts w:asciiTheme="minorHAnsi" w:hAnsiTheme="minorHAnsi"/>
                <w:i/>
                <w:sz w:val="22"/>
                <w:szCs w:val="22"/>
                <w:lang w:val="lv-LV" w:bidi="lv-LV"/>
              </w:rPr>
              <w:t>citizen</w:t>
            </w:r>
            <w:proofErr w:type="spellEnd"/>
            <w:r w:rsidRPr="00FC236C">
              <w:rPr>
                <w:rFonts w:asciiTheme="minorHAnsi" w:hAnsiTheme="minorHAnsi"/>
                <w:sz w:val="22"/>
                <w:szCs w:val="22"/>
                <w:lang w:val="lv-LV" w:bidi="lv-LV"/>
              </w:rPr>
              <w:t>)</w:t>
            </w:r>
          </w:p>
        </w:tc>
      </w:tr>
      <w:tr w:rsidR="00DD70A0" w:rsidRPr="00FC236C" w14:paraId="401D3209" w14:textId="77777777" w:rsidTr="00E37790">
        <w:tc>
          <w:tcPr>
            <w:tcW w:w="126" w:type="pct"/>
            <w:tcBorders>
              <w:top w:val="single" w:sz="18" w:space="0" w:color="FFFFFF"/>
              <w:bottom w:val="single" w:sz="18" w:space="0" w:color="FFFFFF"/>
            </w:tcBorders>
            <w:shd w:val="clear" w:color="auto" w:fill="E5E5E5"/>
            <w:vAlign w:val="top"/>
          </w:tcPr>
          <w:p w14:paraId="641B0367" w14:textId="77777777" w:rsidR="00DD70A0" w:rsidRPr="00FC236C" w:rsidRDefault="00DD70A0" w:rsidP="001C4F27">
            <w:pPr>
              <w:spacing w:after="120"/>
              <w:rPr>
                <w:sz w:val="22"/>
                <w:szCs w:val="22"/>
                <w:lang w:val="lv-LV"/>
              </w:rPr>
            </w:pPr>
          </w:p>
        </w:tc>
        <w:tc>
          <w:tcPr>
            <w:tcW w:w="1049" w:type="pct"/>
            <w:tcBorders>
              <w:top w:val="single" w:sz="18" w:space="0" w:color="FFFFFF"/>
              <w:bottom w:val="single" w:sz="18" w:space="0" w:color="FFFFFF"/>
            </w:tcBorders>
            <w:shd w:val="clear" w:color="auto" w:fill="F2F2F2"/>
            <w:vAlign w:val="top"/>
          </w:tcPr>
          <w:p w14:paraId="7B5E6220" w14:textId="3FF97858" w:rsidR="00DD70A0" w:rsidRPr="000E1597" w:rsidRDefault="00DD70A0" w:rsidP="001C4F27">
            <w:pPr>
              <w:rPr>
                <w:rFonts w:asciiTheme="minorHAnsi" w:hAnsiTheme="minorHAnsi"/>
                <w:sz w:val="22"/>
                <w:szCs w:val="22"/>
                <w:lang w:val="lv-LV" w:bidi="lv-LV"/>
              </w:rPr>
            </w:pPr>
            <w:r w:rsidRPr="00DD70A0">
              <w:rPr>
                <w:sz w:val="22"/>
                <w:szCs w:val="22"/>
                <w:lang w:val="lv-LV" w:bidi="lv-LV"/>
              </w:rPr>
              <w:t>A2S</w:t>
            </w:r>
          </w:p>
        </w:tc>
        <w:tc>
          <w:tcPr>
            <w:tcW w:w="3825" w:type="pct"/>
            <w:tcBorders>
              <w:top w:val="single" w:sz="2" w:space="0" w:color="BFBFBF"/>
              <w:bottom w:val="single" w:sz="2" w:space="0" w:color="BFBFBF"/>
            </w:tcBorders>
            <w:vAlign w:val="top"/>
          </w:tcPr>
          <w:p w14:paraId="6EE7726A" w14:textId="791AD1F4" w:rsidR="00DD70A0" w:rsidRPr="000E1597" w:rsidRDefault="00DD70A0" w:rsidP="00DE75FF">
            <w:pPr>
              <w:rPr>
                <w:rFonts w:asciiTheme="minorHAnsi" w:hAnsiTheme="minorHAnsi"/>
                <w:sz w:val="22"/>
                <w:szCs w:val="22"/>
                <w:lang w:val="lv-LV" w:bidi="lv-LV"/>
              </w:rPr>
            </w:pPr>
            <w:r w:rsidRPr="00DD70A0">
              <w:rPr>
                <w:sz w:val="22"/>
                <w:szCs w:val="22"/>
                <w:lang w:val="lv-LV" w:bidi="lv-LV"/>
              </w:rPr>
              <w:t xml:space="preserve">Pārvaldes iestāde – sabiedrība </w:t>
            </w:r>
            <w:r w:rsidRPr="000E1597">
              <w:rPr>
                <w:i/>
                <w:iCs/>
                <w:sz w:val="22"/>
                <w:szCs w:val="22"/>
                <w:lang w:val="lv-LV" w:bidi="lv-LV"/>
              </w:rPr>
              <w:t>(</w:t>
            </w:r>
            <w:proofErr w:type="spellStart"/>
            <w:r w:rsidRPr="000E1597">
              <w:rPr>
                <w:i/>
                <w:iCs/>
                <w:sz w:val="22"/>
                <w:szCs w:val="22"/>
                <w:lang w:val="lv-LV" w:bidi="lv-LV"/>
              </w:rPr>
              <w:t>angl</w:t>
            </w:r>
            <w:proofErr w:type="spellEnd"/>
            <w:r w:rsidRPr="000E1597">
              <w:rPr>
                <w:i/>
                <w:iCs/>
                <w:sz w:val="22"/>
                <w:szCs w:val="22"/>
                <w:lang w:val="lv-LV" w:bidi="lv-LV"/>
              </w:rPr>
              <w:t xml:space="preserve">. – Administration to </w:t>
            </w:r>
            <w:proofErr w:type="spellStart"/>
            <w:r w:rsidRPr="000E1597">
              <w:rPr>
                <w:i/>
                <w:iCs/>
                <w:sz w:val="22"/>
                <w:szCs w:val="22"/>
                <w:lang w:val="lv-LV" w:bidi="lv-LV"/>
              </w:rPr>
              <w:t>society</w:t>
            </w:r>
            <w:proofErr w:type="spellEnd"/>
            <w:r w:rsidRPr="000E1597">
              <w:rPr>
                <w:i/>
                <w:iCs/>
                <w:sz w:val="22"/>
                <w:szCs w:val="22"/>
                <w:lang w:val="lv-LV" w:bidi="lv-LV"/>
              </w:rPr>
              <w:t>)</w:t>
            </w:r>
          </w:p>
        </w:tc>
      </w:tr>
      <w:tr w:rsidR="00092E36" w:rsidRPr="00FC236C" w14:paraId="66A9D3D0" w14:textId="77777777" w:rsidTr="00E37790">
        <w:tc>
          <w:tcPr>
            <w:tcW w:w="126" w:type="pct"/>
            <w:tcBorders>
              <w:top w:val="single" w:sz="18" w:space="0" w:color="FFFFFF"/>
              <w:bottom w:val="single" w:sz="18" w:space="0" w:color="FFFFFF"/>
            </w:tcBorders>
            <w:shd w:val="clear" w:color="auto" w:fill="E5E5E5"/>
            <w:vAlign w:val="top"/>
          </w:tcPr>
          <w:p w14:paraId="224F2E49"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52AF65D5"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API</w:t>
            </w:r>
          </w:p>
        </w:tc>
        <w:tc>
          <w:tcPr>
            <w:tcW w:w="3825" w:type="pct"/>
            <w:tcBorders>
              <w:top w:val="single" w:sz="2" w:space="0" w:color="BFBFBF"/>
              <w:bottom w:val="single" w:sz="2" w:space="0" w:color="BFBFBF"/>
            </w:tcBorders>
            <w:vAlign w:val="top"/>
          </w:tcPr>
          <w:p w14:paraId="2DE288E0"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 xml:space="preserve">Lietojumprogrammu programmēšanas </w:t>
            </w:r>
            <w:proofErr w:type="spellStart"/>
            <w:r w:rsidRPr="00FC236C">
              <w:rPr>
                <w:rFonts w:asciiTheme="minorHAnsi" w:hAnsiTheme="minorHAnsi"/>
                <w:sz w:val="22"/>
                <w:szCs w:val="22"/>
                <w:lang w:val="lv-LV"/>
              </w:rPr>
              <w:t>saskarne</w:t>
            </w:r>
            <w:proofErr w:type="spellEnd"/>
            <w:r w:rsidRPr="00FC236C">
              <w:rPr>
                <w:rFonts w:asciiTheme="minorHAnsi" w:hAnsiTheme="minorHAnsi"/>
                <w:sz w:val="22"/>
                <w:szCs w:val="22"/>
                <w:lang w:val="lv-LV"/>
              </w:rPr>
              <w:t xml:space="preserve"> (</w:t>
            </w:r>
            <w:proofErr w:type="spellStart"/>
            <w:r w:rsidRPr="00FC236C">
              <w:rPr>
                <w:rFonts w:asciiTheme="minorHAnsi" w:hAnsiTheme="minorHAnsi"/>
                <w:sz w:val="22"/>
                <w:szCs w:val="22"/>
                <w:lang w:val="lv-LV"/>
              </w:rPr>
              <w:t>angl</w:t>
            </w:r>
            <w:proofErr w:type="spellEnd"/>
            <w:r w:rsidRPr="00FC236C">
              <w:rPr>
                <w:rFonts w:asciiTheme="minorHAnsi" w:hAnsiTheme="minorHAnsi"/>
                <w:sz w:val="22"/>
                <w:szCs w:val="22"/>
                <w:lang w:val="lv-LV"/>
              </w:rPr>
              <w:t xml:space="preserve">. – </w:t>
            </w:r>
            <w:proofErr w:type="spellStart"/>
            <w:r w:rsidRPr="00FC236C">
              <w:rPr>
                <w:rFonts w:asciiTheme="minorHAnsi" w:hAnsiTheme="minorHAnsi"/>
                <w:i/>
                <w:sz w:val="22"/>
                <w:szCs w:val="22"/>
                <w:lang w:val="lv-LV"/>
              </w:rPr>
              <w:t>Application</w:t>
            </w:r>
            <w:proofErr w:type="spellEnd"/>
            <w:r w:rsidRPr="00FC236C">
              <w:rPr>
                <w:rFonts w:asciiTheme="minorHAnsi" w:hAnsiTheme="minorHAnsi"/>
                <w:i/>
                <w:sz w:val="22"/>
                <w:szCs w:val="22"/>
                <w:lang w:val="lv-LV"/>
              </w:rPr>
              <w:t xml:space="preserve"> </w:t>
            </w:r>
            <w:proofErr w:type="spellStart"/>
            <w:r w:rsidRPr="00FC236C">
              <w:rPr>
                <w:rFonts w:asciiTheme="minorHAnsi" w:hAnsiTheme="minorHAnsi"/>
                <w:i/>
                <w:sz w:val="22"/>
                <w:szCs w:val="22"/>
                <w:lang w:val="lv-LV"/>
              </w:rPr>
              <w:t>Programming</w:t>
            </w:r>
            <w:proofErr w:type="spellEnd"/>
            <w:r w:rsidRPr="00FC236C">
              <w:rPr>
                <w:rFonts w:asciiTheme="minorHAnsi" w:hAnsiTheme="minorHAnsi"/>
                <w:i/>
                <w:sz w:val="22"/>
                <w:szCs w:val="22"/>
                <w:lang w:val="lv-LV"/>
              </w:rPr>
              <w:t xml:space="preserve"> Interface</w:t>
            </w:r>
            <w:r w:rsidRPr="00FC236C">
              <w:rPr>
                <w:rFonts w:asciiTheme="minorHAnsi" w:hAnsiTheme="minorHAnsi"/>
                <w:sz w:val="22"/>
                <w:szCs w:val="22"/>
                <w:lang w:val="lv-LV"/>
              </w:rPr>
              <w:t>)</w:t>
            </w:r>
          </w:p>
        </w:tc>
      </w:tr>
      <w:tr w:rsidR="00092E36" w:rsidRPr="00FC236C" w14:paraId="245B9A8E" w14:textId="77777777" w:rsidTr="00E37790">
        <w:tc>
          <w:tcPr>
            <w:tcW w:w="126" w:type="pct"/>
            <w:tcBorders>
              <w:top w:val="single" w:sz="18" w:space="0" w:color="FFFFFF"/>
              <w:bottom w:val="single" w:sz="18" w:space="0" w:color="FFFFFF"/>
            </w:tcBorders>
            <w:shd w:val="clear" w:color="auto" w:fill="E5E5E5"/>
            <w:vAlign w:val="top"/>
          </w:tcPr>
          <w:p w14:paraId="1C2FB59F"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D574D2E"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Arhitektūras joma</w:t>
            </w:r>
          </w:p>
        </w:tc>
        <w:tc>
          <w:tcPr>
            <w:tcW w:w="3825" w:type="pct"/>
            <w:tcBorders>
              <w:top w:val="single" w:sz="2" w:space="0" w:color="BFBFBF"/>
              <w:bottom w:val="single" w:sz="2" w:space="0" w:color="BFBFBF"/>
            </w:tcBorders>
            <w:vAlign w:val="top"/>
          </w:tcPr>
          <w:p w14:paraId="4938D54C" w14:textId="77777777" w:rsidR="00092E36" w:rsidRPr="00FC236C" w:rsidRDefault="00092E36" w:rsidP="001C4F27">
            <w:pPr>
              <w:rPr>
                <w:rFonts w:asciiTheme="minorHAnsi" w:hAnsiTheme="minorHAnsi"/>
                <w:sz w:val="22"/>
                <w:szCs w:val="22"/>
                <w:highlight w:val="yellow"/>
                <w:lang w:val="lv-LV"/>
              </w:rPr>
            </w:pPr>
            <w:r w:rsidRPr="00FC236C">
              <w:rPr>
                <w:rFonts w:asciiTheme="minorHAnsi" w:hAnsiTheme="minorHAnsi"/>
                <w:sz w:val="22"/>
                <w:szCs w:val="22"/>
                <w:lang w:val="lv-LV"/>
              </w:rPr>
              <w:t xml:space="preserve">Arhitektūras joma jeb domēns ir arhitektūras strukturējums, kas tipiski tiek iedalīts pēc uzņēmuma spējām </w:t>
            </w:r>
            <w:r w:rsidRPr="00F03AB0">
              <w:rPr>
                <w:rFonts w:asciiTheme="minorHAnsi" w:hAnsiTheme="minorHAnsi"/>
                <w:i/>
                <w:iCs/>
                <w:sz w:val="22"/>
                <w:szCs w:val="22"/>
                <w:lang w:val="lv-LV"/>
              </w:rPr>
              <w:t>(</w:t>
            </w:r>
            <w:proofErr w:type="spellStart"/>
            <w:r w:rsidRPr="000E1597">
              <w:rPr>
                <w:i/>
                <w:iCs/>
                <w:sz w:val="22"/>
                <w:szCs w:val="22"/>
                <w:lang w:val="lv-LV"/>
              </w:rPr>
              <w:t>angl</w:t>
            </w:r>
            <w:proofErr w:type="spellEnd"/>
            <w:r w:rsidRPr="00F03AB0">
              <w:rPr>
                <w:rFonts w:asciiTheme="minorHAnsi" w:hAnsiTheme="minorHAnsi"/>
                <w:i/>
                <w:iCs/>
                <w:sz w:val="22"/>
                <w:szCs w:val="22"/>
                <w:lang w:val="lv-LV"/>
              </w:rPr>
              <w:t xml:space="preserve">. – </w:t>
            </w:r>
            <w:proofErr w:type="spellStart"/>
            <w:r w:rsidRPr="00F03AB0">
              <w:rPr>
                <w:rFonts w:asciiTheme="minorHAnsi" w:hAnsiTheme="minorHAnsi"/>
                <w:i/>
                <w:iCs/>
                <w:sz w:val="22"/>
                <w:szCs w:val="22"/>
                <w:lang w:val="lv-LV"/>
              </w:rPr>
              <w:t>Architecture</w:t>
            </w:r>
            <w:proofErr w:type="spellEnd"/>
            <w:r w:rsidRPr="00F03AB0">
              <w:rPr>
                <w:rFonts w:asciiTheme="minorHAnsi" w:hAnsiTheme="minorHAnsi"/>
                <w:i/>
                <w:iCs/>
                <w:sz w:val="22"/>
                <w:szCs w:val="22"/>
                <w:lang w:val="lv-LV"/>
              </w:rPr>
              <w:t xml:space="preserve"> </w:t>
            </w:r>
            <w:proofErr w:type="spellStart"/>
            <w:r w:rsidRPr="00F03AB0">
              <w:rPr>
                <w:rFonts w:asciiTheme="minorHAnsi" w:hAnsiTheme="minorHAnsi"/>
                <w:i/>
                <w:iCs/>
                <w:sz w:val="22"/>
                <w:szCs w:val="22"/>
                <w:lang w:val="lv-LV"/>
              </w:rPr>
              <w:t>Domain</w:t>
            </w:r>
            <w:proofErr w:type="spellEnd"/>
            <w:r w:rsidRPr="00F03AB0">
              <w:rPr>
                <w:rFonts w:asciiTheme="minorHAnsi" w:hAnsiTheme="minorHAnsi"/>
                <w:i/>
                <w:iCs/>
                <w:sz w:val="22"/>
                <w:szCs w:val="22"/>
                <w:lang w:val="lv-LV"/>
              </w:rPr>
              <w:t>)</w:t>
            </w:r>
          </w:p>
        </w:tc>
      </w:tr>
      <w:tr w:rsidR="00092E36" w:rsidRPr="00FC236C" w14:paraId="23153066" w14:textId="77777777" w:rsidTr="00E37790">
        <w:tc>
          <w:tcPr>
            <w:tcW w:w="126" w:type="pct"/>
            <w:tcBorders>
              <w:top w:val="single" w:sz="18" w:space="0" w:color="FFFFFF"/>
              <w:bottom w:val="single" w:sz="18" w:space="0" w:color="FFFFFF"/>
            </w:tcBorders>
            <w:shd w:val="clear" w:color="auto" w:fill="E5E5E5"/>
            <w:vAlign w:val="top"/>
          </w:tcPr>
          <w:p w14:paraId="6944FA2C"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63E59DB"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Arhitektūras skats</w:t>
            </w:r>
          </w:p>
        </w:tc>
        <w:tc>
          <w:tcPr>
            <w:tcW w:w="3825" w:type="pct"/>
            <w:tcBorders>
              <w:top w:val="single" w:sz="2" w:space="0" w:color="BFBFBF"/>
              <w:bottom w:val="single" w:sz="2" w:space="0" w:color="BFBFBF"/>
            </w:tcBorders>
            <w:vAlign w:val="top"/>
          </w:tcPr>
          <w:p w14:paraId="7109E14D" w14:textId="77777777" w:rsidR="00092E36" w:rsidRPr="00FC236C" w:rsidRDefault="00092E36" w:rsidP="001C4F27">
            <w:pPr>
              <w:rPr>
                <w:rFonts w:asciiTheme="minorHAnsi" w:hAnsiTheme="minorHAnsi"/>
                <w:sz w:val="22"/>
                <w:szCs w:val="22"/>
                <w:highlight w:val="yellow"/>
                <w:lang w:val="lv-LV"/>
              </w:rPr>
            </w:pPr>
            <w:r w:rsidRPr="00FC236C">
              <w:rPr>
                <w:rFonts w:asciiTheme="minorHAnsi" w:hAnsiTheme="minorHAnsi"/>
                <w:sz w:val="22"/>
                <w:szCs w:val="22"/>
                <w:lang w:val="lv-LV"/>
              </w:rPr>
              <w:t xml:space="preserve">Arhitektūras skati attēlo noteiktu arhitektūras jomu. Tipiski tiek izdalīti četri skati – biznesa, informācijas, lietojumprogrammu un tehnoloģiju </w:t>
            </w:r>
            <w:r w:rsidRPr="00FC236C">
              <w:rPr>
                <w:rFonts w:asciiTheme="minorHAnsi" w:hAnsiTheme="minorHAnsi"/>
                <w:i/>
                <w:iCs/>
                <w:sz w:val="22"/>
                <w:szCs w:val="22"/>
                <w:lang w:val="lv-LV"/>
              </w:rPr>
              <w:t>(</w:t>
            </w:r>
            <w:proofErr w:type="spellStart"/>
            <w:r w:rsidRPr="00FC236C">
              <w:rPr>
                <w:rFonts w:asciiTheme="minorHAnsi" w:hAnsiTheme="minorHAnsi"/>
                <w:sz w:val="22"/>
                <w:szCs w:val="22"/>
                <w:lang w:val="lv-LV"/>
              </w:rPr>
              <w:t>angl</w:t>
            </w:r>
            <w:proofErr w:type="spellEnd"/>
            <w:r w:rsidRPr="00FC236C">
              <w:rPr>
                <w:rFonts w:asciiTheme="minorHAnsi" w:hAnsiTheme="minorHAnsi"/>
                <w:i/>
                <w:iCs/>
                <w:sz w:val="22"/>
                <w:szCs w:val="22"/>
                <w:lang w:val="lv-LV"/>
              </w:rPr>
              <w:t xml:space="preserve">. – </w:t>
            </w:r>
            <w:proofErr w:type="spellStart"/>
            <w:r w:rsidRPr="00FC236C">
              <w:rPr>
                <w:rFonts w:asciiTheme="minorHAnsi" w:hAnsiTheme="minorHAnsi"/>
                <w:i/>
                <w:iCs/>
                <w:sz w:val="22"/>
                <w:szCs w:val="22"/>
                <w:lang w:val="lv-LV"/>
              </w:rPr>
              <w:t>Architecture</w:t>
            </w:r>
            <w:proofErr w:type="spellEnd"/>
            <w:r w:rsidRPr="00FC236C">
              <w:rPr>
                <w:rFonts w:asciiTheme="minorHAnsi" w:hAnsiTheme="minorHAnsi"/>
                <w:i/>
                <w:iCs/>
                <w:sz w:val="22"/>
                <w:szCs w:val="22"/>
                <w:lang w:val="lv-LV"/>
              </w:rPr>
              <w:t xml:space="preserve"> </w:t>
            </w:r>
            <w:proofErr w:type="spellStart"/>
            <w:r w:rsidRPr="00FC236C">
              <w:rPr>
                <w:rFonts w:asciiTheme="minorHAnsi" w:hAnsiTheme="minorHAnsi"/>
                <w:i/>
                <w:iCs/>
                <w:sz w:val="22"/>
                <w:szCs w:val="22"/>
                <w:lang w:val="lv-LV"/>
              </w:rPr>
              <w:t>View</w:t>
            </w:r>
            <w:proofErr w:type="spellEnd"/>
            <w:r w:rsidRPr="00FC236C">
              <w:rPr>
                <w:rFonts w:asciiTheme="minorHAnsi" w:hAnsiTheme="minorHAnsi"/>
                <w:i/>
                <w:iCs/>
                <w:sz w:val="22"/>
                <w:szCs w:val="22"/>
                <w:lang w:val="lv-LV"/>
              </w:rPr>
              <w:t>)</w:t>
            </w:r>
          </w:p>
        </w:tc>
      </w:tr>
      <w:tr w:rsidR="00092E36" w:rsidRPr="00FC236C" w14:paraId="2CC8D535" w14:textId="77777777" w:rsidTr="00E37790">
        <w:tc>
          <w:tcPr>
            <w:tcW w:w="126" w:type="pct"/>
            <w:tcBorders>
              <w:top w:val="single" w:sz="18" w:space="0" w:color="FFFFFF"/>
              <w:bottom w:val="single" w:sz="18" w:space="0" w:color="FFFFFF"/>
            </w:tcBorders>
            <w:shd w:val="clear" w:color="auto" w:fill="E5E5E5"/>
            <w:vAlign w:val="top"/>
          </w:tcPr>
          <w:p w14:paraId="7EEE8268"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F0DC951"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CFLA</w:t>
            </w:r>
          </w:p>
        </w:tc>
        <w:tc>
          <w:tcPr>
            <w:tcW w:w="3825" w:type="pct"/>
            <w:tcBorders>
              <w:top w:val="single" w:sz="2" w:space="0" w:color="BFBFBF"/>
              <w:bottom w:val="single" w:sz="2" w:space="0" w:color="BFBFBF"/>
            </w:tcBorders>
            <w:vAlign w:val="top"/>
          </w:tcPr>
          <w:p w14:paraId="6EF0F3E0"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Centrālā finanšu un līgumu aģentūra</w:t>
            </w:r>
          </w:p>
        </w:tc>
      </w:tr>
      <w:tr w:rsidR="00AE57ED" w:rsidRPr="00FC236C" w14:paraId="699B7D9E" w14:textId="77777777" w:rsidTr="00E37790">
        <w:tc>
          <w:tcPr>
            <w:tcW w:w="126" w:type="pct"/>
            <w:tcBorders>
              <w:top w:val="single" w:sz="18" w:space="0" w:color="FFFFFF"/>
              <w:bottom w:val="single" w:sz="18" w:space="0" w:color="FFFFFF"/>
            </w:tcBorders>
            <w:shd w:val="clear" w:color="auto" w:fill="E5E5E5"/>
            <w:vAlign w:val="top"/>
          </w:tcPr>
          <w:p w14:paraId="7C0864F8" w14:textId="77777777" w:rsidR="00AE57ED" w:rsidRPr="00FC236C" w:rsidRDefault="00AE57ED"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9167813" w14:textId="7B64D0D8" w:rsidR="00AE57ED" w:rsidRPr="00FC236C" w:rsidRDefault="00AE57ED" w:rsidP="001C4F27">
            <w:pPr>
              <w:rPr>
                <w:rFonts w:asciiTheme="minorHAnsi" w:hAnsiTheme="minorHAnsi"/>
                <w:sz w:val="22"/>
                <w:szCs w:val="22"/>
                <w:lang w:val="lv-LV"/>
              </w:rPr>
            </w:pPr>
            <w:r w:rsidRPr="00FC236C">
              <w:rPr>
                <w:rFonts w:asciiTheme="minorHAnsi" w:hAnsiTheme="minorHAnsi"/>
                <w:sz w:val="22"/>
                <w:szCs w:val="22"/>
                <w:lang w:val="lv-LV"/>
              </w:rPr>
              <w:t>COTS</w:t>
            </w:r>
          </w:p>
        </w:tc>
        <w:tc>
          <w:tcPr>
            <w:tcW w:w="3825" w:type="pct"/>
            <w:tcBorders>
              <w:top w:val="single" w:sz="2" w:space="0" w:color="BFBFBF"/>
              <w:bottom w:val="single" w:sz="2" w:space="0" w:color="BFBFBF"/>
            </w:tcBorders>
            <w:vAlign w:val="top"/>
          </w:tcPr>
          <w:p w14:paraId="1E096605" w14:textId="0FDF6B97" w:rsidR="00AE57ED" w:rsidRPr="00FC236C" w:rsidRDefault="006B6F48" w:rsidP="001C4F27">
            <w:pPr>
              <w:rPr>
                <w:rFonts w:asciiTheme="minorHAnsi" w:hAnsiTheme="minorHAnsi"/>
                <w:sz w:val="22"/>
                <w:szCs w:val="22"/>
                <w:lang w:val="lv-LV"/>
              </w:rPr>
            </w:pPr>
            <w:proofErr w:type="spellStart"/>
            <w:r w:rsidRPr="00FC236C">
              <w:rPr>
                <w:rFonts w:asciiTheme="minorHAnsi" w:hAnsiTheme="minorHAnsi"/>
                <w:sz w:val="22"/>
                <w:szCs w:val="22"/>
              </w:rPr>
              <w:t>Komerciāla</w:t>
            </w:r>
            <w:proofErr w:type="spellEnd"/>
            <w:r w:rsidRPr="00FC236C">
              <w:rPr>
                <w:rFonts w:asciiTheme="minorHAnsi" w:hAnsiTheme="minorHAnsi"/>
                <w:sz w:val="22"/>
                <w:szCs w:val="22"/>
              </w:rPr>
              <w:t> </w:t>
            </w:r>
            <w:proofErr w:type="spellStart"/>
            <w:r w:rsidRPr="00FC236C">
              <w:rPr>
                <w:rFonts w:asciiTheme="minorHAnsi" w:hAnsiTheme="minorHAnsi"/>
                <w:sz w:val="22"/>
                <w:szCs w:val="22"/>
              </w:rPr>
              <w:t>standartprogrammatūra</w:t>
            </w:r>
            <w:proofErr w:type="spellEnd"/>
            <w:r w:rsidRPr="00FC236C">
              <w:rPr>
                <w:rFonts w:asciiTheme="minorHAnsi" w:hAnsiTheme="minorHAnsi"/>
                <w:sz w:val="22"/>
                <w:szCs w:val="22"/>
              </w:rPr>
              <w:t xml:space="preserve"> </w:t>
            </w:r>
            <w:r w:rsidRPr="00FC236C">
              <w:rPr>
                <w:rFonts w:asciiTheme="minorHAnsi" w:hAnsiTheme="minorHAnsi"/>
                <w:i/>
                <w:iCs/>
                <w:sz w:val="22"/>
                <w:szCs w:val="22"/>
              </w:rPr>
              <w:t>(</w:t>
            </w:r>
            <w:proofErr w:type="spellStart"/>
            <w:r w:rsidRPr="00FC236C">
              <w:rPr>
                <w:rFonts w:asciiTheme="minorHAnsi" w:hAnsiTheme="minorHAnsi"/>
                <w:i/>
                <w:iCs/>
                <w:sz w:val="22"/>
                <w:szCs w:val="22"/>
              </w:rPr>
              <w:t>angl.</w:t>
            </w:r>
            <w:proofErr w:type="spellEnd"/>
            <w:r w:rsidRPr="00FC236C">
              <w:rPr>
                <w:rFonts w:asciiTheme="minorHAnsi" w:hAnsiTheme="minorHAnsi"/>
                <w:i/>
                <w:iCs/>
                <w:sz w:val="22"/>
                <w:szCs w:val="22"/>
              </w:rPr>
              <w:t xml:space="preserve"> – </w:t>
            </w:r>
            <w:proofErr w:type="spellStart"/>
            <w:r w:rsidRPr="00FC236C">
              <w:rPr>
                <w:rFonts w:asciiTheme="minorHAnsi" w:hAnsiTheme="minorHAnsi"/>
                <w:i/>
                <w:iCs/>
                <w:sz w:val="22"/>
                <w:szCs w:val="22"/>
              </w:rPr>
              <w:t>Comercial</w:t>
            </w:r>
            <w:proofErr w:type="spellEnd"/>
            <w:r w:rsidRPr="00FC236C">
              <w:rPr>
                <w:rFonts w:asciiTheme="minorHAnsi" w:hAnsiTheme="minorHAnsi"/>
                <w:i/>
                <w:iCs/>
                <w:sz w:val="22"/>
                <w:szCs w:val="22"/>
              </w:rPr>
              <w:t xml:space="preserve"> </w:t>
            </w:r>
            <w:r w:rsidR="00F07DCB" w:rsidRPr="00FC236C">
              <w:rPr>
                <w:rFonts w:asciiTheme="minorHAnsi" w:hAnsiTheme="minorHAnsi"/>
                <w:i/>
                <w:iCs/>
                <w:sz w:val="22"/>
                <w:szCs w:val="22"/>
              </w:rPr>
              <w:t>off-the-shelf)</w:t>
            </w:r>
          </w:p>
        </w:tc>
      </w:tr>
      <w:tr w:rsidR="008251C2" w:rsidRPr="00FC236C" w14:paraId="4B78D83D" w14:textId="77777777" w:rsidTr="00E37790">
        <w:tc>
          <w:tcPr>
            <w:tcW w:w="126" w:type="pct"/>
            <w:tcBorders>
              <w:top w:val="single" w:sz="18" w:space="0" w:color="FFFFFF"/>
              <w:bottom w:val="single" w:sz="18" w:space="0" w:color="FFFFFF"/>
            </w:tcBorders>
            <w:shd w:val="clear" w:color="auto" w:fill="E5E5E5"/>
            <w:vAlign w:val="top"/>
          </w:tcPr>
          <w:p w14:paraId="74FBCF46" w14:textId="77777777" w:rsidR="008251C2" w:rsidRPr="00FC236C" w:rsidRDefault="008251C2"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7B4BA829" w14:textId="552C53AA" w:rsidR="008251C2" w:rsidRPr="00FC236C" w:rsidRDefault="008251C2" w:rsidP="001C4F27">
            <w:pPr>
              <w:rPr>
                <w:rFonts w:asciiTheme="minorHAnsi" w:hAnsiTheme="minorHAnsi"/>
                <w:sz w:val="22"/>
                <w:szCs w:val="22"/>
                <w:lang w:val="lv-LV"/>
              </w:rPr>
            </w:pPr>
            <w:r w:rsidRPr="00FC236C">
              <w:rPr>
                <w:rFonts w:asciiTheme="minorHAnsi" w:hAnsiTheme="minorHAnsi"/>
                <w:sz w:val="22"/>
                <w:szCs w:val="22"/>
                <w:lang w:val="lv-LV"/>
              </w:rPr>
              <w:t>DAGR</w:t>
            </w:r>
          </w:p>
        </w:tc>
        <w:tc>
          <w:tcPr>
            <w:tcW w:w="3825" w:type="pct"/>
            <w:tcBorders>
              <w:top w:val="single" w:sz="2" w:space="0" w:color="BFBFBF"/>
              <w:bottom w:val="single" w:sz="2" w:space="0" w:color="BFBFBF"/>
            </w:tcBorders>
            <w:vAlign w:val="top"/>
          </w:tcPr>
          <w:p w14:paraId="207F374A" w14:textId="7AFAE64E" w:rsidR="008251C2" w:rsidRPr="00FC236C" w:rsidRDefault="00012204" w:rsidP="001C4F27">
            <w:pPr>
              <w:rPr>
                <w:rFonts w:asciiTheme="minorHAnsi" w:hAnsiTheme="minorHAnsi"/>
                <w:sz w:val="22"/>
                <w:szCs w:val="22"/>
                <w:lang w:val="lv-LV"/>
              </w:rPr>
            </w:pPr>
            <w:r w:rsidRPr="00FC236C">
              <w:rPr>
                <w:rFonts w:asciiTheme="minorHAnsi" w:hAnsiTheme="minorHAnsi"/>
                <w:sz w:val="22"/>
                <w:szCs w:val="22"/>
                <w:lang w:val="lv-LV"/>
              </w:rPr>
              <w:t>Datu izplatīšanas un pārvaldības platforma</w:t>
            </w:r>
          </w:p>
        </w:tc>
      </w:tr>
      <w:tr w:rsidR="00FC236C" w:rsidRPr="00FC236C" w14:paraId="3B5756FF" w14:textId="77777777" w:rsidTr="00E37790">
        <w:tc>
          <w:tcPr>
            <w:tcW w:w="126" w:type="pct"/>
            <w:tcBorders>
              <w:top w:val="single" w:sz="18" w:space="0" w:color="FFFFFF"/>
              <w:bottom w:val="single" w:sz="18" w:space="0" w:color="FFFFFF"/>
            </w:tcBorders>
            <w:shd w:val="clear" w:color="auto" w:fill="E5E5E5"/>
            <w:vAlign w:val="top"/>
          </w:tcPr>
          <w:p w14:paraId="67D3D7A8" w14:textId="77777777" w:rsidR="00FC236C" w:rsidRPr="00FC236C" w:rsidRDefault="00FC236C"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45053F51" w14:textId="2E179E78" w:rsidR="00FC236C" w:rsidRPr="00FC236C" w:rsidRDefault="00FC236C" w:rsidP="001C4F27">
            <w:pPr>
              <w:rPr>
                <w:rFonts w:asciiTheme="minorHAnsi" w:hAnsiTheme="minorHAnsi"/>
                <w:sz w:val="22"/>
                <w:szCs w:val="22"/>
                <w:lang w:val="lv-LV"/>
              </w:rPr>
            </w:pPr>
            <w:r w:rsidRPr="00FC236C">
              <w:rPr>
                <w:rFonts w:asciiTheme="minorHAnsi" w:hAnsiTheme="minorHAnsi"/>
                <w:sz w:val="22"/>
                <w:szCs w:val="22"/>
                <w:lang w:val="lv-LV"/>
              </w:rPr>
              <w:t>EDS</w:t>
            </w:r>
          </w:p>
        </w:tc>
        <w:tc>
          <w:tcPr>
            <w:tcW w:w="3825" w:type="pct"/>
            <w:tcBorders>
              <w:top w:val="single" w:sz="2" w:space="0" w:color="BFBFBF"/>
              <w:bottom w:val="single" w:sz="2" w:space="0" w:color="BFBFBF"/>
            </w:tcBorders>
            <w:vAlign w:val="top"/>
          </w:tcPr>
          <w:p w14:paraId="755AE6DB" w14:textId="1025BCD1" w:rsidR="00FC236C" w:rsidRPr="00FC236C" w:rsidRDefault="00FC236C" w:rsidP="001C4F27">
            <w:pPr>
              <w:rPr>
                <w:rFonts w:asciiTheme="minorHAnsi" w:hAnsiTheme="minorHAnsi"/>
                <w:sz w:val="22"/>
                <w:szCs w:val="22"/>
                <w:lang w:val="lv-LV"/>
              </w:rPr>
            </w:pPr>
            <w:r w:rsidRPr="00FC236C">
              <w:rPr>
                <w:rFonts w:asciiTheme="minorHAnsi" w:hAnsiTheme="minorHAnsi"/>
                <w:sz w:val="22"/>
                <w:szCs w:val="22"/>
                <w:lang w:val="lv-LV"/>
              </w:rPr>
              <w:t>Elektroniskā deklarēšanas sistēma</w:t>
            </w:r>
          </w:p>
        </w:tc>
      </w:tr>
      <w:tr w:rsidR="00092E36" w:rsidRPr="00FC236C" w14:paraId="18437054" w14:textId="77777777" w:rsidTr="00E37790">
        <w:tc>
          <w:tcPr>
            <w:tcW w:w="126" w:type="pct"/>
            <w:tcBorders>
              <w:top w:val="single" w:sz="18" w:space="0" w:color="FFFFFF"/>
              <w:bottom w:val="single" w:sz="18" w:space="0" w:color="FFFFFF"/>
            </w:tcBorders>
            <w:shd w:val="clear" w:color="auto" w:fill="E5E5E5"/>
            <w:vAlign w:val="top"/>
          </w:tcPr>
          <w:p w14:paraId="2FA81D69"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5F7CFFBD"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EIF</w:t>
            </w:r>
          </w:p>
        </w:tc>
        <w:tc>
          <w:tcPr>
            <w:tcW w:w="3825" w:type="pct"/>
            <w:tcBorders>
              <w:top w:val="single" w:sz="2" w:space="0" w:color="BFBFBF"/>
              <w:bottom w:val="single" w:sz="2" w:space="0" w:color="BFBFBF"/>
            </w:tcBorders>
            <w:vAlign w:val="top"/>
          </w:tcPr>
          <w:p w14:paraId="596BD125" w14:textId="77777777" w:rsidR="00092E36" w:rsidRPr="00FC236C" w:rsidRDefault="00092E36" w:rsidP="001C4F27">
            <w:pPr>
              <w:rPr>
                <w:rFonts w:asciiTheme="minorHAnsi" w:hAnsiTheme="minorHAnsi"/>
                <w:sz w:val="22"/>
                <w:szCs w:val="22"/>
                <w:highlight w:val="yellow"/>
                <w:lang w:val="lv-LV"/>
              </w:rPr>
            </w:pPr>
            <w:r w:rsidRPr="00FC236C">
              <w:rPr>
                <w:rFonts w:asciiTheme="minorHAnsi" w:hAnsiTheme="minorHAnsi"/>
                <w:sz w:val="22"/>
                <w:szCs w:val="22"/>
                <w:lang w:val="lv-LV"/>
              </w:rPr>
              <w:t xml:space="preserve">Eiropas </w:t>
            </w:r>
            <w:proofErr w:type="spellStart"/>
            <w:r w:rsidRPr="00FC236C">
              <w:rPr>
                <w:rFonts w:asciiTheme="minorHAnsi" w:hAnsiTheme="minorHAnsi"/>
                <w:sz w:val="22"/>
                <w:szCs w:val="22"/>
                <w:lang w:val="lv-LV"/>
              </w:rPr>
              <w:t>sadarbspējas</w:t>
            </w:r>
            <w:proofErr w:type="spellEnd"/>
            <w:r w:rsidRPr="00FC236C">
              <w:rPr>
                <w:rFonts w:asciiTheme="minorHAnsi" w:hAnsiTheme="minorHAnsi"/>
                <w:sz w:val="22"/>
                <w:szCs w:val="22"/>
                <w:lang w:val="lv-LV"/>
              </w:rPr>
              <w:t xml:space="preserve"> ietvars </w:t>
            </w:r>
            <w:r w:rsidRPr="00FC236C">
              <w:rPr>
                <w:rFonts w:asciiTheme="minorHAnsi" w:hAnsiTheme="minorHAnsi"/>
                <w:i/>
                <w:iCs/>
                <w:sz w:val="22"/>
                <w:szCs w:val="22"/>
                <w:lang w:val="lv-LV"/>
              </w:rPr>
              <w:t>(</w:t>
            </w:r>
            <w:proofErr w:type="spellStart"/>
            <w:r w:rsidRPr="00FC236C">
              <w:rPr>
                <w:rFonts w:asciiTheme="minorHAnsi" w:hAnsiTheme="minorHAnsi"/>
                <w:i/>
                <w:iCs/>
                <w:sz w:val="22"/>
                <w:szCs w:val="22"/>
                <w:lang w:val="lv-LV"/>
              </w:rPr>
              <w:t>angl</w:t>
            </w:r>
            <w:proofErr w:type="spellEnd"/>
            <w:r w:rsidRPr="00FC236C">
              <w:rPr>
                <w:rFonts w:asciiTheme="minorHAnsi" w:hAnsiTheme="minorHAnsi"/>
                <w:i/>
                <w:iCs/>
                <w:sz w:val="22"/>
                <w:szCs w:val="22"/>
                <w:lang w:val="lv-LV"/>
              </w:rPr>
              <w:t xml:space="preserve">. – </w:t>
            </w:r>
            <w:proofErr w:type="spellStart"/>
            <w:r w:rsidRPr="00FC236C">
              <w:rPr>
                <w:rFonts w:asciiTheme="minorHAnsi" w:hAnsiTheme="minorHAnsi"/>
                <w:i/>
                <w:iCs/>
                <w:sz w:val="22"/>
                <w:szCs w:val="22"/>
                <w:lang w:val="lv-LV"/>
              </w:rPr>
              <w:t>European</w:t>
            </w:r>
            <w:proofErr w:type="spellEnd"/>
            <w:r w:rsidRPr="00FC236C">
              <w:rPr>
                <w:rFonts w:asciiTheme="minorHAnsi" w:hAnsiTheme="minorHAnsi"/>
                <w:i/>
                <w:iCs/>
                <w:sz w:val="22"/>
                <w:szCs w:val="22"/>
                <w:lang w:val="lv-LV"/>
              </w:rPr>
              <w:t xml:space="preserve"> </w:t>
            </w:r>
            <w:proofErr w:type="spellStart"/>
            <w:r w:rsidRPr="00FC236C">
              <w:rPr>
                <w:rFonts w:asciiTheme="minorHAnsi" w:hAnsiTheme="minorHAnsi"/>
                <w:i/>
                <w:iCs/>
                <w:sz w:val="22"/>
                <w:szCs w:val="22"/>
                <w:lang w:val="lv-LV"/>
              </w:rPr>
              <w:t>Interoperability</w:t>
            </w:r>
            <w:proofErr w:type="spellEnd"/>
            <w:r w:rsidRPr="00FC236C">
              <w:rPr>
                <w:rFonts w:asciiTheme="minorHAnsi" w:hAnsiTheme="minorHAnsi"/>
                <w:i/>
                <w:iCs/>
                <w:sz w:val="22"/>
                <w:szCs w:val="22"/>
                <w:lang w:val="lv-LV"/>
              </w:rPr>
              <w:t xml:space="preserve"> </w:t>
            </w:r>
            <w:proofErr w:type="spellStart"/>
            <w:r w:rsidRPr="00FC236C">
              <w:rPr>
                <w:rFonts w:asciiTheme="minorHAnsi" w:hAnsiTheme="minorHAnsi"/>
                <w:i/>
                <w:iCs/>
                <w:sz w:val="22"/>
                <w:szCs w:val="22"/>
                <w:lang w:val="lv-LV"/>
              </w:rPr>
              <w:t>Framework</w:t>
            </w:r>
            <w:proofErr w:type="spellEnd"/>
            <w:r w:rsidRPr="00FC236C">
              <w:rPr>
                <w:rFonts w:asciiTheme="minorHAnsi" w:hAnsiTheme="minorHAnsi"/>
                <w:i/>
                <w:iCs/>
                <w:sz w:val="22"/>
                <w:szCs w:val="22"/>
                <w:lang w:val="lv-LV"/>
              </w:rPr>
              <w:t>)</w:t>
            </w:r>
          </w:p>
        </w:tc>
      </w:tr>
      <w:tr w:rsidR="00092E36" w:rsidRPr="00FC236C" w14:paraId="145C8E31" w14:textId="77777777" w:rsidTr="00E37790">
        <w:tc>
          <w:tcPr>
            <w:tcW w:w="126" w:type="pct"/>
            <w:tcBorders>
              <w:top w:val="single" w:sz="18" w:space="0" w:color="FFFFFF"/>
              <w:bottom w:val="single" w:sz="18" w:space="0" w:color="FFFFFF"/>
            </w:tcBorders>
            <w:shd w:val="clear" w:color="auto" w:fill="E5E5E5"/>
            <w:vAlign w:val="top"/>
          </w:tcPr>
          <w:p w14:paraId="6E3911F7"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E732D90"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ES</w:t>
            </w:r>
          </w:p>
        </w:tc>
        <w:tc>
          <w:tcPr>
            <w:tcW w:w="3825" w:type="pct"/>
            <w:tcBorders>
              <w:top w:val="single" w:sz="2" w:space="0" w:color="BFBFBF"/>
              <w:bottom w:val="single" w:sz="2" w:space="0" w:color="BFBFBF"/>
            </w:tcBorders>
            <w:vAlign w:val="top"/>
          </w:tcPr>
          <w:p w14:paraId="43A7B877"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Eiropas Savienība</w:t>
            </w:r>
          </w:p>
        </w:tc>
      </w:tr>
      <w:tr w:rsidR="00092E36" w:rsidRPr="00FC236C" w14:paraId="0B26BE74" w14:textId="77777777" w:rsidTr="00E37790">
        <w:tc>
          <w:tcPr>
            <w:tcW w:w="126" w:type="pct"/>
            <w:tcBorders>
              <w:top w:val="single" w:sz="18" w:space="0" w:color="FFFFFF"/>
              <w:bottom w:val="single" w:sz="18" w:space="0" w:color="FFFFFF"/>
            </w:tcBorders>
            <w:shd w:val="clear" w:color="auto" w:fill="E5E5E5"/>
            <w:vAlign w:val="top"/>
          </w:tcPr>
          <w:p w14:paraId="3DC7A2ED"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2EC22F9F"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Esošā arhitektūra</w:t>
            </w:r>
          </w:p>
        </w:tc>
        <w:tc>
          <w:tcPr>
            <w:tcW w:w="3825" w:type="pct"/>
            <w:tcBorders>
              <w:top w:val="single" w:sz="2" w:space="0" w:color="BFBFBF"/>
              <w:bottom w:val="single" w:sz="2" w:space="0" w:color="BFBFBF"/>
            </w:tcBorders>
            <w:vAlign w:val="top"/>
          </w:tcPr>
          <w:p w14:paraId="6AA9B236"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Esošās situācijas arhitektūras strukturēts attēlojums</w:t>
            </w:r>
          </w:p>
        </w:tc>
      </w:tr>
      <w:tr w:rsidR="003D6E81" w:rsidRPr="00FC236C" w14:paraId="75BADB43" w14:textId="77777777" w:rsidTr="00E37790">
        <w:tc>
          <w:tcPr>
            <w:tcW w:w="126" w:type="pct"/>
            <w:tcBorders>
              <w:top w:val="single" w:sz="18" w:space="0" w:color="FFFFFF"/>
              <w:bottom w:val="single" w:sz="18" w:space="0" w:color="FFFFFF"/>
            </w:tcBorders>
            <w:shd w:val="clear" w:color="auto" w:fill="E5E5E5"/>
            <w:vAlign w:val="top"/>
          </w:tcPr>
          <w:p w14:paraId="471ADA6B" w14:textId="77777777" w:rsidR="003D6E81" w:rsidRPr="00FC236C" w:rsidRDefault="003D6E81"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C3A0A25" w14:textId="7513EF9B" w:rsidR="003D6E81" w:rsidRPr="00FC236C" w:rsidRDefault="003D6E81" w:rsidP="001C4F27">
            <w:pPr>
              <w:rPr>
                <w:rFonts w:asciiTheme="minorHAnsi" w:hAnsiTheme="minorHAnsi"/>
                <w:sz w:val="22"/>
                <w:szCs w:val="22"/>
                <w:lang w:val="lv-LV"/>
              </w:rPr>
            </w:pPr>
            <w:proofErr w:type="spellStart"/>
            <w:r w:rsidRPr="00FC236C">
              <w:rPr>
                <w:rFonts w:asciiTheme="minorHAnsi" w:hAnsiTheme="minorHAnsi"/>
                <w:sz w:val="22"/>
                <w:szCs w:val="22"/>
                <w:lang w:val="lv-LV"/>
              </w:rPr>
              <w:t>IaaS</w:t>
            </w:r>
            <w:proofErr w:type="spellEnd"/>
          </w:p>
        </w:tc>
        <w:tc>
          <w:tcPr>
            <w:tcW w:w="3825" w:type="pct"/>
            <w:tcBorders>
              <w:top w:val="single" w:sz="2" w:space="0" w:color="BFBFBF"/>
              <w:bottom w:val="single" w:sz="2" w:space="0" w:color="BFBFBF"/>
            </w:tcBorders>
            <w:vAlign w:val="top"/>
          </w:tcPr>
          <w:p w14:paraId="09A40E07" w14:textId="182CE1BF" w:rsidR="003D6E81" w:rsidRPr="00FC236C" w:rsidRDefault="003D6E81" w:rsidP="001C4F27">
            <w:pPr>
              <w:rPr>
                <w:rFonts w:asciiTheme="minorHAnsi" w:hAnsiTheme="minorHAnsi"/>
                <w:sz w:val="22"/>
                <w:szCs w:val="22"/>
                <w:lang w:val="lv-LV"/>
              </w:rPr>
            </w:pPr>
            <w:r w:rsidRPr="00FC236C">
              <w:rPr>
                <w:rFonts w:asciiTheme="minorHAnsi" w:hAnsiTheme="minorHAnsi"/>
                <w:sz w:val="22"/>
                <w:szCs w:val="22"/>
                <w:lang w:val="lv-LV"/>
              </w:rPr>
              <w:t xml:space="preserve">Infrastruktūra kā pakalpojums </w:t>
            </w:r>
            <w:r w:rsidRPr="00FC236C">
              <w:rPr>
                <w:rFonts w:asciiTheme="minorHAnsi" w:hAnsiTheme="minorHAnsi"/>
                <w:i/>
                <w:iCs/>
                <w:sz w:val="22"/>
                <w:szCs w:val="22"/>
                <w:lang w:val="lv-LV"/>
              </w:rPr>
              <w:t>(</w:t>
            </w:r>
            <w:proofErr w:type="spellStart"/>
            <w:r w:rsidR="004E3240" w:rsidRPr="00FC236C">
              <w:rPr>
                <w:rFonts w:asciiTheme="minorHAnsi" w:hAnsiTheme="minorHAnsi"/>
                <w:i/>
                <w:iCs/>
                <w:sz w:val="22"/>
                <w:szCs w:val="22"/>
                <w:lang w:val="lv-LV"/>
              </w:rPr>
              <w:t>angl</w:t>
            </w:r>
            <w:proofErr w:type="spellEnd"/>
            <w:r w:rsidR="004E3240" w:rsidRPr="00FC236C">
              <w:rPr>
                <w:rFonts w:asciiTheme="minorHAnsi" w:hAnsiTheme="minorHAnsi"/>
                <w:i/>
                <w:iCs/>
                <w:sz w:val="22"/>
                <w:szCs w:val="22"/>
                <w:lang w:val="lv-LV"/>
              </w:rPr>
              <w:t xml:space="preserve">. – </w:t>
            </w:r>
            <w:proofErr w:type="spellStart"/>
            <w:r w:rsidR="004E3240" w:rsidRPr="00FC236C">
              <w:rPr>
                <w:rFonts w:asciiTheme="minorHAnsi" w:hAnsiTheme="minorHAnsi"/>
                <w:i/>
                <w:iCs/>
                <w:sz w:val="22"/>
                <w:szCs w:val="22"/>
                <w:lang w:val="lv-LV"/>
              </w:rPr>
              <w:t>Infrastructure</w:t>
            </w:r>
            <w:proofErr w:type="spellEnd"/>
            <w:r w:rsidR="004E3240" w:rsidRPr="00FC236C">
              <w:rPr>
                <w:rFonts w:asciiTheme="minorHAnsi" w:hAnsiTheme="minorHAnsi"/>
                <w:i/>
                <w:iCs/>
                <w:sz w:val="22"/>
                <w:szCs w:val="22"/>
                <w:lang w:val="lv-LV"/>
              </w:rPr>
              <w:t>-</w:t>
            </w:r>
            <w:proofErr w:type="spellStart"/>
            <w:r w:rsidR="004E3240" w:rsidRPr="00FC236C">
              <w:rPr>
                <w:rFonts w:asciiTheme="minorHAnsi" w:hAnsiTheme="minorHAnsi"/>
                <w:i/>
                <w:iCs/>
                <w:sz w:val="22"/>
                <w:szCs w:val="22"/>
                <w:lang w:val="lv-LV"/>
              </w:rPr>
              <w:t>as</w:t>
            </w:r>
            <w:proofErr w:type="spellEnd"/>
            <w:r w:rsidR="004E3240" w:rsidRPr="00FC236C">
              <w:rPr>
                <w:rFonts w:asciiTheme="minorHAnsi" w:hAnsiTheme="minorHAnsi"/>
                <w:i/>
                <w:iCs/>
                <w:sz w:val="22"/>
                <w:szCs w:val="22"/>
                <w:lang w:val="lv-LV"/>
              </w:rPr>
              <w:t xml:space="preserve">-a </w:t>
            </w:r>
            <w:proofErr w:type="spellStart"/>
            <w:r w:rsidR="004E3240" w:rsidRPr="00FC236C">
              <w:rPr>
                <w:rFonts w:asciiTheme="minorHAnsi" w:hAnsiTheme="minorHAnsi"/>
                <w:i/>
                <w:iCs/>
                <w:sz w:val="22"/>
                <w:szCs w:val="22"/>
                <w:lang w:val="lv-LV"/>
              </w:rPr>
              <w:t>service</w:t>
            </w:r>
            <w:proofErr w:type="spellEnd"/>
            <w:r w:rsidR="004E3240" w:rsidRPr="00FC236C">
              <w:rPr>
                <w:rFonts w:asciiTheme="minorHAnsi" w:hAnsiTheme="minorHAnsi"/>
                <w:i/>
                <w:iCs/>
                <w:sz w:val="22"/>
                <w:szCs w:val="22"/>
                <w:lang w:val="lv-LV"/>
              </w:rPr>
              <w:t>)</w:t>
            </w:r>
          </w:p>
        </w:tc>
      </w:tr>
      <w:tr w:rsidR="00092E36" w:rsidRPr="00FC236C" w14:paraId="7BEE2D89" w14:textId="77777777" w:rsidTr="00E37790">
        <w:tc>
          <w:tcPr>
            <w:tcW w:w="126" w:type="pct"/>
            <w:tcBorders>
              <w:top w:val="single" w:sz="18" w:space="0" w:color="FFFFFF"/>
              <w:bottom w:val="single" w:sz="18" w:space="0" w:color="FFFFFF"/>
            </w:tcBorders>
            <w:shd w:val="clear" w:color="auto" w:fill="E5E5E5"/>
            <w:vAlign w:val="top"/>
          </w:tcPr>
          <w:p w14:paraId="68650CC7"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07A827AE"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IKT</w:t>
            </w:r>
          </w:p>
        </w:tc>
        <w:tc>
          <w:tcPr>
            <w:tcW w:w="3825" w:type="pct"/>
            <w:tcBorders>
              <w:top w:val="single" w:sz="2" w:space="0" w:color="BFBFBF"/>
              <w:bottom w:val="single" w:sz="2" w:space="0" w:color="BFBFBF"/>
            </w:tcBorders>
            <w:vAlign w:val="top"/>
          </w:tcPr>
          <w:p w14:paraId="5906FB93"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Informācijas un komunikāciju tehnoloģija</w:t>
            </w:r>
          </w:p>
        </w:tc>
      </w:tr>
      <w:tr w:rsidR="00092E36" w:rsidRPr="00FC236C" w14:paraId="1AEABE5B" w14:textId="77777777" w:rsidTr="00E37790">
        <w:tc>
          <w:tcPr>
            <w:tcW w:w="126" w:type="pct"/>
            <w:tcBorders>
              <w:top w:val="single" w:sz="18" w:space="0" w:color="FFFFFF"/>
              <w:bottom w:val="single" w:sz="18" w:space="0" w:color="FFFFFF"/>
            </w:tcBorders>
            <w:shd w:val="clear" w:color="auto" w:fill="E5E5E5"/>
            <w:vAlign w:val="top"/>
          </w:tcPr>
          <w:p w14:paraId="7B55D9A0"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278ACEE1"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IS</w:t>
            </w:r>
          </w:p>
        </w:tc>
        <w:tc>
          <w:tcPr>
            <w:tcW w:w="3825" w:type="pct"/>
            <w:tcBorders>
              <w:top w:val="single" w:sz="2" w:space="0" w:color="BFBFBF"/>
              <w:bottom w:val="single" w:sz="2" w:space="0" w:color="BFBFBF"/>
            </w:tcBorders>
            <w:vAlign w:val="top"/>
          </w:tcPr>
          <w:p w14:paraId="132F5C0B"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Informācijas sistēma</w:t>
            </w:r>
          </w:p>
        </w:tc>
      </w:tr>
      <w:tr w:rsidR="00092E36" w:rsidRPr="00FC236C" w14:paraId="5D63496D" w14:textId="77777777" w:rsidTr="00E37790">
        <w:tc>
          <w:tcPr>
            <w:tcW w:w="126" w:type="pct"/>
            <w:tcBorders>
              <w:top w:val="single" w:sz="18" w:space="0" w:color="FFFFFF"/>
              <w:bottom w:val="single" w:sz="18" w:space="0" w:color="FFFFFF"/>
            </w:tcBorders>
            <w:shd w:val="clear" w:color="auto" w:fill="E5E5E5"/>
            <w:vAlign w:val="top"/>
          </w:tcPr>
          <w:p w14:paraId="3A9570EA"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219A245"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KPI</w:t>
            </w:r>
          </w:p>
        </w:tc>
        <w:tc>
          <w:tcPr>
            <w:tcW w:w="3825" w:type="pct"/>
            <w:tcBorders>
              <w:top w:val="single" w:sz="2" w:space="0" w:color="BFBFBF"/>
              <w:bottom w:val="single" w:sz="2" w:space="0" w:color="BFBFBF"/>
            </w:tcBorders>
            <w:vAlign w:val="top"/>
          </w:tcPr>
          <w:p w14:paraId="7C72DBB2"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 xml:space="preserve">Izpildes </w:t>
            </w:r>
            <w:proofErr w:type="spellStart"/>
            <w:r w:rsidRPr="00FC236C">
              <w:rPr>
                <w:rFonts w:asciiTheme="minorHAnsi" w:hAnsiTheme="minorHAnsi"/>
                <w:sz w:val="22"/>
                <w:szCs w:val="22"/>
                <w:lang w:val="lv-LV"/>
              </w:rPr>
              <w:t>pamatrādītāji</w:t>
            </w:r>
            <w:proofErr w:type="spellEnd"/>
            <w:r w:rsidRPr="00FC236C">
              <w:rPr>
                <w:rFonts w:asciiTheme="minorHAnsi" w:hAnsiTheme="minorHAnsi"/>
                <w:sz w:val="22"/>
                <w:szCs w:val="22"/>
                <w:lang w:val="lv-LV"/>
              </w:rPr>
              <w:t xml:space="preserve"> </w:t>
            </w:r>
            <w:r w:rsidRPr="00FC236C">
              <w:rPr>
                <w:rFonts w:asciiTheme="minorHAnsi" w:hAnsiTheme="minorHAnsi"/>
                <w:i/>
                <w:iCs/>
                <w:sz w:val="22"/>
                <w:szCs w:val="22"/>
                <w:lang w:val="lv-LV"/>
              </w:rPr>
              <w:t>(</w:t>
            </w:r>
            <w:proofErr w:type="spellStart"/>
            <w:r w:rsidRPr="00FC236C">
              <w:rPr>
                <w:rFonts w:asciiTheme="minorHAnsi" w:hAnsiTheme="minorHAnsi"/>
                <w:i/>
                <w:iCs/>
                <w:sz w:val="22"/>
                <w:szCs w:val="22"/>
                <w:lang w:val="lv-LV"/>
              </w:rPr>
              <w:t>angl</w:t>
            </w:r>
            <w:proofErr w:type="spellEnd"/>
            <w:r w:rsidRPr="00FC236C">
              <w:rPr>
                <w:rFonts w:asciiTheme="minorHAnsi" w:hAnsiTheme="minorHAnsi"/>
                <w:i/>
                <w:iCs/>
                <w:sz w:val="22"/>
                <w:szCs w:val="22"/>
                <w:lang w:val="lv-LV"/>
              </w:rPr>
              <w:t xml:space="preserve">. – </w:t>
            </w:r>
            <w:proofErr w:type="spellStart"/>
            <w:r w:rsidRPr="00FC236C">
              <w:rPr>
                <w:rFonts w:asciiTheme="minorHAnsi" w:hAnsiTheme="minorHAnsi"/>
                <w:i/>
                <w:iCs/>
                <w:sz w:val="22"/>
                <w:szCs w:val="22"/>
                <w:lang w:val="lv-LV"/>
              </w:rPr>
              <w:t>Key</w:t>
            </w:r>
            <w:proofErr w:type="spellEnd"/>
            <w:r w:rsidRPr="00FC236C">
              <w:rPr>
                <w:rFonts w:asciiTheme="minorHAnsi" w:hAnsiTheme="minorHAnsi"/>
                <w:i/>
                <w:iCs/>
                <w:sz w:val="22"/>
                <w:szCs w:val="22"/>
                <w:lang w:val="lv-LV"/>
              </w:rPr>
              <w:t xml:space="preserve"> Performance </w:t>
            </w:r>
            <w:proofErr w:type="spellStart"/>
            <w:r w:rsidRPr="00FC236C">
              <w:rPr>
                <w:rFonts w:asciiTheme="minorHAnsi" w:hAnsiTheme="minorHAnsi"/>
                <w:i/>
                <w:iCs/>
                <w:sz w:val="22"/>
                <w:szCs w:val="22"/>
                <w:lang w:val="lv-LV"/>
              </w:rPr>
              <w:t>Indicators</w:t>
            </w:r>
            <w:proofErr w:type="spellEnd"/>
            <w:r w:rsidRPr="00FC236C">
              <w:rPr>
                <w:rFonts w:asciiTheme="minorHAnsi" w:hAnsiTheme="minorHAnsi"/>
                <w:i/>
                <w:iCs/>
                <w:sz w:val="22"/>
                <w:szCs w:val="22"/>
                <w:lang w:val="lv-LV"/>
              </w:rPr>
              <w:t>)</w:t>
            </w:r>
          </w:p>
        </w:tc>
      </w:tr>
      <w:tr w:rsidR="00092E36" w:rsidRPr="00FC236C" w14:paraId="35E6C6BB" w14:textId="77777777" w:rsidTr="00E37790">
        <w:tc>
          <w:tcPr>
            <w:tcW w:w="126" w:type="pct"/>
            <w:tcBorders>
              <w:top w:val="single" w:sz="18" w:space="0" w:color="FFFFFF"/>
              <w:bottom w:val="single" w:sz="18" w:space="0" w:color="FFFFFF"/>
            </w:tcBorders>
            <w:shd w:val="clear" w:color="auto" w:fill="E5E5E5"/>
            <w:vAlign w:val="top"/>
          </w:tcPr>
          <w:p w14:paraId="4504CDEA"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45C5263" w14:textId="77777777" w:rsidR="00092E36" w:rsidRPr="00FC236C" w:rsidRDefault="00092E36" w:rsidP="001C4F27">
            <w:pPr>
              <w:rPr>
                <w:rFonts w:asciiTheme="minorHAnsi" w:hAnsiTheme="minorHAnsi"/>
                <w:sz w:val="22"/>
                <w:szCs w:val="22"/>
                <w:lang w:val="lv-LV"/>
              </w:rPr>
            </w:pPr>
            <w:proofErr w:type="spellStart"/>
            <w:r w:rsidRPr="00FC236C">
              <w:rPr>
                <w:rFonts w:asciiTheme="minorHAnsi" w:hAnsiTheme="minorHAnsi"/>
                <w:sz w:val="22"/>
                <w:szCs w:val="22"/>
                <w:lang w:val="lv-LV"/>
              </w:rPr>
              <w:t>Mērķarhitektūra</w:t>
            </w:r>
            <w:proofErr w:type="spellEnd"/>
          </w:p>
        </w:tc>
        <w:tc>
          <w:tcPr>
            <w:tcW w:w="3825" w:type="pct"/>
            <w:tcBorders>
              <w:top w:val="single" w:sz="2" w:space="0" w:color="BFBFBF"/>
              <w:bottom w:val="single" w:sz="2" w:space="0" w:color="BFBFBF"/>
            </w:tcBorders>
            <w:vAlign w:val="top"/>
          </w:tcPr>
          <w:p w14:paraId="44D18BA3"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 xml:space="preserve">Vēlamās nākotnes arhitektūras strukturēts attēlojums </w:t>
            </w:r>
            <w:r w:rsidRPr="00FC236C">
              <w:rPr>
                <w:rFonts w:asciiTheme="minorHAnsi" w:hAnsiTheme="minorHAnsi"/>
                <w:i/>
                <w:iCs/>
                <w:sz w:val="22"/>
                <w:szCs w:val="22"/>
                <w:lang w:val="lv-LV"/>
              </w:rPr>
              <w:t>(</w:t>
            </w:r>
            <w:proofErr w:type="spellStart"/>
            <w:r w:rsidRPr="00FC236C">
              <w:rPr>
                <w:rFonts w:asciiTheme="minorHAnsi" w:hAnsiTheme="minorHAnsi"/>
                <w:i/>
                <w:iCs/>
                <w:sz w:val="22"/>
                <w:szCs w:val="22"/>
                <w:lang w:val="lv-LV"/>
              </w:rPr>
              <w:t>angl</w:t>
            </w:r>
            <w:proofErr w:type="spellEnd"/>
            <w:r w:rsidRPr="00FC236C">
              <w:rPr>
                <w:rFonts w:asciiTheme="minorHAnsi" w:hAnsiTheme="minorHAnsi"/>
                <w:i/>
                <w:iCs/>
                <w:sz w:val="22"/>
                <w:szCs w:val="22"/>
                <w:lang w:val="lv-LV"/>
              </w:rPr>
              <w:t xml:space="preserve">. – Target </w:t>
            </w:r>
            <w:proofErr w:type="spellStart"/>
            <w:r w:rsidRPr="00FC236C">
              <w:rPr>
                <w:rFonts w:asciiTheme="minorHAnsi" w:hAnsiTheme="minorHAnsi"/>
                <w:i/>
                <w:iCs/>
                <w:sz w:val="22"/>
                <w:szCs w:val="22"/>
                <w:lang w:val="lv-LV"/>
              </w:rPr>
              <w:t>Architecture</w:t>
            </w:r>
            <w:proofErr w:type="spellEnd"/>
            <w:r w:rsidRPr="00FC236C">
              <w:rPr>
                <w:rFonts w:asciiTheme="minorHAnsi" w:hAnsiTheme="minorHAnsi"/>
                <w:i/>
                <w:iCs/>
                <w:sz w:val="22"/>
                <w:szCs w:val="22"/>
                <w:lang w:val="lv-LV"/>
              </w:rPr>
              <w:t>)</w:t>
            </w:r>
          </w:p>
        </w:tc>
      </w:tr>
      <w:tr w:rsidR="00092E36" w:rsidRPr="00FC236C" w14:paraId="4FD8F444" w14:textId="77777777" w:rsidTr="00E37790">
        <w:tc>
          <w:tcPr>
            <w:tcW w:w="126" w:type="pct"/>
            <w:tcBorders>
              <w:top w:val="single" w:sz="18" w:space="0" w:color="FFFFFF"/>
              <w:bottom w:val="single" w:sz="18" w:space="0" w:color="FFFFFF"/>
            </w:tcBorders>
            <w:shd w:val="clear" w:color="auto" w:fill="E5E5E5"/>
            <w:vAlign w:val="top"/>
          </w:tcPr>
          <w:p w14:paraId="7162B797"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732A1CE1"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MK</w:t>
            </w:r>
          </w:p>
        </w:tc>
        <w:tc>
          <w:tcPr>
            <w:tcW w:w="3825" w:type="pct"/>
            <w:tcBorders>
              <w:top w:val="single" w:sz="2" w:space="0" w:color="BFBFBF"/>
              <w:bottom w:val="single" w:sz="2" w:space="0" w:color="BFBFBF"/>
            </w:tcBorders>
            <w:vAlign w:val="top"/>
          </w:tcPr>
          <w:p w14:paraId="31A2DBD9"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Ministru kabinets</w:t>
            </w:r>
          </w:p>
        </w:tc>
      </w:tr>
      <w:tr w:rsidR="007966D1" w:rsidRPr="00FC236C" w14:paraId="33BC74BE" w14:textId="77777777" w:rsidTr="00E37790">
        <w:tc>
          <w:tcPr>
            <w:tcW w:w="126" w:type="pct"/>
            <w:tcBorders>
              <w:top w:val="single" w:sz="18" w:space="0" w:color="FFFFFF"/>
              <w:bottom w:val="single" w:sz="18" w:space="0" w:color="FFFFFF"/>
            </w:tcBorders>
            <w:shd w:val="clear" w:color="auto" w:fill="E5E5E5"/>
            <w:vAlign w:val="top"/>
          </w:tcPr>
          <w:p w14:paraId="359D0EC3" w14:textId="77777777" w:rsidR="007966D1" w:rsidRPr="00FC236C" w:rsidRDefault="007966D1"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654C0DC7" w14:textId="5F9992AD" w:rsidR="007966D1" w:rsidRPr="00FC236C" w:rsidRDefault="007966D1" w:rsidP="001C4F27">
            <w:pPr>
              <w:rPr>
                <w:rFonts w:asciiTheme="minorHAnsi" w:hAnsiTheme="minorHAnsi"/>
                <w:sz w:val="22"/>
                <w:szCs w:val="22"/>
                <w:lang w:val="lv-LV"/>
              </w:rPr>
            </w:pPr>
            <w:r w:rsidRPr="00FC236C">
              <w:rPr>
                <w:rFonts w:asciiTheme="minorHAnsi" w:hAnsiTheme="minorHAnsi"/>
                <w:sz w:val="22"/>
                <w:szCs w:val="22"/>
                <w:lang w:val="lv-LV"/>
              </w:rPr>
              <w:t>LAD</w:t>
            </w:r>
          </w:p>
        </w:tc>
        <w:tc>
          <w:tcPr>
            <w:tcW w:w="3825" w:type="pct"/>
            <w:tcBorders>
              <w:top w:val="single" w:sz="2" w:space="0" w:color="BFBFBF"/>
              <w:bottom w:val="single" w:sz="2" w:space="0" w:color="BFBFBF"/>
            </w:tcBorders>
            <w:vAlign w:val="top"/>
          </w:tcPr>
          <w:p w14:paraId="31B97B50" w14:textId="7B532A5E" w:rsidR="007966D1" w:rsidRPr="00FC236C" w:rsidRDefault="007966D1" w:rsidP="001C4F27">
            <w:pPr>
              <w:rPr>
                <w:rFonts w:asciiTheme="minorHAnsi" w:hAnsiTheme="minorHAnsi"/>
                <w:sz w:val="22"/>
                <w:szCs w:val="22"/>
                <w:lang w:val="lv-LV"/>
              </w:rPr>
            </w:pPr>
            <w:r w:rsidRPr="00FC236C">
              <w:rPr>
                <w:rFonts w:asciiTheme="minorHAnsi" w:hAnsiTheme="minorHAnsi"/>
                <w:sz w:val="22"/>
                <w:szCs w:val="22"/>
                <w:lang w:val="lv-LV"/>
              </w:rPr>
              <w:t>Lauku atbalsta dienests</w:t>
            </w:r>
          </w:p>
        </w:tc>
      </w:tr>
      <w:tr w:rsidR="0068188E" w:rsidRPr="00FC236C" w14:paraId="0A176BB2" w14:textId="77777777" w:rsidTr="00E37790">
        <w:tc>
          <w:tcPr>
            <w:tcW w:w="126" w:type="pct"/>
            <w:tcBorders>
              <w:top w:val="single" w:sz="18" w:space="0" w:color="FFFFFF"/>
              <w:bottom w:val="single" w:sz="18" w:space="0" w:color="FFFFFF"/>
            </w:tcBorders>
            <w:shd w:val="clear" w:color="auto" w:fill="E5E5E5"/>
            <w:vAlign w:val="top"/>
          </w:tcPr>
          <w:p w14:paraId="42863040" w14:textId="77777777" w:rsidR="0068188E" w:rsidRPr="00FC236C" w:rsidRDefault="0068188E"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30F5D6FA" w14:textId="68FEF2ED" w:rsidR="0068188E" w:rsidRPr="00FC236C" w:rsidRDefault="0068188E" w:rsidP="001C4F27">
            <w:pPr>
              <w:rPr>
                <w:rFonts w:asciiTheme="minorHAnsi" w:hAnsiTheme="minorHAnsi"/>
                <w:sz w:val="22"/>
                <w:szCs w:val="22"/>
                <w:lang w:val="lv-LV"/>
              </w:rPr>
            </w:pPr>
            <w:r w:rsidRPr="00FC236C">
              <w:rPr>
                <w:rFonts w:asciiTheme="minorHAnsi" w:hAnsiTheme="minorHAnsi"/>
                <w:sz w:val="22"/>
                <w:szCs w:val="22"/>
                <w:lang w:val="lv-LV"/>
              </w:rPr>
              <w:t>LVS</w:t>
            </w:r>
          </w:p>
        </w:tc>
        <w:tc>
          <w:tcPr>
            <w:tcW w:w="3825" w:type="pct"/>
            <w:tcBorders>
              <w:top w:val="single" w:sz="2" w:space="0" w:color="BFBFBF"/>
              <w:bottom w:val="single" w:sz="2" w:space="0" w:color="BFBFBF"/>
            </w:tcBorders>
            <w:vAlign w:val="top"/>
          </w:tcPr>
          <w:p w14:paraId="6244F27C" w14:textId="45FED667" w:rsidR="0068188E" w:rsidRPr="00FC236C" w:rsidRDefault="0068188E" w:rsidP="001C4F27">
            <w:pPr>
              <w:rPr>
                <w:rFonts w:asciiTheme="minorHAnsi" w:hAnsiTheme="minorHAnsi"/>
                <w:sz w:val="22"/>
                <w:szCs w:val="22"/>
                <w:lang w:val="lv-LV"/>
              </w:rPr>
            </w:pPr>
            <w:r w:rsidRPr="00FC236C">
              <w:rPr>
                <w:rFonts w:asciiTheme="minorHAnsi" w:hAnsiTheme="minorHAnsi"/>
                <w:sz w:val="22"/>
                <w:szCs w:val="22"/>
                <w:lang w:val="lv-LV"/>
              </w:rPr>
              <w:t>Latvijas Valsts standar</w:t>
            </w:r>
            <w:r w:rsidR="00A82A04" w:rsidRPr="00FC236C">
              <w:rPr>
                <w:rFonts w:asciiTheme="minorHAnsi" w:hAnsiTheme="minorHAnsi"/>
                <w:sz w:val="22"/>
                <w:szCs w:val="22"/>
                <w:lang w:val="lv-LV"/>
              </w:rPr>
              <w:t>ts</w:t>
            </w:r>
          </w:p>
        </w:tc>
      </w:tr>
      <w:tr w:rsidR="00092E36" w:rsidRPr="00FC236C" w14:paraId="0AD89498" w14:textId="77777777" w:rsidTr="00E37790">
        <w:tc>
          <w:tcPr>
            <w:tcW w:w="126" w:type="pct"/>
            <w:tcBorders>
              <w:top w:val="single" w:sz="18" w:space="0" w:color="FFFFFF"/>
              <w:bottom w:val="single" w:sz="18" w:space="0" w:color="FFFFFF"/>
            </w:tcBorders>
            <w:shd w:val="clear" w:color="auto" w:fill="E5E5E5"/>
            <w:vAlign w:val="top"/>
          </w:tcPr>
          <w:p w14:paraId="511FA5C6"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46278B4D"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VARAM</w:t>
            </w:r>
          </w:p>
        </w:tc>
        <w:tc>
          <w:tcPr>
            <w:tcW w:w="3825" w:type="pct"/>
            <w:tcBorders>
              <w:top w:val="single" w:sz="2" w:space="0" w:color="BFBFBF"/>
              <w:bottom w:val="single" w:sz="2" w:space="0" w:color="BFBFBF"/>
            </w:tcBorders>
            <w:vAlign w:val="top"/>
          </w:tcPr>
          <w:p w14:paraId="7617D1CD"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Vides aizsardzības un reģionālās attīstības ministrija</w:t>
            </w:r>
          </w:p>
        </w:tc>
      </w:tr>
      <w:tr w:rsidR="00092E36" w:rsidRPr="00FC236C" w14:paraId="0608AC03" w14:textId="77777777" w:rsidTr="00E37790">
        <w:tc>
          <w:tcPr>
            <w:tcW w:w="126" w:type="pct"/>
            <w:tcBorders>
              <w:top w:val="single" w:sz="18" w:space="0" w:color="FFFFFF"/>
              <w:bottom w:val="single" w:sz="18" w:space="0" w:color="FFFFFF"/>
            </w:tcBorders>
            <w:shd w:val="clear" w:color="auto" w:fill="E5E5E5"/>
            <w:vAlign w:val="top"/>
          </w:tcPr>
          <w:p w14:paraId="31C94D15"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29EEB82"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VDAA</w:t>
            </w:r>
          </w:p>
        </w:tc>
        <w:tc>
          <w:tcPr>
            <w:tcW w:w="3825" w:type="pct"/>
            <w:tcBorders>
              <w:top w:val="single" w:sz="2" w:space="0" w:color="BFBFBF"/>
              <w:bottom w:val="single" w:sz="2" w:space="0" w:color="BFBFBF"/>
            </w:tcBorders>
            <w:vAlign w:val="top"/>
          </w:tcPr>
          <w:p w14:paraId="75BD9BA3"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Valsts digitālās attīstības aģentūra</w:t>
            </w:r>
          </w:p>
        </w:tc>
      </w:tr>
      <w:tr w:rsidR="000706DD" w:rsidRPr="00FC236C" w14:paraId="15F52FEF" w14:textId="77777777" w:rsidTr="00E37790">
        <w:tc>
          <w:tcPr>
            <w:tcW w:w="126" w:type="pct"/>
            <w:tcBorders>
              <w:top w:val="single" w:sz="18" w:space="0" w:color="FFFFFF"/>
              <w:bottom w:val="single" w:sz="18" w:space="0" w:color="FFFFFF"/>
            </w:tcBorders>
            <w:shd w:val="clear" w:color="auto" w:fill="E5E5E5"/>
            <w:vAlign w:val="top"/>
          </w:tcPr>
          <w:p w14:paraId="23C6A3F4" w14:textId="77777777" w:rsidR="000706DD" w:rsidRPr="00FC236C" w:rsidRDefault="000706DD"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68C9E69" w14:textId="685D10DC" w:rsidR="000706DD" w:rsidRPr="00FC236C" w:rsidRDefault="000706DD" w:rsidP="001C4F27">
            <w:pPr>
              <w:rPr>
                <w:rFonts w:asciiTheme="minorHAnsi" w:hAnsiTheme="minorHAnsi"/>
                <w:sz w:val="22"/>
                <w:szCs w:val="22"/>
                <w:lang w:val="lv-LV"/>
              </w:rPr>
            </w:pPr>
            <w:r w:rsidRPr="00FC236C">
              <w:rPr>
                <w:rFonts w:asciiTheme="minorHAnsi" w:hAnsiTheme="minorHAnsi"/>
                <w:sz w:val="22"/>
                <w:szCs w:val="22"/>
                <w:lang w:val="lv-LV"/>
              </w:rPr>
              <w:t>VID</w:t>
            </w:r>
          </w:p>
        </w:tc>
        <w:tc>
          <w:tcPr>
            <w:tcW w:w="3825" w:type="pct"/>
            <w:tcBorders>
              <w:top w:val="single" w:sz="2" w:space="0" w:color="BFBFBF"/>
              <w:bottom w:val="single" w:sz="2" w:space="0" w:color="BFBFBF"/>
            </w:tcBorders>
            <w:vAlign w:val="top"/>
          </w:tcPr>
          <w:p w14:paraId="2BA5E2A9" w14:textId="338566C9" w:rsidR="000706DD" w:rsidRPr="00FC236C" w:rsidRDefault="000706DD" w:rsidP="001C4F27">
            <w:pPr>
              <w:rPr>
                <w:rFonts w:asciiTheme="minorHAnsi" w:hAnsiTheme="minorHAnsi"/>
                <w:sz w:val="22"/>
                <w:szCs w:val="22"/>
                <w:lang w:val="lv-LV"/>
              </w:rPr>
            </w:pPr>
            <w:r w:rsidRPr="00FC236C">
              <w:rPr>
                <w:rFonts w:asciiTheme="minorHAnsi" w:hAnsiTheme="minorHAnsi"/>
                <w:sz w:val="22"/>
                <w:szCs w:val="22"/>
                <w:lang w:val="lv-LV"/>
              </w:rPr>
              <w:t xml:space="preserve">Valsts ieņēmumu </w:t>
            </w:r>
            <w:proofErr w:type="spellStart"/>
            <w:r w:rsidRPr="00FC236C">
              <w:rPr>
                <w:rFonts w:asciiTheme="minorHAnsi" w:hAnsiTheme="minorHAnsi"/>
                <w:sz w:val="22"/>
                <w:szCs w:val="22"/>
                <w:lang w:val="lv-LV"/>
              </w:rPr>
              <w:t>diensts</w:t>
            </w:r>
            <w:proofErr w:type="spellEnd"/>
          </w:p>
        </w:tc>
      </w:tr>
      <w:tr w:rsidR="00092E36" w:rsidRPr="00FC236C" w14:paraId="373DF5FE" w14:textId="77777777" w:rsidTr="00E37790">
        <w:tc>
          <w:tcPr>
            <w:tcW w:w="126" w:type="pct"/>
            <w:tcBorders>
              <w:top w:val="single" w:sz="18" w:space="0" w:color="FFFFFF"/>
              <w:bottom w:val="single" w:sz="18" w:space="0" w:color="FFFFFF"/>
            </w:tcBorders>
            <w:shd w:val="clear" w:color="auto" w:fill="E5E5E5"/>
            <w:vAlign w:val="top"/>
          </w:tcPr>
          <w:p w14:paraId="2A0FBB8E"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389AFCDF"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VIRSIS</w:t>
            </w:r>
          </w:p>
        </w:tc>
        <w:tc>
          <w:tcPr>
            <w:tcW w:w="3825" w:type="pct"/>
            <w:tcBorders>
              <w:top w:val="single" w:sz="2" w:space="0" w:color="BFBFBF"/>
              <w:bottom w:val="single" w:sz="2" w:space="0" w:color="BFBFBF"/>
            </w:tcBorders>
            <w:vAlign w:val="top"/>
          </w:tcPr>
          <w:p w14:paraId="2CE3B906"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 xml:space="preserve">Valsts informācijas resursu, sistēmu un </w:t>
            </w:r>
            <w:proofErr w:type="spellStart"/>
            <w:r w:rsidRPr="00FC236C">
              <w:rPr>
                <w:rFonts w:asciiTheme="minorHAnsi" w:hAnsiTheme="minorHAnsi"/>
                <w:sz w:val="22"/>
                <w:szCs w:val="22"/>
                <w:lang w:val="lv-LV"/>
              </w:rPr>
              <w:t>sadarbspējas</w:t>
            </w:r>
            <w:proofErr w:type="spellEnd"/>
            <w:r w:rsidRPr="00FC236C">
              <w:rPr>
                <w:rFonts w:asciiTheme="minorHAnsi" w:hAnsiTheme="minorHAnsi"/>
                <w:sz w:val="22"/>
                <w:szCs w:val="22"/>
                <w:lang w:val="lv-LV"/>
              </w:rPr>
              <w:t xml:space="preserve"> informācijas sistēma</w:t>
            </w:r>
          </w:p>
        </w:tc>
      </w:tr>
      <w:tr w:rsidR="000706DD" w:rsidRPr="00FC236C" w14:paraId="746F8B3C" w14:textId="77777777" w:rsidTr="00E37790">
        <w:tc>
          <w:tcPr>
            <w:tcW w:w="126" w:type="pct"/>
            <w:tcBorders>
              <w:top w:val="single" w:sz="18" w:space="0" w:color="FFFFFF"/>
              <w:bottom w:val="single" w:sz="18" w:space="0" w:color="FFFFFF"/>
            </w:tcBorders>
            <w:shd w:val="clear" w:color="auto" w:fill="E5E5E5"/>
            <w:vAlign w:val="top"/>
          </w:tcPr>
          <w:p w14:paraId="7F3E1FF1" w14:textId="77777777" w:rsidR="000706DD" w:rsidRPr="00FC236C" w:rsidRDefault="000706DD"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0D5C4C3A" w14:textId="763D79B3" w:rsidR="000706DD" w:rsidRPr="00FC236C" w:rsidRDefault="000706DD" w:rsidP="001C4F27">
            <w:pPr>
              <w:rPr>
                <w:rFonts w:asciiTheme="minorHAnsi" w:hAnsiTheme="minorHAnsi"/>
                <w:sz w:val="22"/>
                <w:szCs w:val="22"/>
                <w:lang w:val="lv-LV"/>
              </w:rPr>
            </w:pPr>
            <w:r w:rsidRPr="00FC236C">
              <w:rPr>
                <w:rFonts w:asciiTheme="minorHAnsi" w:hAnsiTheme="minorHAnsi"/>
                <w:sz w:val="22"/>
                <w:szCs w:val="22"/>
                <w:lang w:val="lv-LV"/>
              </w:rPr>
              <w:t>VPVKAC IS</w:t>
            </w:r>
          </w:p>
        </w:tc>
        <w:tc>
          <w:tcPr>
            <w:tcW w:w="3825" w:type="pct"/>
            <w:tcBorders>
              <w:top w:val="single" w:sz="2" w:space="0" w:color="BFBFBF"/>
              <w:bottom w:val="single" w:sz="2" w:space="0" w:color="BFBFBF"/>
            </w:tcBorders>
            <w:vAlign w:val="top"/>
          </w:tcPr>
          <w:p w14:paraId="28E5014C" w14:textId="7098899D" w:rsidR="000706DD" w:rsidRPr="00FC236C" w:rsidRDefault="00FC236C" w:rsidP="001C4F27">
            <w:pPr>
              <w:rPr>
                <w:rFonts w:asciiTheme="minorHAnsi" w:hAnsiTheme="minorHAnsi"/>
                <w:sz w:val="22"/>
                <w:szCs w:val="22"/>
                <w:lang w:val="lv-LV"/>
              </w:rPr>
            </w:pPr>
            <w:r w:rsidRPr="00FC236C">
              <w:rPr>
                <w:rFonts w:asciiTheme="minorHAnsi" w:hAnsiTheme="minorHAnsi"/>
                <w:sz w:val="22"/>
                <w:szCs w:val="22"/>
                <w:lang w:val="lv-LV"/>
              </w:rPr>
              <w:t>Valsts un pašvaldību vienoto klientu apkalpošanas centru informācijas sistēma</w:t>
            </w:r>
          </w:p>
        </w:tc>
      </w:tr>
      <w:tr w:rsidR="00092E36" w:rsidRPr="00FC236C" w14:paraId="18C94AA8" w14:textId="77777777" w:rsidTr="00E37790">
        <w:tc>
          <w:tcPr>
            <w:tcW w:w="126" w:type="pct"/>
            <w:tcBorders>
              <w:top w:val="single" w:sz="18" w:space="0" w:color="FFFFFF"/>
              <w:bottom w:val="single" w:sz="18" w:space="0" w:color="FFFFFF"/>
            </w:tcBorders>
            <w:shd w:val="clear" w:color="auto" w:fill="E5E5E5"/>
            <w:vAlign w:val="top"/>
          </w:tcPr>
          <w:p w14:paraId="5F12F0CE" w14:textId="77777777" w:rsidR="00092E36" w:rsidRPr="00FC236C" w:rsidRDefault="00092E36"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74ACFF60"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VISS</w:t>
            </w:r>
          </w:p>
        </w:tc>
        <w:tc>
          <w:tcPr>
            <w:tcW w:w="3825" w:type="pct"/>
            <w:tcBorders>
              <w:top w:val="single" w:sz="2" w:space="0" w:color="BFBFBF"/>
              <w:bottom w:val="single" w:sz="2" w:space="0" w:color="BFBFBF"/>
            </w:tcBorders>
            <w:vAlign w:val="top"/>
          </w:tcPr>
          <w:p w14:paraId="2BCDFF56" w14:textId="77777777" w:rsidR="00092E36" w:rsidRPr="00FC236C" w:rsidRDefault="00092E36" w:rsidP="001C4F27">
            <w:pPr>
              <w:rPr>
                <w:rFonts w:asciiTheme="minorHAnsi" w:hAnsiTheme="minorHAnsi"/>
                <w:sz w:val="22"/>
                <w:szCs w:val="22"/>
                <w:lang w:val="lv-LV"/>
              </w:rPr>
            </w:pPr>
            <w:r w:rsidRPr="00FC236C">
              <w:rPr>
                <w:rFonts w:asciiTheme="minorHAnsi" w:hAnsiTheme="minorHAnsi"/>
                <w:sz w:val="22"/>
                <w:szCs w:val="22"/>
                <w:lang w:val="lv-LV"/>
              </w:rPr>
              <w:t xml:space="preserve">Valsts informācijas sistēmu </w:t>
            </w:r>
            <w:proofErr w:type="spellStart"/>
            <w:r w:rsidRPr="00FC236C">
              <w:rPr>
                <w:rFonts w:asciiTheme="minorHAnsi" w:hAnsiTheme="minorHAnsi"/>
                <w:sz w:val="22"/>
                <w:szCs w:val="22"/>
                <w:lang w:val="lv-LV"/>
              </w:rPr>
              <w:t>savietotājs</w:t>
            </w:r>
            <w:proofErr w:type="spellEnd"/>
          </w:p>
        </w:tc>
      </w:tr>
      <w:tr w:rsidR="003D6E81" w:rsidRPr="00FC236C" w14:paraId="14389D13" w14:textId="77777777" w:rsidTr="00E37790">
        <w:tc>
          <w:tcPr>
            <w:tcW w:w="126" w:type="pct"/>
            <w:tcBorders>
              <w:top w:val="single" w:sz="18" w:space="0" w:color="FFFFFF"/>
              <w:bottom w:val="single" w:sz="18" w:space="0" w:color="FFFFFF"/>
            </w:tcBorders>
            <w:shd w:val="clear" w:color="auto" w:fill="E5E5E5"/>
            <w:vAlign w:val="top"/>
          </w:tcPr>
          <w:p w14:paraId="113BC224" w14:textId="77777777" w:rsidR="003D6E81" w:rsidRPr="00FC236C" w:rsidRDefault="003D6E81"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3C9398EC" w14:textId="26F9853E" w:rsidR="003D6E81" w:rsidRPr="00FC236C" w:rsidRDefault="003D6E81" w:rsidP="001C4F27">
            <w:pPr>
              <w:rPr>
                <w:rFonts w:asciiTheme="minorHAnsi" w:hAnsiTheme="minorHAnsi"/>
                <w:sz w:val="22"/>
                <w:szCs w:val="22"/>
                <w:lang w:val="lv-LV"/>
              </w:rPr>
            </w:pPr>
            <w:proofErr w:type="spellStart"/>
            <w:r w:rsidRPr="00FC236C">
              <w:rPr>
                <w:rFonts w:asciiTheme="minorHAnsi" w:hAnsiTheme="minorHAnsi"/>
                <w:sz w:val="22"/>
                <w:szCs w:val="22"/>
                <w:lang w:val="lv-LV"/>
              </w:rPr>
              <w:t>SaaS</w:t>
            </w:r>
            <w:proofErr w:type="spellEnd"/>
          </w:p>
        </w:tc>
        <w:tc>
          <w:tcPr>
            <w:tcW w:w="3825" w:type="pct"/>
            <w:tcBorders>
              <w:top w:val="single" w:sz="2" w:space="0" w:color="BFBFBF"/>
              <w:bottom w:val="single" w:sz="2" w:space="0" w:color="BFBFBF"/>
            </w:tcBorders>
            <w:vAlign w:val="top"/>
          </w:tcPr>
          <w:p w14:paraId="055E7845" w14:textId="02237986" w:rsidR="003D6E81" w:rsidRPr="00FC236C" w:rsidRDefault="003D6E81" w:rsidP="001C4F27">
            <w:pPr>
              <w:rPr>
                <w:rFonts w:asciiTheme="minorHAnsi" w:hAnsiTheme="minorHAnsi"/>
                <w:sz w:val="22"/>
                <w:szCs w:val="22"/>
                <w:lang w:val="lv-LV"/>
              </w:rPr>
            </w:pPr>
            <w:r w:rsidRPr="00FC236C">
              <w:rPr>
                <w:rFonts w:asciiTheme="minorHAnsi" w:hAnsiTheme="minorHAnsi"/>
                <w:sz w:val="22"/>
                <w:szCs w:val="22"/>
                <w:lang w:val="lv-LV"/>
              </w:rPr>
              <w:t xml:space="preserve">Programmatūra kā pakalpojums </w:t>
            </w:r>
            <w:r w:rsidRPr="00FC236C">
              <w:rPr>
                <w:rFonts w:asciiTheme="minorHAnsi" w:hAnsiTheme="minorHAnsi"/>
                <w:i/>
                <w:iCs/>
                <w:sz w:val="22"/>
                <w:szCs w:val="22"/>
                <w:lang w:val="lv-LV"/>
              </w:rPr>
              <w:t>(</w:t>
            </w:r>
            <w:proofErr w:type="spellStart"/>
            <w:r w:rsidRPr="00FC236C">
              <w:rPr>
                <w:rFonts w:asciiTheme="minorHAnsi" w:hAnsiTheme="minorHAnsi"/>
                <w:i/>
                <w:iCs/>
                <w:sz w:val="22"/>
                <w:szCs w:val="22"/>
                <w:lang w:val="lv-LV"/>
              </w:rPr>
              <w:t>angl</w:t>
            </w:r>
            <w:proofErr w:type="spellEnd"/>
            <w:r w:rsidRPr="00FC236C">
              <w:rPr>
                <w:rFonts w:asciiTheme="minorHAnsi" w:hAnsiTheme="minorHAnsi"/>
                <w:i/>
                <w:iCs/>
                <w:sz w:val="22"/>
                <w:szCs w:val="22"/>
                <w:lang w:val="lv-LV"/>
              </w:rPr>
              <w:t xml:space="preserve">. – </w:t>
            </w:r>
            <w:proofErr w:type="spellStart"/>
            <w:r w:rsidRPr="00FC236C">
              <w:rPr>
                <w:rFonts w:asciiTheme="minorHAnsi" w:hAnsiTheme="minorHAnsi"/>
                <w:i/>
                <w:iCs/>
                <w:sz w:val="22"/>
                <w:szCs w:val="22"/>
                <w:lang w:val="lv-LV"/>
              </w:rPr>
              <w:t>Sofware</w:t>
            </w:r>
            <w:proofErr w:type="spellEnd"/>
            <w:r w:rsidRPr="00FC236C">
              <w:rPr>
                <w:rFonts w:asciiTheme="minorHAnsi" w:hAnsiTheme="minorHAnsi"/>
                <w:i/>
                <w:iCs/>
                <w:sz w:val="22"/>
                <w:szCs w:val="22"/>
                <w:lang w:val="lv-LV"/>
              </w:rPr>
              <w:t>-</w:t>
            </w:r>
            <w:proofErr w:type="spellStart"/>
            <w:r w:rsidRPr="00FC236C">
              <w:rPr>
                <w:rFonts w:asciiTheme="minorHAnsi" w:hAnsiTheme="minorHAnsi"/>
                <w:i/>
                <w:iCs/>
                <w:sz w:val="22"/>
                <w:szCs w:val="22"/>
                <w:lang w:val="lv-LV"/>
              </w:rPr>
              <w:t>as</w:t>
            </w:r>
            <w:proofErr w:type="spellEnd"/>
            <w:r w:rsidRPr="00FC236C">
              <w:rPr>
                <w:rFonts w:asciiTheme="minorHAnsi" w:hAnsiTheme="minorHAnsi"/>
                <w:i/>
                <w:iCs/>
                <w:sz w:val="22"/>
                <w:szCs w:val="22"/>
                <w:lang w:val="lv-LV"/>
              </w:rPr>
              <w:t xml:space="preserve">-a </w:t>
            </w:r>
            <w:proofErr w:type="spellStart"/>
            <w:r w:rsidRPr="00FC236C">
              <w:rPr>
                <w:rFonts w:asciiTheme="minorHAnsi" w:hAnsiTheme="minorHAnsi"/>
                <w:i/>
                <w:iCs/>
                <w:sz w:val="22"/>
                <w:szCs w:val="22"/>
                <w:lang w:val="lv-LV"/>
              </w:rPr>
              <w:t>service</w:t>
            </w:r>
            <w:proofErr w:type="spellEnd"/>
            <w:r w:rsidRPr="00FC236C">
              <w:rPr>
                <w:rFonts w:asciiTheme="minorHAnsi" w:hAnsiTheme="minorHAnsi"/>
                <w:i/>
                <w:iCs/>
                <w:sz w:val="22"/>
                <w:szCs w:val="22"/>
                <w:lang w:val="lv-LV"/>
              </w:rPr>
              <w:t>)</w:t>
            </w:r>
          </w:p>
        </w:tc>
      </w:tr>
      <w:tr w:rsidR="00AD4B1E" w:rsidRPr="00FC236C" w14:paraId="6B02733F" w14:textId="77777777" w:rsidTr="00E37790">
        <w:tc>
          <w:tcPr>
            <w:tcW w:w="126" w:type="pct"/>
            <w:tcBorders>
              <w:top w:val="single" w:sz="18" w:space="0" w:color="FFFFFF"/>
              <w:bottom w:val="single" w:sz="18" w:space="0" w:color="FFFFFF"/>
            </w:tcBorders>
            <w:shd w:val="clear" w:color="auto" w:fill="E5E5E5"/>
            <w:vAlign w:val="top"/>
          </w:tcPr>
          <w:p w14:paraId="5686D62B" w14:textId="77777777" w:rsidR="00AD4B1E" w:rsidRPr="00072292" w:rsidRDefault="00AD4B1E"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0DD3154D" w14:textId="57CE2744" w:rsidR="00AD4B1E" w:rsidRPr="00072292" w:rsidRDefault="00AD4B1E" w:rsidP="001C4F27">
            <w:pPr>
              <w:rPr>
                <w:rFonts w:asciiTheme="minorHAnsi" w:hAnsiTheme="minorHAnsi"/>
                <w:sz w:val="22"/>
                <w:szCs w:val="22"/>
                <w:lang w:val="lv-LV"/>
              </w:rPr>
            </w:pPr>
            <w:r w:rsidRPr="00072292">
              <w:rPr>
                <w:rFonts w:asciiTheme="minorHAnsi" w:hAnsiTheme="minorHAnsi"/>
                <w:sz w:val="22"/>
                <w:szCs w:val="22"/>
                <w:lang w:val="lv-LV"/>
              </w:rPr>
              <w:t>SVID</w:t>
            </w:r>
          </w:p>
        </w:tc>
        <w:tc>
          <w:tcPr>
            <w:tcW w:w="3825" w:type="pct"/>
            <w:tcBorders>
              <w:top w:val="single" w:sz="2" w:space="0" w:color="BFBFBF"/>
              <w:bottom w:val="single" w:sz="2" w:space="0" w:color="BFBFBF"/>
            </w:tcBorders>
            <w:vAlign w:val="top"/>
          </w:tcPr>
          <w:p w14:paraId="75E4F11A" w14:textId="19ED635E" w:rsidR="00AD4B1E" w:rsidRPr="00072292" w:rsidRDefault="00AD4B1E" w:rsidP="001C4F27">
            <w:pPr>
              <w:rPr>
                <w:rFonts w:asciiTheme="minorHAnsi" w:hAnsiTheme="minorHAnsi"/>
                <w:sz w:val="22"/>
                <w:szCs w:val="22"/>
                <w:lang w:val="lv-LV"/>
              </w:rPr>
            </w:pPr>
            <w:r w:rsidRPr="00072292">
              <w:rPr>
                <w:rFonts w:asciiTheme="minorHAnsi" w:hAnsiTheme="minorHAnsi"/>
                <w:sz w:val="22"/>
                <w:szCs w:val="22"/>
                <w:lang w:val="lv-LV"/>
              </w:rPr>
              <w:t>Stiprās puses, vājās puses, iespējas un draudi</w:t>
            </w:r>
          </w:p>
        </w:tc>
      </w:tr>
      <w:tr w:rsidR="00072292" w:rsidRPr="00FC236C" w14:paraId="7D048EA0" w14:textId="77777777" w:rsidTr="00E37790">
        <w:tc>
          <w:tcPr>
            <w:tcW w:w="126" w:type="pct"/>
            <w:tcBorders>
              <w:top w:val="single" w:sz="18" w:space="0" w:color="FFFFFF"/>
              <w:bottom w:val="single" w:sz="18" w:space="0" w:color="FFFFFF"/>
            </w:tcBorders>
            <w:shd w:val="clear" w:color="auto" w:fill="E5E5E5"/>
            <w:vAlign w:val="top"/>
          </w:tcPr>
          <w:p w14:paraId="5D869F1A" w14:textId="77777777" w:rsidR="00072292" w:rsidRPr="00072292" w:rsidRDefault="00072292" w:rsidP="00072292">
            <w:pPr>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109286C9" w14:textId="5B41DCF9" w:rsidR="00072292" w:rsidRPr="00072292" w:rsidRDefault="00072292" w:rsidP="001C4F27">
            <w:pPr>
              <w:rPr>
                <w:rFonts w:asciiTheme="minorHAnsi" w:hAnsiTheme="minorHAnsi"/>
                <w:sz w:val="22"/>
                <w:szCs w:val="22"/>
                <w:lang w:val="lv-LV"/>
              </w:rPr>
            </w:pPr>
            <w:r w:rsidRPr="00072292">
              <w:rPr>
                <w:rFonts w:asciiTheme="minorHAnsi" w:hAnsiTheme="minorHAnsi"/>
                <w:sz w:val="22"/>
                <w:szCs w:val="22"/>
                <w:lang w:val="lv-LV"/>
              </w:rPr>
              <w:t>SSO</w:t>
            </w:r>
          </w:p>
        </w:tc>
        <w:tc>
          <w:tcPr>
            <w:tcW w:w="3825" w:type="pct"/>
            <w:tcBorders>
              <w:top w:val="single" w:sz="2" w:space="0" w:color="BFBFBF"/>
              <w:bottom w:val="single" w:sz="2" w:space="0" w:color="BFBFBF"/>
            </w:tcBorders>
            <w:vAlign w:val="top"/>
          </w:tcPr>
          <w:p w14:paraId="6049746E" w14:textId="52704D36" w:rsidR="00072292" w:rsidRPr="00072292" w:rsidRDefault="00072292" w:rsidP="001C4F27">
            <w:pPr>
              <w:rPr>
                <w:rFonts w:asciiTheme="minorHAnsi" w:hAnsiTheme="minorHAnsi"/>
                <w:sz w:val="22"/>
                <w:szCs w:val="22"/>
                <w:lang w:val="lv-LV"/>
              </w:rPr>
            </w:pPr>
            <w:r w:rsidRPr="00072292">
              <w:rPr>
                <w:rFonts w:asciiTheme="minorHAnsi" w:hAnsiTheme="minorHAnsi"/>
                <w:sz w:val="22"/>
                <w:szCs w:val="22"/>
                <w:lang w:val="lv-LV"/>
              </w:rPr>
              <w:t xml:space="preserve">Vienotā pieteikšanās </w:t>
            </w:r>
            <w:r w:rsidRPr="00B23F9A">
              <w:rPr>
                <w:rFonts w:asciiTheme="minorHAnsi" w:hAnsiTheme="minorHAnsi"/>
                <w:i/>
                <w:iCs/>
                <w:sz w:val="22"/>
                <w:szCs w:val="22"/>
                <w:lang w:val="lv-LV"/>
              </w:rPr>
              <w:t>(</w:t>
            </w:r>
            <w:proofErr w:type="spellStart"/>
            <w:r w:rsidRPr="00B23F9A">
              <w:rPr>
                <w:rFonts w:asciiTheme="minorHAnsi" w:hAnsiTheme="minorHAnsi"/>
                <w:i/>
                <w:iCs/>
                <w:sz w:val="22"/>
                <w:szCs w:val="22"/>
                <w:lang w:val="lv-LV"/>
              </w:rPr>
              <w:t>angl</w:t>
            </w:r>
            <w:proofErr w:type="spellEnd"/>
            <w:r w:rsidRPr="00B23F9A">
              <w:rPr>
                <w:rFonts w:asciiTheme="minorHAnsi" w:hAnsiTheme="minorHAnsi"/>
                <w:i/>
                <w:iCs/>
                <w:sz w:val="22"/>
                <w:szCs w:val="22"/>
                <w:lang w:val="lv-LV"/>
              </w:rPr>
              <w:t xml:space="preserve">. – </w:t>
            </w:r>
            <w:proofErr w:type="spellStart"/>
            <w:r w:rsidRPr="00B23F9A">
              <w:rPr>
                <w:rFonts w:asciiTheme="minorHAnsi" w:hAnsiTheme="minorHAnsi"/>
                <w:i/>
                <w:iCs/>
                <w:sz w:val="22"/>
                <w:szCs w:val="22"/>
                <w:lang w:val="lv-LV"/>
              </w:rPr>
              <w:t>Single-sign-on</w:t>
            </w:r>
            <w:proofErr w:type="spellEnd"/>
            <w:r w:rsidRPr="00B23F9A">
              <w:rPr>
                <w:rFonts w:asciiTheme="minorHAnsi" w:hAnsiTheme="minorHAnsi"/>
                <w:i/>
                <w:iCs/>
                <w:sz w:val="22"/>
                <w:szCs w:val="22"/>
                <w:lang w:val="lv-LV"/>
              </w:rPr>
              <w:t>)</w:t>
            </w:r>
          </w:p>
        </w:tc>
      </w:tr>
      <w:tr w:rsidR="00B531EA" w:rsidRPr="00FC236C" w14:paraId="7D7209EE" w14:textId="77777777" w:rsidTr="00E37790">
        <w:tc>
          <w:tcPr>
            <w:tcW w:w="126" w:type="pct"/>
            <w:tcBorders>
              <w:top w:val="single" w:sz="18" w:space="0" w:color="FFFFFF"/>
              <w:bottom w:val="single" w:sz="18" w:space="0" w:color="FFFFFF"/>
            </w:tcBorders>
            <w:shd w:val="clear" w:color="auto" w:fill="E5E5E5"/>
            <w:vAlign w:val="top"/>
          </w:tcPr>
          <w:p w14:paraId="1A54B2D1" w14:textId="77777777" w:rsidR="00B531EA" w:rsidRPr="00072292" w:rsidRDefault="00B531EA" w:rsidP="001C4F27">
            <w:pPr>
              <w:spacing w:after="120"/>
              <w:rPr>
                <w:rFonts w:asciiTheme="minorHAnsi" w:hAnsiTheme="minorHAnsi"/>
                <w:sz w:val="22"/>
                <w:szCs w:val="22"/>
                <w:lang w:val="lv-LV"/>
              </w:rPr>
            </w:pPr>
          </w:p>
        </w:tc>
        <w:tc>
          <w:tcPr>
            <w:tcW w:w="1049" w:type="pct"/>
            <w:tcBorders>
              <w:top w:val="single" w:sz="18" w:space="0" w:color="FFFFFF"/>
              <w:bottom w:val="single" w:sz="18" w:space="0" w:color="FFFFFF"/>
            </w:tcBorders>
            <w:shd w:val="clear" w:color="auto" w:fill="F2F2F2"/>
            <w:vAlign w:val="top"/>
          </w:tcPr>
          <w:p w14:paraId="3E5CADE7" w14:textId="2847D637" w:rsidR="00B531EA" w:rsidRPr="00072292" w:rsidRDefault="00B531EA" w:rsidP="001C4F27">
            <w:pPr>
              <w:rPr>
                <w:rFonts w:asciiTheme="minorHAnsi" w:hAnsiTheme="minorHAnsi"/>
                <w:sz w:val="22"/>
                <w:szCs w:val="22"/>
                <w:lang w:val="lv-LV"/>
              </w:rPr>
            </w:pPr>
            <w:r w:rsidRPr="00072292">
              <w:rPr>
                <w:rFonts w:asciiTheme="minorHAnsi" w:hAnsiTheme="minorHAnsi"/>
                <w:sz w:val="22"/>
                <w:szCs w:val="22"/>
                <w:lang w:val="lv-LV"/>
              </w:rPr>
              <w:t>UX</w:t>
            </w:r>
          </w:p>
        </w:tc>
        <w:tc>
          <w:tcPr>
            <w:tcW w:w="3825" w:type="pct"/>
            <w:tcBorders>
              <w:top w:val="single" w:sz="2" w:space="0" w:color="BFBFBF"/>
              <w:bottom w:val="single" w:sz="2" w:space="0" w:color="BFBFBF"/>
            </w:tcBorders>
            <w:vAlign w:val="top"/>
          </w:tcPr>
          <w:p w14:paraId="048856AE" w14:textId="13EE7284" w:rsidR="00B531EA" w:rsidRPr="00072292" w:rsidRDefault="00B531EA" w:rsidP="001C4F27">
            <w:pPr>
              <w:rPr>
                <w:rFonts w:asciiTheme="minorHAnsi" w:hAnsiTheme="minorHAnsi"/>
                <w:sz w:val="22"/>
                <w:szCs w:val="22"/>
                <w:lang w:val="lv-LV"/>
              </w:rPr>
            </w:pPr>
            <w:r w:rsidRPr="00072292">
              <w:rPr>
                <w:rFonts w:asciiTheme="minorHAnsi" w:hAnsiTheme="minorHAnsi"/>
                <w:sz w:val="22"/>
                <w:szCs w:val="22"/>
                <w:lang w:val="lv-LV"/>
              </w:rPr>
              <w:t xml:space="preserve">Lietotāja pieredze </w:t>
            </w:r>
            <w:r w:rsidRPr="00072292">
              <w:rPr>
                <w:rFonts w:asciiTheme="minorHAnsi" w:hAnsiTheme="minorHAnsi"/>
                <w:i/>
                <w:iCs/>
                <w:sz w:val="22"/>
                <w:szCs w:val="22"/>
                <w:lang w:val="lv-LV"/>
              </w:rPr>
              <w:t>(</w:t>
            </w:r>
            <w:proofErr w:type="spellStart"/>
            <w:r w:rsidRPr="00072292">
              <w:rPr>
                <w:rFonts w:asciiTheme="minorHAnsi" w:hAnsiTheme="minorHAnsi"/>
                <w:i/>
                <w:iCs/>
                <w:sz w:val="22"/>
                <w:szCs w:val="22"/>
                <w:lang w:val="lv-LV"/>
              </w:rPr>
              <w:t>angl</w:t>
            </w:r>
            <w:proofErr w:type="spellEnd"/>
            <w:r w:rsidRPr="00072292">
              <w:rPr>
                <w:rFonts w:asciiTheme="minorHAnsi" w:hAnsiTheme="minorHAnsi"/>
                <w:i/>
                <w:iCs/>
                <w:sz w:val="22"/>
                <w:szCs w:val="22"/>
                <w:lang w:val="lv-LV"/>
              </w:rPr>
              <w:t xml:space="preserve">. – </w:t>
            </w:r>
            <w:proofErr w:type="spellStart"/>
            <w:r w:rsidRPr="00072292">
              <w:rPr>
                <w:rFonts w:asciiTheme="minorHAnsi" w:hAnsiTheme="minorHAnsi"/>
                <w:i/>
                <w:iCs/>
                <w:sz w:val="22"/>
                <w:szCs w:val="22"/>
                <w:lang w:val="lv-LV"/>
              </w:rPr>
              <w:t>User</w:t>
            </w:r>
            <w:proofErr w:type="spellEnd"/>
            <w:r w:rsidRPr="00072292">
              <w:rPr>
                <w:rFonts w:asciiTheme="minorHAnsi" w:hAnsiTheme="minorHAnsi"/>
                <w:i/>
                <w:iCs/>
                <w:sz w:val="22"/>
                <w:szCs w:val="22"/>
                <w:lang w:val="lv-LV"/>
              </w:rPr>
              <w:t xml:space="preserve"> </w:t>
            </w:r>
            <w:proofErr w:type="spellStart"/>
            <w:r w:rsidRPr="00072292">
              <w:rPr>
                <w:rFonts w:asciiTheme="minorHAnsi" w:hAnsiTheme="minorHAnsi"/>
                <w:i/>
                <w:iCs/>
                <w:sz w:val="22"/>
                <w:szCs w:val="22"/>
                <w:lang w:val="lv-LV"/>
              </w:rPr>
              <w:t>expierence</w:t>
            </w:r>
            <w:proofErr w:type="spellEnd"/>
            <w:r w:rsidRPr="00072292">
              <w:rPr>
                <w:rFonts w:asciiTheme="minorHAnsi" w:hAnsiTheme="minorHAnsi"/>
                <w:i/>
                <w:iCs/>
                <w:sz w:val="22"/>
                <w:szCs w:val="22"/>
                <w:lang w:val="lv-LV"/>
              </w:rPr>
              <w:t>)</w:t>
            </w:r>
          </w:p>
        </w:tc>
      </w:tr>
    </w:tbl>
    <w:p w14:paraId="56C9172D" w14:textId="77777777" w:rsidR="00694273" w:rsidRPr="00BD2F4B" w:rsidRDefault="00694273" w:rsidP="004C2471">
      <w:pPr>
        <w:spacing w:before="120" w:after="60" w:line="240" w:lineRule="auto"/>
        <w:jc w:val="both"/>
        <w:rPr>
          <w:iCs/>
          <w:lang w:val="lv-LV"/>
        </w:rPr>
      </w:pPr>
    </w:p>
    <w:p w14:paraId="7CCCB457" w14:textId="77777777" w:rsidR="00072292" w:rsidRDefault="00072292" w:rsidP="00D5520A">
      <w:pPr>
        <w:pStyle w:val="Heading1"/>
        <w:numPr>
          <w:ilvl w:val="0"/>
          <w:numId w:val="4"/>
        </w:numPr>
        <w:rPr>
          <w:lang w:val="lv-LV"/>
        </w:rPr>
        <w:sectPr w:rsidR="00072292">
          <w:pgSz w:w="12240" w:h="15840"/>
          <w:pgMar w:top="1440" w:right="1440" w:bottom="1440" w:left="1440" w:header="720" w:footer="720" w:gutter="0"/>
          <w:cols w:space="720"/>
          <w:docGrid w:linePitch="360"/>
        </w:sectPr>
      </w:pPr>
    </w:p>
    <w:p w14:paraId="139D69DB" w14:textId="1FE0F657" w:rsidR="0093096E" w:rsidRDefault="0093096E" w:rsidP="00D5520A">
      <w:pPr>
        <w:pStyle w:val="Heading1"/>
        <w:numPr>
          <w:ilvl w:val="0"/>
          <w:numId w:val="4"/>
        </w:numPr>
        <w:rPr>
          <w:lang w:val="lv-LV"/>
        </w:rPr>
      </w:pPr>
      <w:r>
        <w:rPr>
          <w:lang w:val="lv-LV"/>
        </w:rPr>
        <w:lastRenderedPageBreak/>
        <w:t>Vispārējie principi</w:t>
      </w:r>
    </w:p>
    <w:p w14:paraId="7EA0B660" w14:textId="56C3300B" w:rsidR="002D035C" w:rsidRPr="00DC6E57" w:rsidRDefault="002D035C" w:rsidP="002D035C">
      <w:pPr>
        <w:pStyle w:val="Heading2"/>
        <w:rPr>
          <w:lang w:val="lv-LV"/>
        </w:rPr>
      </w:pPr>
      <w:r>
        <w:rPr>
          <w:lang w:val="lv-LV"/>
        </w:rPr>
        <w:t>P1. Labs ir “pietiekami labs</w:t>
      </w:r>
      <w:r w:rsidRPr="00E2406D">
        <w:rPr>
          <w:noProof/>
          <w:lang w:val="lv-LV"/>
        </w:rPr>
        <mc:AlternateContent>
          <mc:Choice Requires="wps">
            <w:drawing>
              <wp:anchor distT="0" distB="0" distL="114300" distR="114300" simplePos="0" relativeHeight="251660327" behindDoc="0" locked="0" layoutInCell="1" allowOverlap="1" wp14:anchorId="590B1FE1" wp14:editId="1AD2CDB0">
                <wp:simplePos x="0" y="0"/>
                <wp:positionH relativeFrom="column">
                  <wp:posOffset>0</wp:posOffset>
                </wp:positionH>
                <wp:positionV relativeFrom="paragraph">
                  <wp:posOffset>316865</wp:posOffset>
                </wp:positionV>
                <wp:extent cx="1828800" cy="1828800"/>
                <wp:effectExtent l="0" t="0" r="8890" b="10795"/>
                <wp:wrapTopAndBottom/>
                <wp:docPr id="65997716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3788D2E" w14:textId="77777777" w:rsidR="002D035C" w:rsidRPr="002F0282" w:rsidRDefault="002D035C" w:rsidP="002D035C">
                            <w:pPr>
                              <w:ind w:left="851"/>
                              <w:jc w:val="both"/>
                              <w:rPr>
                                <w:lang w:val="lv-LV"/>
                              </w:rPr>
                            </w:pPr>
                            <w:r w:rsidRPr="002F0282">
                              <w:rPr>
                                <w:lang w:val="lv-LV"/>
                              </w:rPr>
                              <w:t>Pilnība ne vienmēr ir nepieciešama, līdz ar to ir svarīgi izstrādāt pakalpojumus un IKT risinājumus, kas atbilst būtiskajām prasībām, neiekļaujot liekas funkcijas. Prioritāte jāpiešķir vērtības radīšanai, nevis pilnības sasniegšanai, īpaši strādājot ar elastīgām un iteratīvām pieejām pakalpojumu un IKT risinājumu projektēšanā.</w:t>
                            </w:r>
                          </w:p>
                          <w:p w14:paraId="52CCFCF2" w14:textId="77777777" w:rsidR="002D035C" w:rsidRPr="002F0282" w:rsidRDefault="002D035C" w:rsidP="002D035C">
                            <w:pPr>
                              <w:ind w:left="851"/>
                              <w:jc w:val="both"/>
                              <w:rPr>
                                <w:lang w:val="lv-LV"/>
                              </w:rPr>
                            </w:pPr>
                            <w:r w:rsidRPr="002F0282">
                              <w:rPr>
                                <w:lang w:val="lv-LV"/>
                              </w:rPr>
                              <w:t>Līdzsvars starp pragmatismu un kvalitāti veicina ātrāku piegādi, pielāgošanās spējas un izmaksu efektivitāti. Tas ļauj nodrošināt maksimālu vērtību lietotājiem un iesaistītajām pusēm, vienlaikus samazinot piegādes izmaksas un ļaujot ātri pārorientēties uz citiem uzdevumiem.</w:t>
                            </w:r>
                          </w:p>
                          <w:p w14:paraId="1D10A496" w14:textId="77777777" w:rsidR="002D035C" w:rsidRDefault="002D035C" w:rsidP="002D035C">
                            <w:pPr>
                              <w:ind w:left="851"/>
                              <w:jc w:val="both"/>
                              <w:rPr>
                                <w:lang w:val="lv-LV"/>
                              </w:rPr>
                            </w:pPr>
                            <w:r w:rsidRPr="002F0282">
                              <w:rPr>
                                <w:lang w:val="lv-LV"/>
                              </w:rPr>
                              <w:t>Pareto princips nosaka, ka 20% funkcionalitātes parasti nodrošina 80% vērtības. Koncentrēšanās uz “pietiekami labu” pieeju novērš resursu izšķērdēšanu un ļauj ātrāk sasniegt rezultātus.</w:t>
                            </w:r>
                          </w:p>
                          <w:p w14:paraId="2286CBB6" w14:textId="77777777" w:rsidR="002D035C" w:rsidRPr="002F0282" w:rsidRDefault="002D035C" w:rsidP="002D035C">
                            <w:pPr>
                              <w:ind w:left="851"/>
                              <w:jc w:val="both"/>
                              <w:rPr>
                                <w:lang w:val="lv-LV"/>
                              </w:rPr>
                            </w:pPr>
                            <w:r>
                              <w:rPr>
                                <w:lang w:val="lv-LV"/>
                              </w:rPr>
                              <w:t xml:space="preserve">Principa piemērošanā jāņem vērā labās pārvaldības vadlīnijas, normatīvo aktu prasības un saistītie principi, tai skaitā, iekļautības un piekļūstamības nodrošināšana.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B1FE1" id="_x0000_t202" coordsize="21600,21600" o:spt="202" path="m,l,21600r21600,l21600,xe">
                <v:stroke joinstyle="miter"/>
                <v:path gradientshapeok="t" o:connecttype="rect"/>
              </v:shapetype>
              <v:shape id="Text Box 5" o:spid="_x0000_s1026" type="#_x0000_t202" style="position:absolute;margin-left:0;margin-top:24.95pt;width:2in;height:2in;z-index:25166032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bVAIAAAUFAAAOAAAAZHJzL2Uyb0RvYy54bWysVE2P2jAQvVfqf7B8LwFKW4oIK8qKqhLa&#10;XZWt9mwcG6I6HsseSOiv79iBQLecql6csWfefL9M75rKsIPyoQSb80Gvz5myEorSbnP+43n5bsxZ&#10;QGELYcCqnB9V4Hezt2+mtZuoIezAFMozcmLDpHY53yG6SZYFuVOVCD1wypJSg68E0tVvs8KLmrxX&#10;Jhv2+x+zGnzhPEgVAr3et0o+S/61VhIftQ4Kmck55Ybp9OncxDObTcVk64XblfKUhviHLCpRWgra&#10;uboXKNjel3+5qkrpIYDGnoQqA61LqVINVM2g/6qa9U44lWqh5gTXtSn8P7fy4bB2T55h8wUaGmBs&#10;SO3CJNBjrKfRvopfypSRnlp47NqmGmQygsbD8bhPKkm684X8ZBe48wG/KqhYFHLuaS6pXeKwCtia&#10;nk1iNGPj2yWPJOHRqFb5XWlWFhR5mJykZVEL49lB0JiFlMri+1gJZWAsWUeYLo3pgINbQIOpfAKd&#10;bCNMpSXqgP1bwD8jdogUFSx24Kq04G85KH52kVv7c/VtzbF8bDYNVRTFDRRHGpmHdpuDk8uS2roS&#10;AZ+Ep/WlURAl8ZEObaDOOZwkznbgf916j/a0VaTlrCY65NwSXzkz3yxt2+fBaBTZky6jD5+GdPHX&#10;ms21xu6rBdAgBkR9J5MY7dGcRe2heiHezmNMUgkrKXLO8SwusKUo8V6q+TwZEV+cwJVdOxldx+bG&#10;lXluXoR3p71CWskHONNGTF6tV2sbkcHN9wjLMu3epaenthPX0u6c/guRzNf3ZHX5e81+AwAA//8D&#10;AFBLAwQUAAYACAAAACEA7u+WodsAAAAHAQAADwAAAGRycy9kb3ducmV2LnhtbEyPTU/DMAyG70j8&#10;h8hI3FjKOkFb6k4DCTgzJs5Z436wxqmabCv8eswJjvb76vHjcj27QZ1oCr1nhNtFAoq49rbnFmH3&#10;/nyTgQrRsDWDZ0L4ogDr6vKiNIX1Z36j0za2SiAcCoPQxTgWWoe6I2fCwo/EkjV+cibKOLXaTuYs&#10;cDfoZZLcaWd6lgudGempo/qwPTqE9OM1bezc9C+rJA2PtNnl358HxOurefMAKtIc/8rwqy/qUInT&#10;3h/ZBjUgyCMRYZXnoCRdZpks9oJO73PQVan/+1c/AAAA//8DAFBLAQItABQABgAIAAAAIQC2gziS&#10;/gAAAOEBAAATAAAAAAAAAAAAAAAAAAAAAABbQ29udGVudF9UeXBlc10ueG1sUEsBAi0AFAAGAAgA&#10;AAAhADj9If/WAAAAlAEAAAsAAAAAAAAAAAAAAAAALwEAAF9yZWxzLy5yZWxzUEsBAi0AFAAGAAgA&#10;AAAhAB8v6ptUAgAABQUAAA4AAAAAAAAAAAAAAAAALgIAAGRycy9lMm9Eb2MueG1sUEsBAi0AFAAG&#10;AAgAAAAhAO7vlqHbAAAABwEAAA8AAAAAAAAAAAAAAAAArgQAAGRycy9kb3ducmV2LnhtbFBLBQYA&#10;AAAABAAEAPMAAAC2BQAAAAA=&#10;" fillcolor="white [3201]" strokecolor="#196b24 [3206]" strokeweight="1pt">
                <v:textbox style="mso-fit-shape-to-text:t">
                  <w:txbxContent>
                    <w:p w14:paraId="53788D2E" w14:textId="77777777" w:rsidR="002D035C" w:rsidRPr="002F0282" w:rsidRDefault="002D035C" w:rsidP="002D035C">
                      <w:pPr>
                        <w:ind w:left="851"/>
                        <w:jc w:val="both"/>
                        <w:rPr>
                          <w:lang w:val="lv-LV"/>
                        </w:rPr>
                      </w:pPr>
                      <w:r w:rsidRPr="002F0282">
                        <w:rPr>
                          <w:lang w:val="lv-LV"/>
                        </w:rPr>
                        <w:t>Pilnība ne vienmēr ir nepieciešama, līdz ar to ir svarīgi izstrādāt pakalpojumus un IKT risinājumus, kas atbilst būtiskajām prasībām, neiekļaujot liekas funkcijas. Prioritāte jāpiešķir vērtības radīšanai, nevis pilnības sasniegšanai, īpaši strādājot ar elastīgām un iteratīvām pieejām pakalpojumu un IKT risinājumu projektēšanā.</w:t>
                      </w:r>
                    </w:p>
                    <w:p w14:paraId="52CCFCF2" w14:textId="77777777" w:rsidR="002D035C" w:rsidRPr="002F0282" w:rsidRDefault="002D035C" w:rsidP="002D035C">
                      <w:pPr>
                        <w:ind w:left="851"/>
                        <w:jc w:val="both"/>
                        <w:rPr>
                          <w:lang w:val="lv-LV"/>
                        </w:rPr>
                      </w:pPr>
                      <w:r w:rsidRPr="002F0282">
                        <w:rPr>
                          <w:lang w:val="lv-LV"/>
                        </w:rPr>
                        <w:t>Līdzsvars starp pragmatismu un kvalitāti veicina ātrāku piegādi, pielāgošanās spējas un izmaksu efektivitāti. Tas ļauj nodrošināt maksimālu vērtību lietotājiem un iesaistītajām pusēm, vienlaikus samazinot piegādes izmaksas un ļaujot ātri pārorientēties uz citiem uzdevumiem.</w:t>
                      </w:r>
                    </w:p>
                    <w:p w14:paraId="1D10A496" w14:textId="77777777" w:rsidR="002D035C" w:rsidRDefault="002D035C" w:rsidP="002D035C">
                      <w:pPr>
                        <w:ind w:left="851"/>
                        <w:jc w:val="both"/>
                        <w:rPr>
                          <w:lang w:val="lv-LV"/>
                        </w:rPr>
                      </w:pPr>
                      <w:r w:rsidRPr="002F0282">
                        <w:rPr>
                          <w:lang w:val="lv-LV"/>
                        </w:rPr>
                        <w:t>Pareto princips nosaka, ka 20% funkcionalitātes parasti nodrošina 80% vērtības. Koncentrēšanās uz “pietiekami labu” pieeju novērš resursu izšķērdēšanu un ļauj ātrāk sasniegt rezultātus.</w:t>
                      </w:r>
                    </w:p>
                    <w:p w14:paraId="2286CBB6" w14:textId="77777777" w:rsidR="002D035C" w:rsidRPr="002F0282" w:rsidRDefault="002D035C" w:rsidP="002D035C">
                      <w:pPr>
                        <w:ind w:left="851"/>
                        <w:jc w:val="both"/>
                        <w:rPr>
                          <w:lang w:val="lv-LV"/>
                        </w:rPr>
                      </w:pPr>
                      <w:r>
                        <w:rPr>
                          <w:lang w:val="lv-LV"/>
                        </w:rPr>
                        <w:t xml:space="preserve">Principa piemērošanā jāņem vērā labās pārvaldības vadlīnijas, normatīvo aktu prasības un saistītie principi, tai skaitā, iekļautības un piekļūstamības nodrošināšana. </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61351" behindDoc="0" locked="0" layoutInCell="1" allowOverlap="1" wp14:anchorId="24298F56" wp14:editId="696CAB22">
            <wp:simplePos x="0" y="0"/>
            <wp:positionH relativeFrom="margin">
              <wp:posOffset>88900</wp:posOffset>
            </wp:positionH>
            <wp:positionV relativeFrom="paragraph">
              <wp:posOffset>450850</wp:posOffset>
            </wp:positionV>
            <wp:extent cx="427990" cy="427990"/>
            <wp:effectExtent l="0" t="0" r="0" b="0"/>
            <wp:wrapSquare wrapText="bothSides"/>
            <wp:docPr id="291741834"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Pr>
          <w:lang w:val="lv-LV"/>
        </w:rPr>
        <w:t>”</w:t>
      </w:r>
    </w:p>
    <w:p w14:paraId="76817FCD" w14:textId="77777777" w:rsidR="002D035C" w:rsidRDefault="002D035C" w:rsidP="002D035C">
      <w:pPr>
        <w:rPr>
          <w:lang w:val="lv-LV"/>
        </w:rPr>
      </w:pPr>
    </w:p>
    <w:p w14:paraId="6110D049" w14:textId="77777777" w:rsidR="002D035C" w:rsidRPr="00AE17B5" w:rsidRDefault="002D035C" w:rsidP="002D035C">
      <w:pPr>
        <w:rPr>
          <w:lang w:val="lv-LV"/>
        </w:rPr>
      </w:pPr>
      <w:r w:rsidRPr="00AE17B5">
        <w:rPr>
          <w:lang w:val="lv-LV"/>
        </w:rPr>
        <w:t>Piemērošanas vadlīnijas:</w:t>
      </w:r>
    </w:p>
    <w:p w14:paraId="5D136140" w14:textId="77777777" w:rsidR="002D035C" w:rsidRPr="00A6528B" w:rsidRDefault="002D035C" w:rsidP="002D035C">
      <w:pPr>
        <w:pStyle w:val="ListParagraph"/>
        <w:numPr>
          <w:ilvl w:val="0"/>
          <w:numId w:val="11"/>
        </w:numPr>
        <w:jc w:val="both"/>
        <w:rPr>
          <w:lang w:val="lv-LV"/>
        </w:rPr>
      </w:pPr>
      <w:r w:rsidRPr="3D3736F2">
        <w:rPr>
          <w:lang w:val="lv-LV"/>
        </w:rPr>
        <w:t xml:space="preserve">Arhitektūrā ir jāatspoguļo elastīgas piegādes raksturs un tāpēc arhitektūrai ir jābūt “tieši tik daudz”, lai nodrošinātu piegādi. Tas nozīmē, ka joprojām ir jāizstrādā </w:t>
      </w:r>
      <w:commentRangeStart w:id="3"/>
      <w:commentRangeStart w:id="4"/>
      <w:r w:rsidRPr="3D3736F2">
        <w:rPr>
          <w:lang w:val="lv-LV"/>
        </w:rPr>
        <w:t xml:space="preserve">jomas </w:t>
      </w:r>
      <w:commentRangeEnd w:id="3"/>
      <w:r>
        <w:rPr>
          <w:rStyle w:val="CommentReference"/>
        </w:rPr>
        <w:commentReference w:id="3"/>
      </w:r>
      <w:commentRangeEnd w:id="4"/>
      <w:r>
        <w:rPr>
          <w:rStyle w:val="CommentReference"/>
        </w:rPr>
        <w:commentReference w:id="4"/>
      </w:r>
      <w:proofErr w:type="spellStart"/>
      <w:r w:rsidRPr="3D3736F2">
        <w:rPr>
          <w:lang w:val="lv-LV"/>
        </w:rPr>
        <w:t>mērķarhitektūra</w:t>
      </w:r>
      <w:proofErr w:type="spellEnd"/>
      <w:r w:rsidRPr="3D3736F2">
        <w:rPr>
          <w:lang w:val="lv-LV"/>
        </w:rPr>
        <w:t xml:space="preserve">, bet atbilstošā līmenī, lai to pielāgotu, jo piegādes gaitā parādās detalizēti dati. Ņemiet vērā, ka </w:t>
      </w:r>
      <w:proofErr w:type="spellStart"/>
      <w:r w:rsidRPr="3D3736F2">
        <w:rPr>
          <w:lang w:val="lv-LV"/>
        </w:rPr>
        <w:t>mērķarhitektūra</w:t>
      </w:r>
      <w:proofErr w:type="spellEnd"/>
      <w:r w:rsidRPr="3D3736F2">
        <w:rPr>
          <w:lang w:val="lv-LV"/>
        </w:rPr>
        <w:t xml:space="preserve"> ir konceptuāls dokuments un tajā būtu jādefinē augsta līmeņa stratēģiskie virzieni un komponenti, konkrēti IKT risinājumi ir jāapraksta IKT risinājuma arhitektūras dokumentā. </w:t>
      </w:r>
    </w:p>
    <w:p w14:paraId="4B86C132" w14:textId="77777777" w:rsidR="002D035C" w:rsidRPr="00A6528B" w:rsidRDefault="002D035C" w:rsidP="002D035C">
      <w:pPr>
        <w:pStyle w:val="ListParagraph"/>
        <w:numPr>
          <w:ilvl w:val="0"/>
          <w:numId w:val="11"/>
        </w:numPr>
        <w:jc w:val="both"/>
        <w:rPr>
          <w:lang w:val="lv-LV"/>
        </w:rPr>
      </w:pPr>
      <w:r>
        <w:rPr>
          <w:lang w:val="lv-LV"/>
        </w:rPr>
        <w:t xml:space="preserve">Izvairieties no </w:t>
      </w:r>
      <w:r w:rsidRPr="00A6528B">
        <w:rPr>
          <w:lang w:val="lv-LV"/>
        </w:rPr>
        <w:t>pārmērīgas inženierijas</w:t>
      </w:r>
      <w:r>
        <w:rPr>
          <w:lang w:val="lv-LV"/>
        </w:rPr>
        <w:t xml:space="preserve">. Pakalpojumos un IKT risinājumos </w:t>
      </w:r>
      <w:r w:rsidRPr="00A6528B">
        <w:rPr>
          <w:lang w:val="lv-LV"/>
        </w:rPr>
        <w:t>jākoncentrējas uz kritiskajām funkcijām un</w:t>
      </w:r>
      <w:r>
        <w:rPr>
          <w:lang w:val="lv-LV"/>
        </w:rPr>
        <w:t xml:space="preserve"> tās</w:t>
      </w:r>
      <w:r w:rsidRPr="00A6528B">
        <w:rPr>
          <w:lang w:val="lv-LV"/>
        </w:rPr>
        <w:t xml:space="preserve"> jāpilnveido, pamatojoties uz atgriezenisko saiti. Pirms</w:t>
      </w:r>
      <w:r>
        <w:rPr>
          <w:lang w:val="lv-LV"/>
        </w:rPr>
        <w:t xml:space="preserve"> funkciju</w:t>
      </w:r>
      <w:r w:rsidRPr="00A6528B">
        <w:rPr>
          <w:lang w:val="lv-LV"/>
        </w:rPr>
        <w:t xml:space="preserve"> </w:t>
      </w:r>
      <w:r>
        <w:rPr>
          <w:lang w:val="lv-LV"/>
        </w:rPr>
        <w:t>īstenošanas</w:t>
      </w:r>
      <w:r w:rsidRPr="00A6528B">
        <w:rPr>
          <w:lang w:val="lv-LV"/>
        </w:rPr>
        <w:t xml:space="preserve"> izmēriet katras funkcijas lietderību, tostarp piegādes resursu izmaksas pakalpojuma darbības laikā. Pārtrauciet, kad pakalpojums sasniedz “pietiekami labu” līmeni.</w:t>
      </w:r>
    </w:p>
    <w:p w14:paraId="0BAE790D" w14:textId="77777777" w:rsidR="002D035C" w:rsidRPr="00A6528B" w:rsidRDefault="002D035C" w:rsidP="002D035C">
      <w:pPr>
        <w:pStyle w:val="ListParagraph"/>
        <w:numPr>
          <w:ilvl w:val="0"/>
          <w:numId w:val="11"/>
        </w:numPr>
        <w:jc w:val="both"/>
        <w:rPr>
          <w:lang w:val="lv-LV"/>
        </w:rPr>
      </w:pPr>
      <w:r w:rsidRPr="00A6528B">
        <w:rPr>
          <w:lang w:val="lv-LV"/>
        </w:rPr>
        <w:lastRenderedPageBreak/>
        <w:t xml:space="preserve">Izvērtējiet </w:t>
      </w:r>
      <w:proofErr w:type="spellStart"/>
      <w:r>
        <w:rPr>
          <w:lang w:val="lv-LV"/>
        </w:rPr>
        <w:t>standartfunkcionalitātes</w:t>
      </w:r>
      <w:proofErr w:type="spellEnd"/>
      <w:r>
        <w:rPr>
          <w:lang w:val="lv-LV"/>
        </w:rPr>
        <w:t xml:space="preserve"> (</w:t>
      </w:r>
      <w:r w:rsidRPr="00A6528B">
        <w:rPr>
          <w:lang w:val="lv-LV"/>
        </w:rPr>
        <w:t>COTS</w:t>
      </w:r>
      <w:r>
        <w:rPr>
          <w:lang w:val="lv-LV"/>
        </w:rPr>
        <w:t xml:space="preserve">, </w:t>
      </w:r>
      <w:proofErr w:type="spellStart"/>
      <w:r>
        <w:rPr>
          <w:lang w:val="lv-LV"/>
        </w:rPr>
        <w:t>SaaS</w:t>
      </w:r>
      <w:proofErr w:type="spellEnd"/>
      <w:r>
        <w:rPr>
          <w:lang w:val="lv-LV"/>
        </w:rPr>
        <w:t xml:space="preserve"> u.c.)</w:t>
      </w:r>
      <w:r w:rsidRPr="00A6528B">
        <w:rPr>
          <w:lang w:val="lv-LV"/>
        </w:rPr>
        <w:t xml:space="preserve"> iespēju izmaksu ietaupījumu ar “pietiekami labu” funkcionalitāti salīdzinājumā ar piegādi pēc pasūtījuma.</w:t>
      </w:r>
    </w:p>
    <w:p w14:paraId="3F66B20D" w14:textId="77777777" w:rsidR="002D035C" w:rsidRDefault="002D035C" w:rsidP="002D035C">
      <w:pPr>
        <w:rPr>
          <w:lang w:val="lv-LV"/>
        </w:rPr>
      </w:pPr>
      <w:r w:rsidRPr="00C20AD0">
        <w:rPr>
          <w:lang w:val="lv-LV"/>
        </w:rPr>
        <w:t>Novērtēšanas vadlīnijas:</w:t>
      </w:r>
    </w:p>
    <w:p w14:paraId="61C97DC1" w14:textId="2E8C1DF8" w:rsidR="002D035C" w:rsidRPr="00F41B29" w:rsidRDefault="002D035C" w:rsidP="002D035C">
      <w:pPr>
        <w:pStyle w:val="ListParagraph"/>
        <w:numPr>
          <w:ilvl w:val="0"/>
          <w:numId w:val="15"/>
        </w:numPr>
      </w:pPr>
      <w:r>
        <w:rPr>
          <w:lang w:val="lv-LV"/>
        </w:rPr>
        <w:t xml:space="preserve">VPK1. </w:t>
      </w:r>
      <w:r w:rsidRPr="00F41B29">
        <w:t>Vai</w:t>
      </w:r>
      <w:r>
        <w:t xml:space="preserve"> </w:t>
      </w:r>
      <w:proofErr w:type="spellStart"/>
      <w:r>
        <w:t>jomas</w:t>
      </w:r>
      <w:proofErr w:type="spellEnd"/>
      <w:r>
        <w:t xml:space="preserve"> </w:t>
      </w:r>
      <w:proofErr w:type="spellStart"/>
      <w:r>
        <w:t>mērķ</w:t>
      </w:r>
      <w:r w:rsidRPr="00F41B29">
        <w:t>arhitektūra</w:t>
      </w:r>
      <w:proofErr w:type="spellEnd"/>
      <w:r w:rsidRPr="00F41B29">
        <w:t xml:space="preserve"> </w:t>
      </w:r>
      <w:proofErr w:type="spellStart"/>
      <w:r w:rsidRPr="00F41B29">
        <w:t>ir</w:t>
      </w:r>
      <w:proofErr w:type="spellEnd"/>
      <w:r w:rsidRPr="00F41B29">
        <w:t xml:space="preserve"> </w:t>
      </w:r>
      <w:proofErr w:type="spellStart"/>
      <w:r w:rsidRPr="00F41B29">
        <w:t>izstrādāta</w:t>
      </w:r>
      <w:proofErr w:type="spellEnd"/>
      <w:r w:rsidRPr="00F41B29">
        <w:t xml:space="preserve"> </w:t>
      </w:r>
      <w:proofErr w:type="spellStart"/>
      <w:r>
        <w:t>tādā</w:t>
      </w:r>
      <w:proofErr w:type="spellEnd"/>
      <w:r w:rsidRPr="00F41B29">
        <w:t xml:space="preserve"> </w:t>
      </w:r>
      <w:proofErr w:type="spellStart"/>
      <w:r w:rsidRPr="00F41B29">
        <w:t>detalizācijas</w:t>
      </w:r>
      <w:proofErr w:type="spellEnd"/>
      <w:r w:rsidRPr="00F41B29">
        <w:t xml:space="preserve"> </w:t>
      </w:r>
      <w:proofErr w:type="spellStart"/>
      <w:r w:rsidRPr="00F41B29">
        <w:t>līmenī</w:t>
      </w:r>
      <w:proofErr w:type="spellEnd"/>
      <w:r w:rsidRPr="00F41B29">
        <w:t xml:space="preserve">, </w:t>
      </w:r>
      <w:proofErr w:type="spellStart"/>
      <w:r w:rsidRPr="00F41B29">
        <w:t>lai</w:t>
      </w:r>
      <w:proofErr w:type="spellEnd"/>
      <w:r w:rsidRPr="00F41B29">
        <w:t xml:space="preserve"> </w:t>
      </w:r>
      <w:proofErr w:type="spellStart"/>
      <w:r w:rsidRPr="00F41B29">
        <w:t>atbalstītu</w:t>
      </w:r>
      <w:proofErr w:type="spellEnd"/>
      <w:r w:rsidRPr="00F41B29">
        <w:t xml:space="preserve"> </w:t>
      </w:r>
      <w:proofErr w:type="spellStart"/>
      <w:r w:rsidRPr="00F41B29">
        <w:t>elastīgu</w:t>
      </w:r>
      <w:proofErr w:type="spellEnd"/>
      <w:r w:rsidRPr="00F41B29">
        <w:t xml:space="preserve"> </w:t>
      </w:r>
      <w:proofErr w:type="spellStart"/>
      <w:r w:rsidRPr="00F41B29">
        <w:t>piegādi</w:t>
      </w:r>
      <w:proofErr w:type="spellEnd"/>
      <w:r>
        <w:t xml:space="preserve"> (</w:t>
      </w:r>
      <w:proofErr w:type="spellStart"/>
      <w:r>
        <w:t>tiek</w:t>
      </w:r>
      <w:proofErr w:type="spellEnd"/>
      <w:r>
        <w:t xml:space="preserve"> </w:t>
      </w:r>
      <w:proofErr w:type="spellStart"/>
      <w:r>
        <w:t>saglabāts</w:t>
      </w:r>
      <w:proofErr w:type="spellEnd"/>
      <w:r>
        <w:t xml:space="preserve"> </w:t>
      </w:r>
      <w:proofErr w:type="spellStart"/>
      <w:r>
        <w:t>konceptuālais</w:t>
      </w:r>
      <w:proofErr w:type="spellEnd"/>
      <w:r>
        <w:t xml:space="preserve"> </w:t>
      </w:r>
      <w:proofErr w:type="spellStart"/>
      <w:r>
        <w:t>līmenis</w:t>
      </w:r>
      <w:proofErr w:type="spellEnd"/>
      <w:r>
        <w:t xml:space="preserve"> bez </w:t>
      </w:r>
      <w:proofErr w:type="spellStart"/>
      <w:r>
        <w:t>konkrētu</w:t>
      </w:r>
      <w:proofErr w:type="spellEnd"/>
      <w:r>
        <w:t xml:space="preserve"> </w:t>
      </w:r>
      <w:proofErr w:type="spellStart"/>
      <w:r>
        <w:t>risinājumu</w:t>
      </w:r>
      <w:proofErr w:type="spellEnd"/>
      <w:r>
        <w:t xml:space="preserve"> </w:t>
      </w:r>
      <w:proofErr w:type="spellStart"/>
      <w:r>
        <w:t>arhitektūras</w:t>
      </w:r>
      <w:proofErr w:type="spellEnd"/>
      <w:r>
        <w:t xml:space="preserve"> </w:t>
      </w:r>
      <w:proofErr w:type="spellStart"/>
      <w:r>
        <w:t>definēšanas</w:t>
      </w:r>
      <w:proofErr w:type="spellEnd"/>
      <w:r>
        <w:t>)</w:t>
      </w:r>
      <w:r w:rsidRPr="00F41B29">
        <w:t>?</w:t>
      </w:r>
    </w:p>
    <w:p w14:paraId="09EA3793" w14:textId="32CEC39A" w:rsidR="002D035C" w:rsidRPr="006E6756" w:rsidRDefault="002D035C" w:rsidP="002D035C">
      <w:pPr>
        <w:pStyle w:val="ListParagraph"/>
        <w:numPr>
          <w:ilvl w:val="0"/>
          <w:numId w:val="15"/>
        </w:numPr>
        <w:rPr>
          <w:lang w:val="lv-LV"/>
        </w:rPr>
      </w:pPr>
      <w:r>
        <w:rPr>
          <w:lang w:val="lv-LV"/>
        </w:rPr>
        <w:t xml:space="preserve">VPK2. </w:t>
      </w:r>
      <w:r>
        <w:t xml:space="preserve">Vai </w:t>
      </w:r>
      <w:proofErr w:type="spellStart"/>
      <w:r>
        <w:t>mērķarhitektūrā</w:t>
      </w:r>
      <w:proofErr w:type="spellEnd"/>
      <w:r>
        <w:t xml:space="preserve"> </w:t>
      </w:r>
      <w:proofErr w:type="spellStart"/>
      <w:r>
        <w:t>iezīmētas</w:t>
      </w:r>
      <w:proofErr w:type="spellEnd"/>
      <w:r>
        <w:t xml:space="preserve"> </w:t>
      </w:r>
      <w:proofErr w:type="spellStart"/>
      <w:r>
        <w:t>risinājumu</w:t>
      </w:r>
      <w:proofErr w:type="spellEnd"/>
      <w:r>
        <w:t xml:space="preserve"> </w:t>
      </w:r>
      <w:proofErr w:type="spellStart"/>
      <w:r>
        <w:t>kritiskās</w:t>
      </w:r>
      <w:proofErr w:type="spellEnd"/>
      <w:r>
        <w:t xml:space="preserve"> </w:t>
      </w:r>
      <w:proofErr w:type="spellStart"/>
      <w:r>
        <w:t>funkcijas</w:t>
      </w:r>
      <w:proofErr w:type="spellEnd"/>
      <w:r>
        <w:t xml:space="preserve">, </w:t>
      </w:r>
      <w:r w:rsidRPr="008A6581">
        <w:t xml:space="preserve">kas </w:t>
      </w:r>
      <w:proofErr w:type="spellStart"/>
      <w:r w:rsidRPr="008A6581">
        <w:t>ir</w:t>
      </w:r>
      <w:proofErr w:type="spellEnd"/>
      <w:r w:rsidRPr="008A6581">
        <w:t xml:space="preserve"> </w:t>
      </w:r>
      <w:proofErr w:type="spellStart"/>
      <w:r w:rsidRPr="008A6581">
        <w:t>būtiskas</w:t>
      </w:r>
      <w:proofErr w:type="spellEnd"/>
      <w:r w:rsidRPr="008A6581">
        <w:t xml:space="preserve"> </w:t>
      </w:r>
      <w:proofErr w:type="spellStart"/>
      <w:r>
        <w:t>jomas</w:t>
      </w:r>
      <w:proofErr w:type="spellEnd"/>
      <w:r>
        <w:t xml:space="preserve"> </w:t>
      </w:r>
      <w:proofErr w:type="spellStart"/>
      <w:r>
        <w:t>mērķarhitektūras</w:t>
      </w:r>
      <w:proofErr w:type="spellEnd"/>
      <w:r>
        <w:t xml:space="preserve"> </w:t>
      </w:r>
      <w:proofErr w:type="spellStart"/>
      <w:r w:rsidRPr="008A6581">
        <w:t>pamatmērķu</w:t>
      </w:r>
      <w:proofErr w:type="spellEnd"/>
      <w:r w:rsidRPr="008A6581">
        <w:t xml:space="preserve"> </w:t>
      </w:r>
      <w:proofErr w:type="spellStart"/>
      <w:r w:rsidRPr="008A6581">
        <w:t>sasniegšanai</w:t>
      </w:r>
      <w:proofErr w:type="spellEnd"/>
      <w:r w:rsidRPr="008A6581">
        <w:t>?</w:t>
      </w:r>
    </w:p>
    <w:p w14:paraId="5E5F220C" w14:textId="2EB83222" w:rsidR="002D035C" w:rsidRPr="002D035C" w:rsidRDefault="002D035C" w:rsidP="000E1597">
      <w:pPr>
        <w:pStyle w:val="ListParagraph"/>
        <w:numPr>
          <w:ilvl w:val="0"/>
          <w:numId w:val="15"/>
        </w:numPr>
        <w:rPr>
          <w:lang w:val="lv-LV"/>
        </w:rPr>
      </w:pPr>
      <w:r>
        <w:rPr>
          <w:lang w:val="lv-LV"/>
        </w:rPr>
        <w:t xml:space="preserve">VPK3. </w:t>
      </w:r>
      <w:r>
        <w:t xml:space="preserve">Vai </w:t>
      </w:r>
      <w:proofErr w:type="spellStart"/>
      <w:r>
        <w:t>mērķarhitektūras</w:t>
      </w:r>
      <w:proofErr w:type="spellEnd"/>
      <w:r>
        <w:t xml:space="preserve"> </w:t>
      </w:r>
      <w:proofErr w:type="spellStart"/>
      <w:r>
        <w:t>ieviešanā</w:t>
      </w:r>
      <w:proofErr w:type="spellEnd"/>
      <w:r>
        <w:t xml:space="preserve"> </w:t>
      </w:r>
      <w:proofErr w:type="spellStart"/>
      <w:r>
        <w:t>plānots</w:t>
      </w:r>
      <w:proofErr w:type="spellEnd"/>
      <w:r>
        <w:t xml:space="preserve"> </w:t>
      </w:r>
      <w:proofErr w:type="spellStart"/>
      <w:r>
        <w:t>izvērtēt</w:t>
      </w:r>
      <w:proofErr w:type="spellEnd"/>
      <w:r>
        <w:t xml:space="preserve"> </w:t>
      </w:r>
      <w:proofErr w:type="spellStart"/>
      <w:r>
        <w:t>standartrisinājumus</w:t>
      </w:r>
      <w:proofErr w:type="spellEnd"/>
      <w:r w:rsidRPr="006E6756">
        <w:t xml:space="preserve"> </w:t>
      </w:r>
      <w:r>
        <w:t>(</w:t>
      </w:r>
      <w:r w:rsidRPr="006E6756">
        <w:t>COTS</w:t>
      </w:r>
      <w:r>
        <w:t xml:space="preserve">, SaaS </w:t>
      </w:r>
      <w:proofErr w:type="spellStart"/>
      <w:r>
        <w:t>u.c.</w:t>
      </w:r>
      <w:proofErr w:type="spellEnd"/>
      <w:r>
        <w:t xml:space="preserve">) </w:t>
      </w:r>
      <w:proofErr w:type="spellStart"/>
      <w:r w:rsidRPr="006E6756">
        <w:t>ar</w:t>
      </w:r>
      <w:proofErr w:type="spellEnd"/>
      <w:r w:rsidRPr="006E6756">
        <w:t xml:space="preserve"> “</w:t>
      </w:r>
      <w:proofErr w:type="spellStart"/>
      <w:r w:rsidRPr="006E6756">
        <w:t>pietiekami</w:t>
      </w:r>
      <w:proofErr w:type="spellEnd"/>
      <w:r w:rsidRPr="006E6756">
        <w:t xml:space="preserve"> </w:t>
      </w:r>
      <w:proofErr w:type="spellStart"/>
      <w:r w:rsidRPr="006E6756">
        <w:t>labu</w:t>
      </w:r>
      <w:proofErr w:type="spellEnd"/>
      <w:r w:rsidRPr="006E6756">
        <w:t xml:space="preserve">” </w:t>
      </w:r>
      <w:proofErr w:type="spellStart"/>
      <w:r w:rsidRPr="006E6756">
        <w:t>funkcionalitāti</w:t>
      </w:r>
      <w:proofErr w:type="spellEnd"/>
      <w:r w:rsidRPr="006E6756">
        <w:t xml:space="preserve"> </w:t>
      </w:r>
      <w:proofErr w:type="spellStart"/>
      <w:r w:rsidRPr="006E6756">
        <w:t>kā</w:t>
      </w:r>
      <w:proofErr w:type="spellEnd"/>
      <w:r w:rsidRPr="006E6756">
        <w:t xml:space="preserve"> </w:t>
      </w:r>
      <w:proofErr w:type="spellStart"/>
      <w:r w:rsidRPr="006E6756">
        <w:t>izmaksu</w:t>
      </w:r>
      <w:proofErr w:type="spellEnd"/>
      <w:r w:rsidRPr="006E6756">
        <w:t xml:space="preserve"> un </w:t>
      </w:r>
      <w:proofErr w:type="spellStart"/>
      <w:r w:rsidRPr="006E6756">
        <w:t>resursu</w:t>
      </w:r>
      <w:proofErr w:type="spellEnd"/>
      <w:r w:rsidRPr="006E6756">
        <w:t xml:space="preserve"> </w:t>
      </w:r>
      <w:proofErr w:type="spellStart"/>
      <w:r w:rsidRPr="006E6756">
        <w:t>ietaupījuma</w:t>
      </w:r>
      <w:proofErr w:type="spellEnd"/>
      <w:r w:rsidRPr="006E6756">
        <w:t xml:space="preserve"> </w:t>
      </w:r>
      <w:proofErr w:type="spellStart"/>
      <w:r w:rsidRPr="006E6756">
        <w:t>iespēja</w:t>
      </w:r>
      <w:proofErr w:type="spellEnd"/>
      <w:r w:rsidRPr="006E6756">
        <w:t>?</w:t>
      </w:r>
    </w:p>
    <w:p w14:paraId="190E688A" w14:textId="578D915C" w:rsidR="00771C5A" w:rsidRDefault="0093096E" w:rsidP="00CB7D82">
      <w:pPr>
        <w:pStyle w:val="Heading2"/>
        <w:tabs>
          <w:tab w:val="left" w:pos="3261"/>
        </w:tabs>
        <w:rPr>
          <w:rStyle w:val="Heading4Char"/>
          <w:lang w:val="lv-LV"/>
        </w:rPr>
      </w:pPr>
      <w:r>
        <w:rPr>
          <w:lang w:val="lv-LV"/>
        </w:rPr>
        <w:t>P</w:t>
      </w:r>
      <w:r w:rsidR="008E5E24">
        <w:rPr>
          <w:lang w:val="lv-LV"/>
        </w:rPr>
        <w:t>2</w:t>
      </w:r>
      <w:r>
        <w:rPr>
          <w:lang w:val="lv-LV"/>
        </w:rPr>
        <w:t xml:space="preserve">. </w:t>
      </w:r>
      <w:r w:rsidR="00E40818">
        <w:rPr>
          <w:lang w:val="lv-LV"/>
        </w:rPr>
        <w:t>Dar</w:t>
      </w:r>
      <w:r w:rsidR="000A5834" w:rsidRPr="00E2406D">
        <w:rPr>
          <w:noProof/>
          <w:lang w:val="lv-LV"/>
        </w:rPr>
        <mc:AlternateContent>
          <mc:Choice Requires="wps">
            <w:drawing>
              <wp:anchor distT="0" distB="0" distL="114300" distR="114300" simplePos="0" relativeHeight="251658240" behindDoc="0" locked="0" layoutInCell="1" allowOverlap="1" wp14:anchorId="7F935954" wp14:editId="52D6E1E7">
                <wp:simplePos x="0" y="0"/>
                <wp:positionH relativeFrom="column">
                  <wp:posOffset>0</wp:posOffset>
                </wp:positionH>
                <wp:positionV relativeFrom="paragraph">
                  <wp:posOffset>316865</wp:posOffset>
                </wp:positionV>
                <wp:extent cx="1828800" cy="1828800"/>
                <wp:effectExtent l="0" t="0" r="8890" b="10795"/>
                <wp:wrapTopAndBottom/>
                <wp:docPr id="498365650"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349CE92" w14:textId="77777777" w:rsidR="000A5834" w:rsidRPr="00771C5A" w:rsidRDefault="000A5834" w:rsidP="000A5834">
                            <w:pPr>
                              <w:ind w:left="851"/>
                              <w:jc w:val="both"/>
                              <w:rPr>
                                <w:lang w:val="lv-LV"/>
                              </w:rPr>
                            </w:pPr>
                            <w:r w:rsidRPr="00771C5A">
                              <w:rPr>
                                <w:lang w:val="lv-LV"/>
                              </w:rPr>
                              <w:t>Katrai iniciatīvai jānodrošina, ka klientu risināmās problēmas tiek efektīvi saskaņotas ar valdības stratēģiskajām prioritātēm, tādējādi veicinot gan klientu apmierinātību, gan organizāciju mērķu sasniegšanu, paaugstinot valsts pārvaldes efektivitāti.</w:t>
                            </w:r>
                          </w:p>
                          <w:p w14:paraId="20094D28" w14:textId="4675EB1D" w:rsidR="000A5834" w:rsidRDefault="000A5834" w:rsidP="000A5834">
                            <w:pPr>
                              <w:ind w:left="851"/>
                              <w:jc w:val="both"/>
                              <w:rPr>
                                <w:lang w:val="lv-LV"/>
                              </w:rPr>
                            </w:pPr>
                            <w:r w:rsidRPr="00771C5A">
                              <w:rPr>
                                <w:lang w:val="lv-LV"/>
                              </w:rPr>
                              <w:t>Sadarbspējīgu IKT risinājumu efektivitātes vērtējums var būt apskatāms no lietotāju vajadzību apmierināšanas, administratīvā sloga samazinājuma, darba metožu uzlabošanas, investīciju atdeves, risku mazināšanas, lietotāju apmierinātības un citiem aspektiem.</w:t>
                            </w:r>
                          </w:p>
                          <w:p w14:paraId="6C058EEB" w14:textId="7D51712F" w:rsidR="00612D47" w:rsidRDefault="00612D47" w:rsidP="00612D47">
                            <w:pPr>
                              <w:ind w:left="851"/>
                              <w:jc w:val="both"/>
                              <w:rPr>
                                <w:lang w:val="lv-LV" w:bidi="lv-LV"/>
                              </w:rPr>
                            </w:pPr>
                            <w:r w:rsidRPr="002830F8">
                              <w:rPr>
                                <w:lang w:val="lv-LV" w:bidi="lv-LV"/>
                              </w:rPr>
                              <w:t>Valsts pārvaldes iestādēm jātiecas racionalizēt savi administratīvie procesi, uzlabojot tos vai atsakoties no tādiem procesiem, kuri nerada vērtību sabiedrībai. Pie tam procesu uzlabošanā ir efektīvi jāievieš IKT pakalpojumi, tostarp mijiedarbībā ar citām publiskās pārvaldes iestādēm, iedzīvotājiem un uzņēmumiem.</w:t>
                            </w:r>
                          </w:p>
                          <w:p w14:paraId="20394AA8" w14:textId="251C58C3" w:rsidR="00E62DCB" w:rsidRPr="00E62DCB" w:rsidRDefault="0019416D" w:rsidP="0019416D">
                            <w:pPr>
                              <w:ind w:left="851"/>
                              <w:jc w:val="both"/>
                              <w:rPr>
                                <w:lang w:val="lv-LV" w:bidi="lv-LV"/>
                              </w:rPr>
                            </w:pPr>
                            <w:r>
                              <w:rPr>
                                <w:lang w:val="lv-LV" w:bidi="lv-LV"/>
                              </w:rPr>
                              <w:t>Jomu mērķarhitektūrām ir jāizriet no jomas vai iestādes stratēģiskajiem mērķiem</w:t>
                            </w:r>
                            <w:r w:rsidR="00D7404D">
                              <w:rPr>
                                <w:lang w:val="lv-LV" w:bidi="lv-LV"/>
                              </w:rPr>
                              <w:t xml:space="preserve">, kas definēti attīstības stratēģijā, citā stratēģiskās plānošanas dokumentā vai tiek apzināti mērķarhitektūras izstrādes gaitā. </w:t>
                            </w:r>
                            <w:r w:rsidR="00E62DCB" w:rsidRPr="00E62DCB">
                              <w:rPr>
                                <w:lang w:val="lv-LV" w:bidi="lv-LV"/>
                              </w:rPr>
                              <w:t>Risinājumiem jābūt atbilstošiem gan esošajiem, gan plānotajiem normatīvajiem aktiem, ievērojot normatīvisma principus. Attīstot risinājumus</w:t>
                            </w:r>
                            <w:r w:rsidR="00E62DCB">
                              <w:rPr>
                                <w:lang w:val="lv-LV" w:bidi="lv-LV"/>
                              </w:rPr>
                              <w:t>,</w:t>
                            </w:r>
                            <w:r w:rsidR="00E62DCB" w:rsidRPr="00E62DCB">
                              <w:rPr>
                                <w:lang w:val="lv-LV" w:bidi="lv-LV"/>
                              </w:rPr>
                              <w:t xml:space="preserve"> jāparedz arī normatīvās vides izmaiņas.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F935954" id="_x0000_t202" coordsize="21600,21600" o:spt="202" path="m,l,21600r21600,l21600,xe">
                <v:stroke joinstyle="miter"/>
                <v:path gradientshapeok="t" o:connecttype="rect"/>
              </v:shapetype>
              <v:shape id="_x0000_s1027" type="#_x0000_t202" style="position:absolute;margin-left:0;margin-top:24.9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tOWAIAAAwFAAAOAAAAZHJzL2Uyb0RvYy54bWysVE2P2jAQvVfqf7B8LwFKW4oIK8qKqhLa&#10;XZWt9mwcG6I6HsseSOiv79iBQLecql6csWfefL7J9K6pDDsoH0qwOR/0+pwpK6Eo7TbnP56X78ac&#10;BRS2EAasyvlRBX43e/tmWruJGsIOTKE8Iyc2TGqX8x2im2RZkDtVidADpywpNfhKIF39Niu8qMl7&#10;ZbJhv/8xq8EXzoNUIdDrfavks+RfayXxUeugkJmcU26YTp/OTTyz2VRMtl64XSlPaYh/yKISpaWg&#10;nat7gYLtffmXq6qUHgJo7EmoMtC6lCrVQNUM+q+qWe+EU6kWak5wXZvC/3MrHw5r9+QZNl+goQHG&#10;htQuTAI9xnoa7av4pUwZ6amFx65tqkEmI2g8HI/7pJKkO1/IT3aBOx/wq4KKRSHnnuaS2iUOq4Ct&#10;6dkkRjM2vl3ySBIejWqV35VmZUGRh8lJIotaGM8OgsYspFQW38dKKANjyTrCdGlMBxzcAhpM5RPo&#10;ZBthKpGoA/ZvAf+M2CFSVLDYgavSgr/loPjZRW7tz9W3Ncfysdk0VPTViDZQHGlyHlpSByeXJXV3&#10;JQI+CU8sponQZuIjHdpAnXM4SZztwP+69R7tiVyk5aymrci5pbXlzHyzRLrPg9EoLlG6jD58GtLF&#10;X2s21xq7rxZA8xjQH8DJJEZ7NGdRe6heaH3nMSaphJUUOed4FhfYbiqtv1TzeTKitXECV3btZHQd&#10;exyZ89y8CO9O9EJi5gOct0dMXrGstY3I4OZ7hGWZKBi73Pb01H1auUSh0+8h7vT1PVldfmKz3wAA&#10;AP//AwBQSwMEFAAGAAgAAAAhAO7vlqHbAAAABwEAAA8AAABkcnMvZG93bnJldi54bWxMj01PwzAM&#10;hu9I/IfISNxYyjpBW+pOAwk4MybOWeN+sMapmmwr/HrMCY72++rx43I9u0GdaAq9Z4TbRQKKuPa2&#10;5xZh9/58k4EK0bA1g2dC+KIA6+ryojSF9Wd+o9M2tkogHAqD0MU4FlqHuiNnwsKPxJI1fnImyji1&#10;2k7mLHA36GWS3GlnepYLnRnpqaP6sD06hPTjNW3s3PQvqyQNj7TZ5d+fB8Trq3nzACrSHP/K8Ksv&#10;6lCJ094f2QY1IMgjEWGV56AkXWaZLPaCTu9z0FWp//tXPwAAAP//AwBQSwECLQAUAAYACAAAACEA&#10;toM4kv4AAADhAQAAEwAAAAAAAAAAAAAAAAAAAAAAW0NvbnRlbnRfVHlwZXNdLnhtbFBLAQItABQA&#10;BgAIAAAAIQA4/SH/1gAAAJQBAAALAAAAAAAAAAAAAAAAAC8BAABfcmVscy8ucmVsc1BLAQItABQA&#10;BgAIAAAAIQC4i7tOWAIAAAwFAAAOAAAAAAAAAAAAAAAAAC4CAABkcnMvZTJvRG9jLnhtbFBLAQIt&#10;ABQABgAIAAAAIQDu75ah2wAAAAcBAAAPAAAAAAAAAAAAAAAAALIEAABkcnMvZG93bnJldi54bWxQ&#10;SwUGAAAAAAQABADzAAAAugUAAAAA&#10;" fillcolor="white [3201]" strokecolor="#196b24 [3206]" strokeweight="1pt">
                <v:textbox style="mso-fit-shape-to-text:t">
                  <w:txbxContent>
                    <w:p w14:paraId="6349CE92" w14:textId="77777777" w:rsidR="000A5834" w:rsidRPr="00771C5A" w:rsidRDefault="000A5834" w:rsidP="000A5834">
                      <w:pPr>
                        <w:ind w:left="851"/>
                        <w:jc w:val="both"/>
                        <w:rPr>
                          <w:lang w:val="lv-LV"/>
                        </w:rPr>
                      </w:pPr>
                      <w:r w:rsidRPr="00771C5A">
                        <w:rPr>
                          <w:lang w:val="lv-LV"/>
                        </w:rPr>
                        <w:t>Katrai iniciatīvai jānodrošina, ka klientu risināmās problēmas tiek efektīvi saskaņotas ar valdības stratēģiskajām prioritātēm, tādējādi veicinot gan klientu apmierinātību, gan organizāciju mērķu sasniegšanu, paaugstinot valsts pārvaldes efektivitāti.</w:t>
                      </w:r>
                    </w:p>
                    <w:p w14:paraId="20094D28" w14:textId="4675EB1D" w:rsidR="000A5834" w:rsidRDefault="000A5834" w:rsidP="000A5834">
                      <w:pPr>
                        <w:ind w:left="851"/>
                        <w:jc w:val="both"/>
                        <w:rPr>
                          <w:lang w:val="lv-LV"/>
                        </w:rPr>
                      </w:pPr>
                      <w:r w:rsidRPr="00771C5A">
                        <w:rPr>
                          <w:lang w:val="lv-LV"/>
                        </w:rPr>
                        <w:t>Sadarbspējīgu IKT risinājumu efektivitātes vērtējums var būt apskatāms no lietotāju vajadzību apmierināšanas, administratīvā sloga samazinājuma, darba metožu uzlabošanas, investīciju atdeves, risku mazināšanas, lietotāju apmierinātības un citiem aspektiem.</w:t>
                      </w:r>
                    </w:p>
                    <w:p w14:paraId="6C058EEB" w14:textId="7D51712F" w:rsidR="00612D47" w:rsidRDefault="00612D47" w:rsidP="00612D47">
                      <w:pPr>
                        <w:ind w:left="851"/>
                        <w:jc w:val="both"/>
                        <w:rPr>
                          <w:lang w:val="lv-LV" w:bidi="lv-LV"/>
                        </w:rPr>
                      </w:pPr>
                      <w:r w:rsidRPr="002830F8">
                        <w:rPr>
                          <w:lang w:val="lv-LV" w:bidi="lv-LV"/>
                        </w:rPr>
                        <w:t>Valsts pārvaldes iestādēm jātiecas racionalizēt savi administratīvie procesi, uzlabojot tos vai atsakoties no tādiem procesiem, kuri nerada vērtību sabiedrībai. Pie tam procesu uzlabošanā ir efektīvi jāievieš IKT pakalpojumi, tostarp mijiedarbībā ar citām publiskās pārvaldes iestādēm, iedzīvotājiem un uzņēmumiem.</w:t>
                      </w:r>
                    </w:p>
                    <w:p w14:paraId="20394AA8" w14:textId="251C58C3" w:rsidR="00E62DCB" w:rsidRPr="00E62DCB" w:rsidRDefault="0019416D" w:rsidP="0019416D">
                      <w:pPr>
                        <w:ind w:left="851"/>
                        <w:jc w:val="both"/>
                        <w:rPr>
                          <w:lang w:val="lv-LV" w:bidi="lv-LV"/>
                        </w:rPr>
                      </w:pPr>
                      <w:r>
                        <w:rPr>
                          <w:lang w:val="lv-LV" w:bidi="lv-LV"/>
                        </w:rPr>
                        <w:t>Jomu mērķarhitektūrām ir jāizriet no jomas vai iestādes stratēģiskajiem mērķiem</w:t>
                      </w:r>
                      <w:r w:rsidR="00D7404D">
                        <w:rPr>
                          <w:lang w:val="lv-LV" w:bidi="lv-LV"/>
                        </w:rPr>
                        <w:t xml:space="preserve">, kas definēti attīstības stratēģijā, citā stratēģiskās plānošanas dokumentā vai tiek apzināti mērķarhitektūras izstrādes gaitā. </w:t>
                      </w:r>
                      <w:r w:rsidR="00E62DCB" w:rsidRPr="00E62DCB">
                        <w:rPr>
                          <w:lang w:val="lv-LV" w:bidi="lv-LV"/>
                        </w:rPr>
                        <w:t>Risinājumiem jābūt atbilstošiem gan esošajiem, gan plānotajiem normatīvajiem aktiem, ievērojot normatīvisma principus. Attīstot risinājumus</w:t>
                      </w:r>
                      <w:r w:rsidR="00E62DCB">
                        <w:rPr>
                          <w:lang w:val="lv-LV" w:bidi="lv-LV"/>
                        </w:rPr>
                        <w:t>,</w:t>
                      </w:r>
                      <w:r w:rsidR="00E62DCB" w:rsidRPr="00E62DCB">
                        <w:rPr>
                          <w:lang w:val="lv-LV" w:bidi="lv-LV"/>
                        </w:rPr>
                        <w:t xml:space="preserve"> jāparedz arī normatīvās vides izmaiņas.</w:t>
                      </w:r>
                    </w:p>
                  </w:txbxContent>
                </v:textbox>
                <w10:wrap type="topAndBottom"/>
              </v:shape>
            </w:pict>
          </mc:Fallback>
        </mc:AlternateContent>
      </w:r>
      <w:r w:rsidR="000A5834" w:rsidRPr="00E2406D">
        <w:rPr>
          <w:rFonts w:ascii="Times New Roman" w:hAnsi="Times New Roman" w:cs="Times New Roman"/>
          <w:noProof/>
          <w:sz w:val="22"/>
          <w:szCs w:val="22"/>
          <w:lang w:val="lv-LV"/>
        </w:rPr>
        <w:drawing>
          <wp:anchor distT="0" distB="0" distL="114300" distR="114300" simplePos="0" relativeHeight="251658241" behindDoc="0" locked="0" layoutInCell="1" allowOverlap="1" wp14:anchorId="18A53476" wp14:editId="14DA48AB">
            <wp:simplePos x="0" y="0"/>
            <wp:positionH relativeFrom="margin">
              <wp:posOffset>88900</wp:posOffset>
            </wp:positionH>
            <wp:positionV relativeFrom="paragraph">
              <wp:posOffset>450850</wp:posOffset>
            </wp:positionV>
            <wp:extent cx="427990" cy="427990"/>
            <wp:effectExtent l="0" t="0" r="0" b="0"/>
            <wp:wrapSquare wrapText="bothSides"/>
            <wp:docPr id="250354558"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E47D33">
        <w:rPr>
          <w:lang w:val="lv-LV"/>
        </w:rPr>
        <w:t>īt</w:t>
      </w:r>
      <w:r w:rsidR="00F82897">
        <w:rPr>
          <w:lang w:val="lv-LV"/>
        </w:rPr>
        <w:t xml:space="preserve"> ar skaidru nodomu</w:t>
      </w:r>
    </w:p>
    <w:p w14:paraId="0AB2C8B4" w14:textId="77777777" w:rsidR="009077C6" w:rsidRDefault="009077C6" w:rsidP="009077C6">
      <w:pPr>
        <w:rPr>
          <w:lang w:val="lv-LV"/>
        </w:rPr>
      </w:pPr>
    </w:p>
    <w:p w14:paraId="66350E3C" w14:textId="5BBB254E" w:rsidR="004C3B43" w:rsidRPr="00A41358" w:rsidRDefault="004C3B43" w:rsidP="009077C6">
      <w:pPr>
        <w:rPr>
          <w:lang w:val="lv-LV"/>
        </w:rPr>
      </w:pPr>
      <w:r w:rsidRPr="00A41358">
        <w:rPr>
          <w:lang w:val="lv-LV"/>
        </w:rPr>
        <w:lastRenderedPageBreak/>
        <w:t>Piemērošanas vadlīnijas:</w:t>
      </w:r>
    </w:p>
    <w:p w14:paraId="6E64EC26" w14:textId="5A0EEF48" w:rsidR="00D7404D" w:rsidRDefault="00D7404D" w:rsidP="00D5520A">
      <w:pPr>
        <w:pStyle w:val="ListParagraph"/>
        <w:numPr>
          <w:ilvl w:val="0"/>
          <w:numId w:val="6"/>
        </w:numPr>
        <w:rPr>
          <w:lang w:val="lv-LV"/>
        </w:rPr>
      </w:pPr>
      <w:r>
        <w:rPr>
          <w:lang w:val="lv-LV"/>
        </w:rPr>
        <w:t xml:space="preserve">Identificējiet iestādes vai jomas attīstības stratēģiju, tajā identificētās problēmas un attīstības mērķus. </w:t>
      </w:r>
    </w:p>
    <w:p w14:paraId="67D8ACFB" w14:textId="49D43E40" w:rsidR="00D335B1" w:rsidRPr="00593B17" w:rsidRDefault="00D335B1" w:rsidP="00D5520A">
      <w:pPr>
        <w:pStyle w:val="ListParagraph"/>
        <w:numPr>
          <w:ilvl w:val="0"/>
          <w:numId w:val="6"/>
        </w:numPr>
        <w:rPr>
          <w:lang w:val="lv-LV"/>
        </w:rPr>
      </w:pPr>
      <w:r w:rsidRPr="006F700D">
        <w:rPr>
          <w:lang w:val="lv-LV"/>
        </w:rPr>
        <w:t>Vei</w:t>
      </w:r>
      <w:r w:rsidR="00A41358" w:rsidRPr="006F700D">
        <w:rPr>
          <w:lang w:val="lv-LV"/>
        </w:rPr>
        <w:t>ciet</w:t>
      </w:r>
      <w:r w:rsidRPr="006F700D">
        <w:rPr>
          <w:lang w:val="lv-LV"/>
        </w:rPr>
        <w:t xml:space="preserve"> esošo</w:t>
      </w:r>
      <w:r w:rsidR="00821EAD">
        <w:rPr>
          <w:lang w:val="lv-LV"/>
        </w:rPr>
        <w:t xml:space="preserve"> jomas</w:t>
      </w:r>
      <w:r w:rsidRPr="006F700D">
        <w:rPr>
          <w:lang w:val="lv-LV"/>
        </w:rPr>
        <w:t xml:space="preserve"> problēmu visaptverošu analīzi,</w:t>
      </w:r>
      <w:r w:rsidRPr="00593B17">
        <w:rPr>
          <w:lang w:val="lv-LV"/>
        </w:rPr>
        <w:t xml:space="preserve"> tostarp, izpētot esošo problēmu cēloņus un to ietekmi uz digitālās pārvaldes arhitektūras komponentiem</w:t>
      </w:r>
      <w:r w:rsidR="00A52D22">
        <w:rPr>
          <w:lang w:val="lv-LV"/>
        </w:rPr>
        <w:t xml:space="preserve"> (rekomendēts piemērot dizaina domāšanas metodes)</w:t>
      </w:r>
      <w:r w:rsidR="00A41358" w:rsidRPr="00593B17">
        <w:rPr>
          <w:lang w:val="lv-LV"/>
        </w:rPr>
        <w:t>:</w:t>
      </w:r>
    </w:p>
    <w:p w14:paraId="46BE0BF5" w14:textId="20655A8E" w:rsidR="00A41358" w:rsidRPr="00A41358" w:rsidRDefault="00A41358" w:rsidP="00D5520A">
      <w:pPr>
        <w:pStyle w:val="ListParagraph"/>
        <w:numPr>
          <w:ilvl w:val="1"/>
          <w:numId w:val="6"/>
        </w:numPr>
        <w:rPr>
          <w:lang w:val="lv-LV"/>
        </w:rPr>
      </w:pPr>
      <w:r w:rsidRPr="00A41358">
        <w:rPr>
          <w:lang w:val="lv-LV"/>
        </w:rPr>
        <w:t xml:space="preserve">Veiciet vajadzību novērtēšanu un datu vākšanu (aptaujas, intervijas, </w:t>
      </w:r>
      <w:proofErr w:type="spellStart"/>
      <w:r w:rsidRPr="00A41358">
        <w:rPr>
          <w:lang w:val="lv-LV"/>
        </w:rPr>
        <w:t>fokusgrupas</w:t>
      </w:r>
      <w:proofErr w:type="spellEnd"/>
      <w:r w:rsidRPr="00A41358">
        <w:rPr>
          <w:lang w:val="lv-LV"/>
        </w:rPr>
        <w:t>), lai izprastu lietotāju pieredzi un izaicinājumus.</w:t>
      </w:r>
    </w:p>
    <w:p w14:paraId="03DD9445" w14:textId="79326CDB" w:rsidR="00A41358" w:rsidRPr="00A41358" w:rsidRDefault="00A41358" w:rsidP="00D5520A">
      <w:pPr>
        <w:pStyle w:val="ListParagraph"/>
        <w:numPr>
          <w:ilvl w:val="1"/>
          <w:numId w:val="6"/>
        </w:numPr>
        <w:rPr>
          <w:lang w:val="lv-LV"/>
        </w:rPr>
      </w:pPr>
      <w:r w:rsidRPr="00A41358">
        <w:rPr>
          <w:lang w:val="lv-LV"/>
        </w:rPr>
        <w:t>Noskaidrojiet risināmo problēmu, veidojot lietotāju ceļojumu kartes, kurās iekļauti sāpju punkti un neskaidrības.</w:t>
      </w:r>
    </w:p>
    <w:p w14:paraId="668DBB82" w14:textId="3017B28F" w:rsidR="00A41358" w:rsidRPr="00A41358" w:rsidRDefault="4921DCCF" w:rsidP="00D5520A">
      <w:pPr>
        <w:pStyle w:val="ListParagraph"/>
        <w:numPr>
          <w:ilvl w:val="1"/>
          <w:numId w:val="6"/>
        </w:numPr>
        <w:rPr>
          <w:lang w:val="lv-LV"/>
        </w:rPr>
      </w:pPr>
      <w:commentRangeStart w:id="5"/>
      <w:commentRangeStart w:id="6"/>
      <w:r w:rsidRPr="3D3736F2">
        <w:rPr>
          <w:lang w:val="lv-LV"/>
        </w:rPr>
        <w:t>Iesaistiet dažādus iesaistītos – lietotājus, darbiniekus un kopienu organizācijas, lai iegūtu plašāku ieskatu.</w:t>
      </w:r>
      <w:commentRangeEnd w:id="5"/>
      <w:r w:rsidR="00A41358">
        <w:rPr>
          <w:rStyle w:val="CommentReference"/>
        </w:rPr>
        <w:commentReference w:id="5"/>
      </w:r>
      <w:commentRangeEnd w:id="6"/>
      <w:r w:rsidR="00951C37">
        <w:rPr>
          <w:rStyle w:val="CommentReference"/>
        </w:rPr>
        <w:commentReference w:id="6"/>
      </w:r>
    </w:p>
    <w:p w14:paraId="03B67A1D" w14:textId="593A4C51" w:rsidR="00A41358" w:rsidRPr="00593B17" w:rsidRDefault="00A41358" w:rsidP="00D5520A">
      <w:pPr>
        <w:pStyle w:val="ListParagraph"/>
        <w:numPr>
          <w:ilvl w:val="1"/>
          <w:numId w:val="6"/>
        </w:numPr>
        <w:rPr>
          <w:lang w:val="lv-LV"/>
        </w:rPr>
      </w:pPr>
      <w:r w:rsidRPr="00593B17">
        <w:rPr>
          <w:lang w:val="lv-LV"/>
        </w:rPr>
        <w:t>Regulāri analizējiet lietotāju uzvedības un pakalpojumu snieguma tendences, lai identificētu atkārtotas vai jaunas problēmas.</w:t>
      </w:r>
    </w:p>
    <w:p w14:paraId="0D40EFBC" w14:textId="60F0C861" w:rsidR="00593B17" w:rsidRPr="00593B17" w:rsidRDefault="00593B17" w:rsidP="00D5520A">
      <w:pPr>
        <w:pStyle w:val="ListParagraph"/>
        <w:numPr>
          <w:ilvl w:val="1"/>
          <w:numId w:val="6"/>
        </w:numPr>
        <w:rPr>
          <w:lang w:val="lv-LV"/>
        </w:rPr>
      </w:pPr>
      <w:r w:rsidRPr="00593B17">
        <w:rPr>
          <w:lang w:val="lv-LV"/>
        </w:rPr>
        <w:t>Analizējiet politikas un esošās iniciatīvas, sasaistot problēmu ar stratēģiskajiem mērķiem.</w:t>
      </w:r>
    </w:p>
    <w:p w14:paraId="0F39A597" w14:textId="63FAB9F5" w:rsidR="00593B17" w:rsidRPr="00593B17" w:rsidRDefault="00593B17" w:rsidP="00D5520A">
      <w:pPr>
        <w:pStyle w:val="ListParagraph"/>
        <w:numPr>
          <w:ilvl w:val="1"/>
          <w:numId w:val="6"/>
        </w:numPr>
        <w:rPr>
          <w:lang w:val="lv-LV"/>
        </w:rPr>
      </w:pPr>
      <w:r w:rsidRPr="00593B17">
        <w:rPr>
          <w:lang w:val="lv-LV"/>
        </w:rPr>
        <w:t>Sadarbojieties ar citām valsts iestādēm līdzīgu jautājumu risināšanā, veicinot resursu un zināšanu apmaiņu.</w:t>
      </w:r>
    </w:p>
    <w:p w14:paraId="3E6D4132" w14:textId="45D1B980" w:rsidR="00B62268" w:rsidRDefault="00B62268" w:rsidP="00D5520A">
      <w:pPr>
        <w:pStyle w:val="ListParagraph"/>
        <w:numPr>
          <w:ilvl w:val="0"/>
          <w:numId w:val="6"/>
        </w:numPr>
        <w:rPr>
          <w:lang w:val="lv-LV"/>
        </w:rPr>
      </w:pPr>
      <w:r>
        <w:rPr>
          <w:lang w:val="lv-LV"/>
        </w:rPr>
        <w:t xml:space="preserve">Izvirziet </w:t>
      </w:r>
      <w:proofErr w:type="spellStart"/>
      <w:r>
        <w:rPr>
          <w:lang w:val="lv-LV"/>
        </w:rPr>
        <w:t>mērķarhitektūras</w:t>
      </w:r>
      <w:proofErr w:type="spellEnd"/>
      <w:r>
        <w:rPr>
          <w:lang w:val="lv-LV"/>
        </w:rPr>
        <w:t xml:space="preserve"> </w:t>
      </w:r>
      <w:r w:rsidR="00D1652B">
        <w:rPr>
          <w:lang w:val="lv-LV"/>
        </w:rPr>
        <w:t>mērķus, kas risina identificētās problēmas vai nodrošina iespēju realizāciju</w:t>
      </w:r>
    </w:p>
    <w:p w14:paraId="1869078F" w14:textId="4ADE2EEE" w:rsidR="00B62268" w:rsidRPr="00B62268" w:rsidRDefault="00B62268" w:rsidP="00D5520A">
      <w:pPr>
        <w:pStyle w:val="ListParagraph"/>
        <w:numPr>
          <w:ilvl w:val="0"/>
          <w:numId w:val="6"/>
        </w:numPr>
        <w:rPr>
          <w:lang w:val="lv-LV"/>
        </w:rPr>
      </w:pPr>
      <w:r>
        <w:rPr>
          <w:lang w:val="lv-LV"/>
        </w:rPr>
        <w:t xml:space="preserve">Apziniet nepieciešamās izmaiņas </w:t>
      </w:r>
      <w:r w:rsidR="00D1652B">
        <w:rPr>
          <w:lang w:val="lv-LV"/>
        </w:rPr>
        <w:t xml:space="preserve">visos </w:t>
      </w:r>
      <w:r w:rsidR="0099321E">
        <w:rPr>
          <w:lang w:val="lv-LV"/>
        </w:rPr>
        <w:t>jomas arhitektūras skatos, veiciet to saskaņošanu ar jomas iestādēm un izmaiņu ietekmētajām iestādēm</w:t>
      </w:r>
    </w:p>
    <w:p w14:paraId="4F761DFC" w14:textId="5D993EEB" w:rsidR="0070410B" w:rsidRDefault="00D1652B" w:rsidP="00D5520A">
      <w:pPr>
        <w:pStyle w:val="ListParagraph"/>
        <w:numPr>
          <w:ilvl w:val="0"/>
          <w:numId w:val="6"/>
        </w:numPr>
        <w:rPr>
          <w:lang w:val="lv-LV"/>
        </w:rPr>
      </w:pPr>
      <w:r>
        <w:rPr>
          <w:lang w:val="lv-LV"/>
        </w:rPr>
        <w:t>Apziniet</w:t>
      </w:r>
      <w:r w:rsidR="00593B17" w:rsidRPr="00D1652B">
        <w:rPr>
          <w:lang w:val="lv-LV"/>
        </w:rPr>
        <w:t xml:space="preserve"> izmaiņu</w:t>
      </w:r>
      <w:r w:rsidR="0070410B" w:rsidRPr="00D1652B">
        <w:rPr>
          <w:lang w:val="lv-LV"/>
        </w:rPr>
        <w:t xml:space="preserve"> biznesa pamatojumu</w:t>
      </w:r>
      <w:r w:rsidR="0070410B" w:rsidRPr="00593B17">
        <w:rPr>
          <w:lang w:val="lv-LV"/>
        </w:rPr>
        <w:t xml:space="preserve"> </w:t>
      </w:r>
      <w:r w:rsidR="0070410B" w:rsidRPr="00593B17">
        <w:rPr>
          <w:i/>
          <w:iCs/>
          <w:lang w:val="lv-LV"/>
        </w:rPr>
        <w:t xml:space="preserve">(no angļu val. – </w:t>
      </w:r>
      <w:proofErr w:type="spellStart"/>
      <w:r w:rsidR="0070410B" w:rsidRPr="00593B17">
        <w:rPr>
          <w:i/>
          <w:iCs/>
          <w:lang w:val="lv-LV"/>
        </w:rPr>
        <w:t>business</w:t>
      </w:r>
      <w:proofErr w:type="spellEnd"/>
      <w:r w:rsidR="0070410B" w:rsidRPr="00593B17">
        <w:rPr>
          <w:i/>
          <w:iCs/>
          <w:lang w:val="lv-LV"/>
        </w:rPr>
        <w:t xml:space="preserve"> </w:t>
      </w:r>
      <w:proofErr w:type="spellStart"/>
      <w:r w:rsidR="0070410B" w:rsidRPr="00593B17">
        <w:rPr>
          <w:i/>
          <w:iCs/>
          <w:lang w:val="lv-LV"/>
        </w:rPr>
        <w:t>case</w:t>
      </w:r>
      <w:proofErr w:type="spellEnd"/>
      <w:r w:rsidR="0070410B" w:rsidRPr="00593B17">
        <w:rPr>
          <w:i/>
          <w:iCs/>
          <w:lang w:val="lv-LV"/>
        </w:rPr>
        <w:t>)</w:t>
      </w:r>
      <w:r w:rsidR="0070410B" w:rsidRPr="00593B17">
        <w:rPr>
          <w:lang w:val="lv-LV"/>
        </w:rPr>
        <w:t xml:space="preserve"> </w:t>
      </w:r>
    </w:p>
    <w:p w14:paraId="0D5E5DE9" w14:textId="18687EF2" w:rsidR="006A5AB3" w:rsidRPr="00593B17" w:rsidRDefault="006A5AB3" w:rsidP="00D5520A">
      <w:pPr>
        <w:pStyle w:val="ListParagraph"/>
        <w:numPr>
          <w:ilvl w:val="0"/>
          <w:numId w:val="6"/>
        </w:numPr>
        <w:rPr>
          <w:lang w:val="lv-LV"/>
        </w:rPr>
      </w:pPr>
      <w:r>
        <w:rPr>
          <w:lang w:val="lv-LV"/>
        </w:rPr>
        <w:t xml:space="preserve">Definējiet </w:t>
      </w:r>
      <w:proofErr w:type="spellStart"/>
      <w:r>
        <w:rPr>
          <w:lang w:val="lv-LV"/>
        </w:rPr>
        <w:t>mērķarhitektūras</w:t>
      </w:r>
      <w:proofErr w:type="spellEnd"/>
      <w:r>
        <w:rPr>
          <w:lang w:val="lv-LV"/>
        </w:rPr>
        <w:t xml:space="preserve"> ieviešanas iniciatīvas, </w:t>
      </w:r>
      <w:r w:rsidR="00554DC2">
        <w:rPr>
          <w:lang w:val="lv-LV"/>
        </w:rPr>
        <w:t>to priekšnosacījumus un savstarpējās atkarības</w:t>
      </w:r>
    </w:p>
    <w:p w14:paraId="663B96AB" w14:textId="68F9C3C8" w:rsidR="004C3B43" w:rsidRDefault="00065266" w:rsidP="009077C6">
      <w:pPr>
        <w:rPr>
          <w:lang w:val="lv-LV"/>
        </w:rPr>
      </w:pPr>
      <w:r>
        <w:rPr>
          <w:lang w:val="lv-LV"/>
        </w:rPr>
        <w:t>Novērtējuma</w:t>
      </w:r>
      <w:r w:rsidR="004C3B43">
        <w:rPr>
          <w:lang w:val="lv-LV"/>
        </w:rPr>
        <w:t xml:space="preserve"> vadlīnijas:</w:t>
      </w:r>
    </w:p>
    <w:p w14:paraId="0AD7C5C1" w14:textId="6D0E63BD" w:rsidR="00D16663" w:rsidRDefault="00870468" w:rsidP="00D5520A">
      <w:pPr>
        <w:pStyle w:val="ListParagraph"/>
        <w:numPr>
          <w:ilvl w:val="0"/>
          <w:numId w:val="7"/>
        </w:numPr>
        <w:rPr>
          <w:lang w:val="lv-LV"/>
        </w:rPr>
      </w:pPr>
      <w:r>
        <w:rPr>
          <w:lang w:val="lv-LV"/>
        </w:rPr>
        <w:t>VPK</w:t>
      </w:r>
      <w:r w:rsidR="00F13D4E">
        <w:rPr>
          <w:lang w:val="lv-LV"/>
        </w:rPr>
        <w:t>4</w:t>
      </w:r>
      <w:r>
        <w:rPr>
          <w:lang w:val="lv-LV"/>
        </w:rPr>
        <w:t xml:space="preserve">. </w:t>
      </w:r>
      <w:r w:rsidR="001C4851">
        <w:rPr>
          <w:lang w:val="lv-LV"/>
        </w:rPr>
        <w:t xml:space="preserve">Vai </w:t>
      </w:r>
      <w:proofErr w:type="spellStart"/>
      <w:r w:rsidR="001C4851">
        <w:rPr>
          <w:lang w:val="lv-LV"/>
        </w:rPr>
        <w:t>m</w:t>
      </w:r>
      <w:r w:rsidR="00FA363E">
        <w:rPr>
          <w:lang w:val="lv-LV"/>
        </w:rPr>
        <w:t>ērķarhitektūr</w:t>
      </w:r>
      <w:r w:rsidR="00672B56">
        <w:rPr>
          <w:lang w:val="lv-LV"/>
        </w:rPr>
        <w:t>ā</w:t>
      </w:r>
      <w:proofErr w:type="spellEnd"/>
      <w:r w:rsidR="00FA363E">
        <w:rPr>
          <w:lang w:val="lv-LV"/>
        </w:rPr>
        <w:t xml:space="preserve"> ir skaidri iezīmētas risināmās problēmas (piemēram, SVID analīzes formā)</w:t>
      </w:r>
      <w:r w:rsidR="001C4851">
        <w:rPr>
          <w:lang w:val="lv-LV"/>
        </w:rPr>
        <w:t>?</w:t>
      </w:r>
    </w:p>
    <w:p w14:paraId="3BE01F6B" w14:textId="5C154A63" w:rsidR="00AA552D" w:rsidRDefault="00870468" w:rsidP="00D5520A">
      <w:pPr>
        <w:pStyle w:val="ListParagraph"/>
        <w:numPr>
          <w:ilvl w:val="0"/>
          <w:numId w:val="7"/>
        </w:numPr>
        <w:rPr>
          <w:lang w:val="lv-LV"/>
        </w:rPr>
      </w:pPr>
      <w:r>
        <w:rPr>
          <w:lang w:val="lv-LV"/>
        </w:rPr>
        <w:t>VPK</w:t>
      </w:r>
      <w:r w:rsidR="00F13D4E">
        <w:rPr>
          <w:lang w:val="lv-LV"/>
        </w:rPr>
        <w:t>5</w:t>
      </w:r>
      <w:r>
        <w:rPr>
          <w:lang w:val="lv-LV"/>
        </w:rPr>
        <w:t xml:space="preserve">. </w:t>
      </w:r>
      <w:r w:rsidR="001C4851">
        <w:rPr>
          <w:lang w:val="lv-LV"/>
        </w:rPr>
        <w:t xml:space="preserve">Vai </w:t>
      </w:r>
      <w:proofErr w:type="spellStart"/>
      <w:r w:rsidR="001C4851">
        <w:rPr>
          <w:lang w:val="lv-LV"/>
        </w:rPr>
        <w:t>m</w:t>
      </w:r>
      <w:r w:rsidR="00AA552D">
        <w:rPr>
          <w:lang w:val="lv-LV"/>
        </w:rPr>
        <w:t>ērķarhitektūr</w:t>
      </w:r>
      <w:r w:rsidR="007E344E">
        <w:rPr>
          <w:lang w:val="lv-LV"/>
        </w:rPr>
        <w:t>ā</w:t>
      </w:r>
      <w:proofErr w:type="spellEnd"/>
      <w:r w:rsidR="00AA552D">
        <w:rPr>
          <w:lang w:val="lv-LV"/>
        </w:rPr>
        <w:t xml:space="preserve"> ir izvirzīti sasniedzamie mērķi un rezultatīvie rādītāji</w:t>
      </w:r>
      <w:r w:rsidR="009D08AD">
        <w:rPr>
          <w:lang w:val="lv-LV"/>
        </w:rPr>
        <w:t xml:space="preserve">, kas ir </w:t>
      </w:r>
      <w:r w:rsidR="009D08AD" w:rsidRPr="009D08AD">
        <w:rPr>
          <w:lang w:val="lv-LV"/>
        </w:rPr>
        <w:t>specifiski, izmērāmi, sasniedzami, nozīmīgi</w:t>
      </w:r>
      <w:r w:rsidR="009D08AD">
        <w:rPr>
          <w:lang w:val="lv-LV"/>
        </w:rPr>
        <w:t xml:space="preserve"> </w:t>
      </w:r>
      <w:r w:rsidR="009D08AD" w:rsidRPr="009D08AD">
        <w:rPr>
          <w:lang w:val="lv-LV"/>
        </w:rPr>
        <w:t xml:space="preserve">un realizējami </w:t>
      </w:r>
      <w:r w:rsidR="009D08AD">
        <w:rPr>
          <w:lang w:val="lv-LV"/>
        </w:rPr>
        <w:t>noteiktajos</w:t>
      </w:r>
      <w:r w:rsidR="009D08AD" w:rsidRPr="009D08AD">
        <w:rPr>
          <w:lang w:val="lv-LV"/>
        </w:rPr>
        <w:t xml:space="preserve"> termiņos</w:t>
      </w:r>
      <w:r w:rsidR="001C4851">
        <w:rPr>
          <w:lang w:val="lv-LV"/>
        </w:rPr>
        <w:t>?</w:t>
      </w:r>
    </w:p>
    <w:p w14:paraId="73D30185" w14:textId="37D39434" w:rsidR="00672B56" w:rsidRPr="00672B56" w:rsidRDefault="00672B56" w:rsidP="00672B56">
      <w:pPr>
        <w:pStyle w:val="ListParagraph"/>
        <w:numPr>
          <w:ilvl w:val="0"/>
          <w:numId w:val="7"/>
        </w:numPr>
        <w:rPr>
          <w:lang w:val="lv-LV"/>
        </w:rPr>
      </w:pPr>
      <w:r>
        <w:rPr>
          <w:lang w:val="lv-LV"/>
        </w:rPr>
        <w:t>VPK</w:t>
      </w:r>
      <w:r w:rsidR="00F13D4E">
        <w:rPr>
          <w:lang w:val="lv-LV"/>
        </w:rPr>
        <w:t>6</w:t>
      </w:r>
      <w:r>
        <w:rPr>
          <w:lang w:val="lv-LV"/>
        </w:rPr>
        <w:t xml:space="preserve">. Vai </w:t>
      </w:r>
      <w:proofErr w:type="spellStart"/>
      <w:r>
        <w:rPr>
          <w:lang w:val="lv-LV"/>
        </w:rPr>
        <w:t>m</w:t>
      </w:r>
      <w:r w:rsidRPr="00D16663">
        <w:rPr>
          <w:lang w:val="lv-LV"/>
        </w:rPr>
        <w:t>ērķarhitektūr</w:t>
      </w:r>
      <w:r w:rsidR="007E344E">
        <w:rPr>
          <w:lang w:val="lv-LV"/>
        </w:rPr>
        <w:t>ā</w:t>
      </w:r>
      <w:proofErr w:type="spellEnd"/>
      <w:r w:rsidRPr="00D16663">
        <w:rPr>
          <w:lang w:val="lv-LV"/>
        </w:rPr>
        <w:t xml:space="preserve"> ir apzinātas nepieciešamās izmaiņas </w:t>
      </w:r>
      <w:r>
        <w:rPr>
          <w:lang w:val="lv-LV"/>
        </w:rPr>
        <w:t xml:space="preserve">jomas iestāžu funkcijās/uzdevumos, </w:t>
      </w:r>
      <w:r w:rsidRPr="00D16663">
        <w:rPr>
          <w:lang w:val="lv-LV"/>
        </w:rPr>
        <w:t>normatīvajos aktos</w:t>
      </w:r>
      <w:r w:rsidR="00AD1B0E">
        <w:rPr>
          <w:lang w:val="lv-LV"/>
        </w:rPr>
        <w:t>, pakalpojumos</w:t>
      </w:r>
      <w:r>
        <w:rPr>
          <w:lang w:val="lv-LV"/>
        </w:rPr>
        <w:t xml:space="preserve"> un IKT </w:t>
      </w:r>
      <w:r w:rsidR="00AD1B0E">
        <w:rPr>
          <w:lang w:val="lv-LV"/>
        </w:rPr>
        <w:t>risinājumos</w:t>
      </w:r>
      <w:r>
        <w:rPr>
          <w:lang w:val="lv-LV"/>
        </w:rPr>
        <w:t>, kā arī sniegts izmaiņu pamatojums?</w:t>
      </w:r>
    </w:p>
    <w:p w14:paraId="36DC4914" w14:textId="4AE9595E" w:rsidR="0095268B" w:rsidRDefault="00870468" w:rsidP="00D5520A">
      <w:pPr>
        <w:pStyle w:val="ListParagraph"/>
        <w:numPr>
          <w:ilvl w:val="0"/>
          <w:numId w:val="7"/>
        </w:numPr>
        <w:rPr>
          <w:lang w:val="lv-LV"/>
        </w:rPr>
      </w:pPr>
      <w:r>
        <w:rPr>
          <w:lang w:val="lv-LV"/>
        </w:rPr>
        <w:lastRenderedPageBreak/>
        <w:t>VPK</w:t>
      </w:r>
      <w:r w:rsidR="00F13D4E">
        <w:rPr>
          <w:lang w:val="lv-LV"/>
        </w:rPr>
        <w:t>7</w:t>
      </w:r>
      <w:r>
        <w:rPr>
          <w:lang w:val="lv-LV"/>
        </w:rPr>
        <w:t xml:space="preserve">. </w:t>
      </w:r>
      <w:r w:rsidR="001C4851">
        <w:rPr>
          <w:lang w:val="lv-LV"/>
        </w:rPr>
        <w:t xml:space="preserve">Vai </w:t>
      </w:r>
      <w:proofErr w:type="spellStart"/>
      <w:r w:rsidR="001C4851">
        <w:rPr>
          <w:lang w:val="lv-LV"/>
        </w:rPr>
        <w:t>m</w:t>
      </w:r>
      <w:r w:rsidR="0095268B">
        <w:rPr>
          <w:lang w:val="lv-LV"/>
        </w:rPr>
        <w:t>ērķarhitektūra</w:t>
      </w:r>
      <w:proofErr w:type="spellEnd"/>
      <w:r w:rsidR="0095268B">
        <w:rPr>
          <w:lang w:val="lv-LV"/>
        </w:rPr>
        <w:t xml:space="preserve"> ir saskaņota ar visām jomas iestādēm</w:t>
      </w:r>
      <w:r w:rsidR="00B0196E">
        <w:rPr>
          <w:lang w:val="lv-LV"/>
        </w:rPr>
        <w:t xml:space="preserve"> un </w:t>
      </w:r>
      <w:r w:rsidR="00D7561B">
        <w:rPr>
          <w:lang w:val="lv-LV"/>
        </w:rPr>
        <w:t xml:space="preserve">izmaiņu </w:t>
      </w:r>
      <w:r w:rsidR="00B0196E">
        <w:rPr>
          <w:lang w:val="lv-LV"/>
        </w:rPr>
        <w:t>ietekmētajām iestādēm</w:t>
      </w:r>
      <w:r w:rsidR="001C4851">
        <w:rPr>
          <w:lang w:val="lv-LV"/>
        </w:rPr>
        <w:t>?</w:t>
      </w:r>
    </w:p>
    <w:p w14:paraId="6AC08B00" w14:textId="75165A1D" w:rsidR="0007431F" w:rsidRPr="00D16663" w:rsidRDefault="00870468" w:rsidP="00D5520A">
      <w:pPr>
        <w:pStyle w:val="ListParagraph"/>
        <w:numPr>
          <w:ilvl w:val="0"/>
          <w:numId w:val="7"/>
        </w:numPr>
        <w:rPr>
          <w:lang w:val="lv-LV"/>
        </w:rPr>
      </w:pPr>
      <w:r>
        <w:rPr>
          <w:lang w:val="lv-LV"/>
        </w:rPr>
        <w:t>VPK</w:t>
      </w:r>
      <w:r w:rsidR="00F13D4E">
        <w:rPr>
          <w:lang w:val="lv-LV"/>
        </w:rPr>
        <w:t>8</w:t>
      </w:r>
      <w:r>
        <w:rPr>
          <w:lang w:val="lv-LV"/>
        </w:rPr>
        <w:t xml:space="preserve">. </w:t>
      </w:r>
      <w:r w:rsidR="001C4851">
        <w:rPr>
          <w:lang w:val="lv-LV"/>
        </w:rPr>
        <w:t xml:space="preserve">Vai </w:t>
      </w:r>
      <w:proofErr w:type="spellStart"/>
      <w:r w:rsidR="001C4851">
        <w:rPr>
          <w:lang w:val="lv-LV"/>
        </w:rPr>
        <w:t>m</w:t>
      </w:r>
      <w:r w:rsidR="0007431F">
        <w:rPr>
          <w:lang w:val="lv-LV"/>
        </w:rPr>
        <w:t>ērķarhitektūras</w:t>
      </w:r>
      <w:proofErr w:type="spellEnd"/>
      <w:r w:rsidR="0007431F">
        <w:rPr>
          <w:lang w:val="lv-LV"/>
        </w:rPr>
        <w:t xml:space="preserve"> ieviešanas iniciatīvas ir </w:t>
      </w:r>
      <w:proofErr w:type="spellStart"/>
      <w:r w:rsidR="0007431F">
        <w:rPr>
          <w:lang w:val="lv-LV"/>
        </w:rPr>
        <w:t>prioritizētas</w:t>
      </w:r>
      <w:proofErr w:type="spellEnd"/>
      <w:r w:rsidR="0007431F">
        <w:rPr>
          <w:lang w:val="lv-LV"/>
        </w:rPr>
        <w:t xml:space="preserve">, tai skaitā ņemot vērā savstarpējās </w:t>
      </w:r>
      <w:r w:rsidR="000F656A">
        <w:rPr>
          <w:lang w:val="lv-LV"/>
        </w:rPr>
        <w:t>atkarības</w:t>
      </w:r>
      <w:r w:rsidR="001C4851">
        <w:rPr>
          <w:lang w:val="lv-LV"/>
        </w:rPr>
        <w:t>?</w:t>
      </w:r>
    </w:p>
    <w:p w14:paraId="07D6FCED" w14:textId="758C0B1C" w:rsidR="002830F8" w:rsidRDefault="5CB1EC1C" w:rsidP="00E43D18">
      <w:pPr>
        <w:pStyle w:val="Heading2"/>
        <w:rPr>
          <w:lang w:val="lv-LV"/>
        </w:rPr>
      </w:pPr>
      <w:r>
        <w:rPr>
          <w:lang w:val="lv-LV"/>
        </w:rPr>
        <w:t>P</w:t>
      </w:r>
      <w:r w:rsidR="0077306A">
        <w:rPr>
          <w:lang w:val="lv-LV"/>
        </w:rPr>
        <w:t>3</w:t>
      </w:r>
      <w:r>
        <w:rPr>
          <w:lang w:val="lv-LV"/>
        </w:rPr>
        <w:t xml:space="preserve">. </w:t>
      </w:r>
      <w:r w:rsidR="002830F8" w:rsidRPr="00E2406D">
        <w:rPr>
          <w:noProof/>
          <w:lang w:val="lv-LV"/>
        </w:rPr>
        <mc:AlternateContent>
          <mc:Choice Requires="wps">
            <w:drawing>
              <wp:anchor distT="0" distB="0" distL="114300" distR="114300" simplePos="0" relativeHeight="251658242" behindDoc="0" locked="0" layoutInCell="1" allowOverlap="1" wp14:anchorId="491B96EF" wp14:editId="427A2EE2">
                <wp:simplePos x="0" y="0"/>
                <wp:positionH relativeFrom="column">
                  <wp:posOffset>0</wp:posOffset>
                </wp:positionH>
                <wp:positionV relativeFrom="paragraph">
                  <wp:posOffset>316865</wp:posOffset>
                </wp:positionV>
                <wp:extent cx="1828800" cy="1828800"/>
                <wp:effectExtent l="0" t="0" r="8890" b="10795"/>
                <wp:wrapTopAndBottom/>
                <wp:docPr id="1445366157"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2D38662" w14:textId="34F243AB" w:rsidR="002830F8" w:rsidRDefault="00A839B6" w:rsidP="002830F8">
                            <w:pPr>
                              <w:ind w:left="851"/>
                              <w:jc w:val="both"/>
                              <w:rPr>
                                <w:lang w:val="lv-LV" w:bidi="lv-LV"/>
                              </w:rPr>
                            </w:pPr>
                            <w:r>
                              <w:rPr>
                                <w:lang w:val="lv-LV" w:bidi="lv-LV"/>
                              </w:rPr>
                              <w:t xml:space="preserve">Klients ir digitālo pakalpojumu izveides centrālais elements. </w:t>
                            </w:r>
                            <w:r w:rsidR="00F82897" w:rsidRPr="00F82897">
                              <w:rPr>
                                <w:lang w:val="lv-LV" w:bidi="lv-LV"/>
                              </w:rPr>
                              <w:t>Padziļināta izpratne par lietotāju kontekstu, vajadzībām un iemesliem, kāpēc viņi izvēlas vai izvairās no pakalpojuma, ir būtiska, lai veidotu risinājumus, kas ir vērtīgi un noderīgi lietotājiem.</w:t>
                            </w:r>
                          </w:p>
                          <w:p w14:paraId="15F9BC6D" w14:textId="77777777" w:rsidR="002E0A24" w:rsidRPr="002E0A24" w:rsidRDefault="002E0A24" w:rsidP="002E0A24">
                            <w:pPr>
                              <w:ind w:left="851"/>
                              <w:jc w:val="both"/>
                              <w:rPr>
                                <w:lang w:val="lv-LV" w:bidi="lv-LV"/>
                              </w:rPr>
                            </w:pPr>
                            <w:r w:rsidRPr="002E0A24">
                              <w:rPr>
                                <w:lang w:val="lv-LV" w:bidi="lv-LV"/>
                              </w:rPr>
                              <w:t>Valsts pārvaldes IKT risinājumu attīstības pamata fokuss ir IKT pakalpojumu sniegšana iedzīvotājiem,  uzņēmumiem vai jebkurai pārvaldes iestādei, tai skaitā arī ārpus valsts robežām, aptverot trīs veidu sadarbību:</w:t>
                            </w:r>
                          </w:p>
                          <w:p w14:paraId="28BE5334" w14:textId="4B85FE77" w:rsidR="002E0A24" w:rsidRPr="002E0A24" w:rsidRDefault="002E0A24" w:rsidP="00D5520A">
                            <w:pPr>
                              <w:numPr>
                                <w:ilvl w:val="0"/>
                                <w:numId w:val="1"/>
                              </w:numPr>
                              <w:jc w:val="both"/>
                              <w:rPr>
                                <w:lang w:val="lv-LV" w:bidi="lv-LV"/>
                              </w:rPr>
                            </w:pPr>
                            <w:r w:rsidRPr="002E0A24">
                              <w:rPr>
                                <w:lang w:val="lv-LV" w:bidi="lv-LV"/>
                              </w:rPr>
                              <w:t>A2A (pārvaldes iestāde </w:t>
                            </w:r>
                            <w:r w:rsidR="00D7404D">
                              <w:rPr>
                                <w:lang w:val="lv-LV" w:bidi="lv-LV"/>
                              </w:rPr>
                              <w:t xml:space="preserve">- </w:t>
                            </w:r>
                            <w:r w:rsidRPr="002E0A24">
                              <w:rPr>
                                <w:lang w:val="lv-LV" w:bidi="lv-LV"/>
                              </w:rPr>
                              <w:t>pārvaldes iestāde),</w:t>
                            </w:r>
                          </w:p>
                          <w:p w14:paraId="288AAECF" w14:textId="6E7FFBF6" w:rsidR="002E0A24" w:rsidRPr="002E0A24" w:rsidRDefault="002E0A24" w:rsidP="00D5520A">
                            <w:pPr>
                              <w:numPr>
                                <w:ilvl w:val="0"/>
                                <w:numId w:val="1"/>
                              </w:numPr>
                              <w:jc w:val="both"/>
                              <w:rPr>
                                <w:lang w:val="lv-LV" w:bidi="lv-LV"/>
                              </w:rPr>
                            </w:pPr>
                            <w:r w:rsidRPr="002E0A24">
                              <w:rPr>
                                <w:lang w:val="lv-LV" w:bidi="lv-LV"/>
                              </w:rPr>
                              <w:t>A2B (pārvaldes iestāde </w:t>
                            </w:r>
                            <w:r w:rsidR="00D7404D">
                              <w:rPr>
                                <w:lang w:val="lv-LV" w:bidi="lv-LV"/>
                              </w:rPr>
                              <w:t>-</w:t>
                            </w:r>
                            <w:r w:rsidRPr="002E0A24">
                              <w:rPr>
                                <w:lang w:val="lv-LV" w:bidi="lv-LV"/>
                              </w:rPr>
                              <w:t xml:space="preserve"> uzņēmums),</w:t>
                            </w:r>
                          </w:p>
                          <w:p w14:paraId="274B11C3" w14:textId="63F65018" w:rsidR="00D7404D" w:rsidRDefault="002E0A24" w:rsidP="00D7404D">
                            <w:pPr>
                              <w:numPr>
                                <w:ilvl w:val="0"/>
                                <w:numId w:val="1"/>
                              </w:numPr>
                              <w:jc w:val="both"/>
                              <w:rPr>
                                <w:lang w:val="lv-LV" w:bidi="lv-LV"/>
                              </w:rPr>
                            </w:pPr>
                            <w:r w:rsidRPr="002E0A24">
                              <w:rPr>
                                <w:lang w:val="lv-LV" w:bidi="lv-LV"/>
                              </w:rPr>
                              <w:t>A2C (pārvaldes iestāde </w:t>
                            </w:r>
                            <w:r w:rsidR="00D7404D">
                              <w:rPr>
                                <w:lang w:val="lv-LV" w:bidi="lv-LV"/>
                              </w:rPr>
                              <w:t>-</w:t>
                            </w:r>
                            <w:r w:rsidRPr="002E0A24">
                              <w:rPr>
                                <w:lang w:val="lv-LV" w:bidi="lv-LV"/>
                              </w:rPr>
                              <w:t xml:space="preserve"> iedzīvotājs)</w:t>
                            </w:r>
                            <w:r w:rsidR="00D7404D">
                              <w:rPr>
                                <w:lang w:val="lv-LV" w:bidi="lv-LV"/>
                              </w:rPr>
                              <w:t>,</w:t>
                            </w:r>
                          </w:p>
                          <w:p w14:paraId="0970008C" w14:textId="0D368006" w:rsidR="00D7404D" w:rsidRPr="00D7404D" w:rsidRDefault="00D7404D" w:rsidP="00D7404D">
                            <w:pPr>
                              <w:numPr>
                                <w:ilvl w:val="0"/>
                                <w:numId w:val="1"/>
                              </w:numPr>
                              <w:jc w:val="both"/>
                              <w:rPr>
                                <w:lang w:val="lv-LV" w:bidi="lv-LV"/>
                              </w:rPr>
                            </w:pPr>
                            <w:r>
                              <w:rPr>
                                <w:lang w:val="lv-LV" w:bidi="lv-LV"/>
                              </w:rPr>
                              <w:t>A2S (pārvaldes iestāde – sabiedrība (vispārējā labuma pakalpojumiem)).</w:t>
                            </w:r>
                          </w:p>
                          <w:p w14:paraId="7E898938" w14:textId="419AA46B" w:rsidR="002E0A24" w:rsidRDefault="002E0A24" w:rsidP="002E0A24">
                            <w:pPr>
                              <w:ind w:left="851"/>
                              <w:jc w:val="both"/>
                              <w:rPr>
                                <w:lang w:val="lv-LV" w:bidi="lv-LV"/>
                              </w:rPr>
                            </w:pPr>
                            <w:r w:rsidRPr="002E0A24">
                              <w:rPr>
                                <w:lang w:val="lv-LV" w:bidi="lv-LV"/>
                              </w:rPr>
                              <w:t xml:space="preserve">IKT risinājumu attīstība nevar būt pašmērķis, un viennozīmīgi nosakāma IKT lietotāju interešu prioritāte. </w:t>
                            </w:r>
                          </w:p>
                          <w:p w14:paraId="7E49DF68" w14:textId="77777777" w:rsidR="00080CC6" w:rsidRPr="00960BA3" w:rsidRDefault="00080CC6" w:rsidP="00080CC6">
                            <w:pPr>
                              <w:ind w:left="851"/>
                              <w:jc w:val="both"/>
                              <w:rPr>
                                <w:lang w:val="lv-LV"/>
                              </w:rPr>
                            </w:pPr>
                            <w:r w:rsidRPr="00960BA3">
                              <w:rPr>
                                <w:lang w:val="lv-LV"/>
                              </w:rPr>
                              <w:t>Visiem klientiem, neatkarīgi no viņu iespējām, atrašanās vietas vai apstākļiem, ir jābūt iespējai vienlīdzīgi piekļūt un izmantot piedāvātos risinājumus un pakalpojumus. Jānodrošina, ka neviena sabiedrības grupa netiek izslēgta no attīstības un priekšrocībām, ko sniedz tehnoloģijas un valsts pārvaldes iniciatīvas.</w:t>
                            </w:r>
                          </w:p>
                          <w:p w14:paraId="36F55EFD" w14:textId="43BABFB6" w:rsidR="00080CC6" w:rsidRPr="00F82897" w:rsidRDefault="00080CC6" w:rsidP="00080CC6">
                            <w:pPr>
                              <w:ind w:left="851"/>
                              <w:jc w:val="both"/>
                              <w:rPr>
                                <w:lang w:val="lv-LV" w:bidi="lv-LV"/>
                              </w:rPr>
                            </w:pPr>
                            <w:r w:rsidRPr="00960BA3">
                              <w:rPr>
                                <w:lang w:val="lv-LV" w:bidi="lv-LV"/>
                              </w:rPr>
                              <w:t>Iekļautība nodrošina, ka ikviens, neatkarīgi no sociālajām un ekonomiskajām atšķirībām vai iespējamiem šķēršļiem, var pilnībā izmantot jaunāko tehnoloģiju sniegtās iespējas piekļūt un izmantot publiskos pakalpojumus. Piekļūstamība garantē, ka cilvēki ar invaliditāti, vecāka gadagājuma iedzīvotāji un citas neaizsargātas grupas saņem tādu pašu piekļuves līmeni kā pārējie sabiedrības locekļi.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1B96EF" id="_x0000_s1028" type="#_x0000_t202" style="position:absolute;margin-left:0;margin-top:24.95pt;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IwWgIAAAwFAAAOAAAAZHJzL2Uyb0RvYy54bWysVE2P2jAQvVfqf7B8LwFKW4oIK8qKqhLa&#10;XZWt9mwcG6I6HsseSOiv79iBQLecql6csWfezLz5yPSuqQw7KB9KsDkf9PqcKSuhKO025z+el+/G&#10;nAUUthAGrMr5UQV+N3v7Zlq7iRrCDkyhPCMnNkxql/MdoptkWZA7VYnQA6csKTX4SiBd/TYrvKjJ&#10;e2WyYb//MavBF86DVCHQ632r5LPkX2sl8VHroJCZnFNumE6fzk08s9lUTLZeuF0pT2mIf8iiEqWl&#10;oJ2re4GC7X35l6uqlB4CaOxJqDLQupQqcSA2g/4rNuudcCpxoeIE15Up/D+38uGwdk+eYfMFGmpg&#10;LEjtwiTQY+TTaF/FL2XKSE8lPHZlUw0yGUHj4XjcJ5Uk3flCfrIL3PmAXxVULAo599SXVC5xWAVs&#10;Tc8mMZqx8e2SR5LwaFSr/K40KwuKPExO0rCohfHsIKjNQkpl8X1kQhkYS9YRpktjOuDgFtBgok+g&#10;k22EqTREHbB/C/hnxA6RooLFDlyVFvwtB8XPLnJrf2bfco70sdk0RDpyJmLxZQPFkTrnoR3q4OSy&#10;pOquRMAn4WmKqSO0mfhIhzZQ5xxOEmc78L9uvUd7Gi7SclbTVuTc0tpyZr5ZGrrPg9EoLlG6jD58&#10;GtLFX2s21xq7rxZA/RjQH8DJJEZ7NGdRe6heaH3nMSaphJUUOed4FhfYbiqtv1TzeTKitXECV3bt&#10;ZHQdaxwn57l5Ed6dxgtpMh/gvD1i8mrKWtuIDG6+R1iWaQQvNT1Vn1YujdDp9xB3+vqerC4/sdlv&#10;AAAA//8DAFBLAwQUAAYACAAAACEA7u+WodsAAAAHAQAADwAAAGRycy9kb3ducmV2LnhtbEyPTU/D&#10;MAyG70j8h8hI3FjKOkFb6k4DCTgzJs5Z436wxqmabCv8eswJjvb76vHjcj27QZ1oCr1nhNtFAoq4&#10;9rbnFmH3/nyTgQrRsDWDZ0L4ogDr6vKiNIX1Z36j0za2SiAcCoPQxTgWWoe6I2fCwo/EkjV+cibK&#10;OLXaTuYscDfoZZLcaWd6lgudGempo/qwPTqE9OM1bezc9C+rJA2PtNnl358HxOurefMAKtIc/8rw&#10;qy/qUInT3h/ZBjUgyCMRYZXnoCRdZpks9oJO73PQVan/+1c/AAAA//8DAFBLAQItABQABgAIAAAA&#10;IQC2gziS/gAAAOEBAAATAAAAAAAAAAAAAAAAAAAAAABbQ29udGVudF9UeXBlc10ueG1sUEsBAi0A&#10;FAAGAAgAAAAhADj9If/WAAAAlAEAAAsAAAAAAAAAAAAAAAAALwEAAF9yZWxzLy5yZWxzUEsBAi0A&#10;FAAGAAgAAAAhAL1i4jBaAgAADAUAAA4AAAAAAAAAAAAAAAAALgIAAGRycy9lMm9Eb2MueG1sUEsB&#10;Ai0AFAAGAAgAAAAhAO7vlqHbAAAABwEAAA8AAAAAAAAAAAAAAAAAtAQAAGRycy9kb3ducmV2Lnht&#10;bFBLBQYAAAAABAAEAPMAAAC8BQAAAAA=&#10;" fillcolor="white [3201]" strokecolor="#196b24 [3206]" strokeweight="1pt">
                <v:textbox style="mso-fit-shape-to-text:t">
                  <w:txbxContent>
                    <w:p w14:paraId="02D38662" w14:textId="34F243AB" w:rsidR="002830F8" w:rsidRDefault="00A839B6" w:rsidP="002830F8">
                      <w:pPr>
                        <w:ind w:left="851"/>
                        <w:jc w:val="both"/>
                        <w:rPr>
                          <w:lang w:val="lv-LV" w:bidi="lv-LV"/>
                        </w:rPr>
                      </w:pPr>
                      <w:r>
                        <w:rPr>
                          <w:lang w:val="lv-LV" w:bidi="lv-LV"/>
                        </w:rPr>
                        <w:t xml:space="preserve">Klients ir digitālo pakalpojumu izveides centrālais elements. </w:t>
                      </w:r>
                      <w:r w:rsidR="00F82897" w:rsidRPr="00F82897">
                        <w:rPr>
                          <w:lang w:val="lv-LV" w:bidi="lv-LV"/>
                        </w:rPr>
                        <w:t>Padziļināta izpratne par lietotāju kontekstu, vajadzībām un iemesliem, kāpēc viņi izvēlas vai izvairās no pakalpojuma, ir būtiska, lai veidotu risinājumus, kas ir vērtīgi un noderīgi lietotājiem.</w:t>
                      </w:r>
                    </w:p>
                    <w:p w14:paraId="15F9BC6D" w14:textId="77777777" w:rsidR="002E0A24" w:rsidRPr="002E0A24" w:rsidRDefault="002E0A24" w:rsidP="002E0A24">
                      <w:pPr>
                        <w:ind w:left="851"/>
                        <w:jc w:val="both"/>
                        <w:rPr>
                          <w:lang w:val="lv-LV" w:bidi="lv-LV"/>
                        </w:rPr>
                      </w:pPr>
                      <w:r w:rsidRPr="002E0A24">
                        <w:rPr>
                          <w:lang w:val="lv-LV" w:bidi="lv-LV"/>
                        </w:rPr>
                        <w:t>Valsts pārvaldes IKT risinājumu attīstības pamata fokuss ir IKT pakalpojumu sniegšana iedzīvotājiem,  uzņēmumiem vai jebkurai pārvaldes iestādei, tai skaitā arī ārpus valsts robežām, aptverot trīs veidu sadarbību:</w:t>
                      </w:r>
                    </w:p>
                    <w:p w14:paraId="28BE5334" w14:textId="4B85FE77" w:rsidR="002E0A24" w:rsidRPr="002E0A24" w:rsidRDefault="002E0A24" w:rsidP="00D5520A">
                      <w:pPr>
                        <w:numPr>
                          <w:ilvl w:val="0"/>
                          <w:numId w:val="1"/>
                        </w:numPr>
                        <w:jc w:val="both"/>
                        <w:rPr>
                          <w:lang w:val="lv-LV" w:bidi="lv-LV"/>
                        </w:rPr>
                      </w:pPr>
                      <w:r w:rsidRPr="002E0A24">
                        <w:rPr>
                          <w:lang w:val="lv-LV" w:bidi="lv-LV"/>
                        </w:rPr>
                        <w:t>A2A (pārvaldes iestāde </w:t>
                      </w:r>
                      <w:r w:rsidR="00D7404D">
                        <w:rPr>
                          <w:lang w:val="lv-LV" w:bidi="lv-LV"/>
                        </w:rPr>
                        <w:t xml:space="preserve">- </w:t>
                      </w:r>
                      <w:r w:rsidRPr="002E0A24">
                        <w:rPr>
                          <w:lang w:val="lv-LV" w:bidi="lv-LV"/>
                        </w:rPr>
                        <w:t>pārvaldes iestāde),</w:t>
                      </w:r>
                    </w:p>
                    <w:p w14:paraId="288AAECF" w14:textId="6E7FFBF6" w:rsidR="002E0A24" w:rsidRPr="002E0A24" w:rsidRDefault="002E0A24" w:rsidP="00D5520A">
                      <w:pPr>
                        <w:numPr>
                          <w:ilvl w:val="0"/>
                          <w:numId w:val="1"/>
                        </w:numPr>
                        <w:jc w:val="both"/>
                        <w:rPr>
                          <w:lang w:val="lv-LV" w:bidi="lv-LV"/>
                        </w:rPr>
                      </w:pPr>
                      <w:r w:rsidRPr="002E0A24">
                        <w:rPr>
                          <w:lang w:val="lv-LV" w:bidi="lv-LV"/>
                        </w:rPr>
                        <w:t>A2B (pārvaldes iestāde </w:t>
                      </w:r>
                      <w:r w:rsidR="00D7404D">
                        <w:rPr>
                          <w:lang w:val="lv-LV" w:bidi="lv-LV"/>
                        </w:rPr>
                        <w:t>-</w:t>
                      </w:r>
                      <w:r w:rsidRPr="002E0A24">
                        <w:rPr>
                          <w:lang w:val="lv-LV" w:bidi="lv-LV"/>
                        </w:rPr>
                        <w:t xml:space="preserve"> uzņēmums),</w:t>
                      </w:r>
                    </w:p>
                    <w:p w14:paraId="274B11C3" w14:textId="63F65018" w:rsidR="00D7404D" w:rsidRDefault="002E0A24" w:rsidP="00D7404D">
                      <w:pPr>
                        <w:numPr>
                          <w:ilvl w:val="0"/>
                          <w:numId w:val="1"/>
                        </w:numPr>
                        <w:jc w:val="both"/>
                        <w:rPr>
                          <w:lang w:val="lv-LV" w:bidi="lv-LV"/>
                        </w:rPr>
                      </w:pPr>
                      <w:r w:rsidRPr="002E0A24">
                        <w:rPr>
                          <w:lang w:val="lv-LV" w:bidi="lv-LV"/>
                        </w:rPr>
                        <w:t>A2C (pārvaldes iestāde </w:t>
                      </w:r>
                      <w:r w:rsidR="00D7404D">
                        <w:rPr>
                          <w:lang w:val="lv-LV" w:bidi="lv-LV"/>
                        </w:rPr>
                        <w:t>-</w:t>
                      </w:r>
                      <w:r w:rsidRPr="002E0A24">
                        <w:rPr>
                          <w:lang w:val="lv-LV" w:bidi="lv-LV"/>
                        </w:rPr>
                        <w:t xml:space="preserve"> iedzīvotājs)</w:t>
                      </w:r>
                      <w:r w:rsidR="00D7404D">
                        <w:rPr>
                          <w:lang w:val="lv-LV" w:bidi="lv-LV"/>
                        </w:rPr>
                        <w:t>,</w:t>
                      </w:r>
                    </w:p>
                    <w:p w14:paraId="0970008C" w14:textId="0D368006" w:rsidR="00D7404D" w:rsidRPr="00D7404D" w:rsidRDefault="00D7404D" w:rsidP="00D7404D">
                      <w:pPr>
                        <w:numPr>
                          <w:ilvl w:val="0"/>
                          <w:numId w:val="1"/>
                        </w:numPr>
                        <w:jc w:val="both"/>
                        <w:rPr>
                          <w:lang w:val="lv-LV" w:bidi="lv-LV"/>
                        </w:rPr>
                      </w:pPr>
                      <w:r>
                        <w:rPr>
                          <w:lang w:val="lv-LV" w:bidi="lv-LV"/>
                        </w:rPr>
                        <w:t>A2S (pārvaldes iestāde – sabiedrība (vispārējā labuma pakalpojumiem)).</w:t>
                      </w:r>
                    </w:p>
                    <w:p w14:paraId="7E898938" w14:textId="419AA46B" w:rsidR="002E0A24" w:rsidRDefault="002E0A24" w:rsidP="002E0A24">
                      <w:pPr>
                        <w:ind w:left="851"/>
                        <w:jc w:val="both"/>
                        <w:rPr>
                          <w:lang w:val="lv-LV" w:bidi="lv-LV"/>
                        </w:rPr>
                      </w:pPr>
                      <w:r w:rsidRPr="002E0A24">
                        <w:rPr>
                          <w:lang w:val="lv-LV" w:bidi="lv-LV"/>
                        </w:rPr>
                        <w:t xml:space="preserve">IKT risinājumu attīstība nevar būt pašmērķis, un viennozīmīgi nosakāma IKT lietotāju interešu prioritāte. </w:t>
                      </w:r>
                    </w:p>
                    <w:p w14:paraId="7E49DF68" w14:textId="77777777" w:rsidR="00080CC6" w:rsidRPr="00960BA3" w:rsidRDefault="00080CC6" w:rsidP="00080CC6">
                      <w:pPr>
                        <w:ind w:left="851"/>
                        <w:jc w:val="both"/>
                        <w:rPr>
                          <w:lang w:val="lv-LV"/>
                        </w:rPr>
                      </w:pPr>
                      <w:r w:rsidRPr="00960BA3">
                        <w:rPr>
                          <w:lang w:val="lv-LV"/>
                        </w:rPr>
                        <w:t>Visiem klientiem, neatkarīgi no viņu iespējām, atrašanās vietas vai apstākļiem, ir jābūt iespējai vienlīdzīgi piekļūt un izmantot piedāvātos risinājumus un pakalpojumus. Jānodrošina, ka neviena sabiedrības grupa netiek izslēgta no attīstības un priekšrocībām, ko sniedz tehnoloģijas un valsts pārvaldes iniciatīvas.</w:t>
                      </w:r>
                    </w:p>
                    <w:p w14:paraId="36F55EFD" w14:textId="43BABFB6" w:rsidR="00080CC6" w:rsidRPr="00F82897" w:rsidRDefault="00080CC6" w:rsidP="00080CC6">
                      <w:pPr>
                        <w:ind w:left="851"/>
                        <w:jc w:val="both"/>
                        <w:rPr>
                          <w:lang w:val="lv-LV" w:bidi="lv-LV"/>
                        </w:rPr>
                      </w:pPr>
                      <w:r w:rsidRPr="00960BA3">
                        <w:rPr>
                          <w:lang w:val="lv-LV" w:bidi="lv-LV"/>
                        </w:rPr>
                        <w:t>Iekļautība nodrošina, ka ikviens, neatkarīgi no sociālajām un ekonomiskajām atšķirībām vai iespējamiem šķēršļiem, var pilnībā izmantot jaunāko tehnoloģiju sniegtās iespējas piekļūt un izmantot publiskos pakalpojumus. Piekļūstamība garantē, ka cilvēki ar invaliditāti, vecāka gadagājuma iedzīvotāji un citas neaizsargātas grupas saņem tādu pašu piekļuves līmeni kā pārējie sabiedrības locekļi.</w:t>
                      </w:r>
                    </w:p>
                  </w:txbxContent>
                </v:textbox>
                <w10:wrap type="topAndBottom"/>
              </v:shape>
            </w:pict>
          </mc:Fallback>
        </mc:AlternateContent>
      </w:r>
      <w:r w:rsidR="002830F8" w:rsidRPr="00E2406D">
        <w:rPr>
          <w:rFonts w:ascii="Times New Roman" w:hAnsi="Times New Roman" w:cs="Times New Roman"/>
          <w:noProof/>
          <w:sz w:val="22"/>
          <w:szCs w:val="22"/>
          <w:lang w:val="lv-LV"/>
        </w:rPr>
        <w:drawing>
          <wp:anchor distT="0" distB="0" distL="114300" distR="114300" simplePos="0" relativeHeight="251658243" behindDoc="0" locked="0" layoutInCell="1" allowOverlap="1" wp14:anchorId="646568B2" wp14:editId="216E5147">
            <wp:simplePos x="0" y="0"/>
            <wp:positionH relativeFrom="margin">
              <wp:posOffset>88900</wp:posOffset>
            </wp:positionH>
            <wp:positionV relativeFrom="paragraph">
              <wp:posOffset>450850</wp:posOffset>
            </wp:positionV>
            <wp:extent cx="427990" cy="427990"/>
            <wp:effectExtent l="0" t="0" r="0" b="0"/>
            <wp:wrapSquare wrapText="bothSides"/>
            <wp:docPr id="760667177"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63F7178F">
        <w:rPr>
          <w:lang w:val="lv-LV"/>
        </w:rPr>
        <w:t>Paz</w:t>
      </w:r>
      <w:r w:rsidR="129C94BC">
        <w:rPr>
          <w:lang w:val="lv-LV"/>
        </w:rPr>
        <w:t>īt</w:t>
      </w:r>
      <w:r w:rsidR="63F7178F">
        <w:rPr>
          <w:lang w:val="lv-LV"/>
        </w:rPr>
        <w:t xml:space="preserve"> savu klientu</w:t>
      </w:r>
      <w:r w:rsidR="0F6E4D35">
        <w:rPr>
          <w:lang w:val="lv-LV"/>
        </w:rPr>
        <w:t xml:space="preserve"> un neatstāt nevienu novārtā</w:t>
      </w:r>
    </w:p>
    <w:p w14:paraId="71A78C8B" w14:textId="4F99FD99" w:rsidR="00960BA3" w:rsidRPr="00E40818" w:rsidRDefault="00960BA3" w:rsidP="004519A7">
      <w:pPr>
        <w:rPr>
          <w:rStyle w:val="Heading4Char"/>
          <w:i w:val="0"/>
          <w:iCs w:val="0"/>
          <w:lang w:val="lv-LV"/>
        </w:rPr>
      </w:pPr>
    </w:p>
    <w:p w14:paraId="4F1AF126" w14:textId="77777777" w:rsidR="00AD546F" w:rsidRPr="00096FC8" w:rsidRDefault="00AD546F" w:rsidP="00B531EA">
      <w:pPr>
        <w:jc w:val="both"/>
        <w:rPr>
          <w:lang w:val="lv-LV"/>
        </w:rPr>
      </w:pPr>
      <w:r w:rsidRPr="00096FC8">
        <w:rPr>
          <w:lang w:val="lv-LV"/>
        </w:rPr>
        <w:lastRenderedPageBreak/>
        <w:t>Piemērošanas vadlīnijas:</w:t>
      </w:r>
    </w:p>
    <w:p w14:paraId="43C7AFE0" w14:textId="2CE88F6B" w:rsidR="00960BA3" w:rsidRPr="00096FC8" w:rsidRDefault="00465932" w:rsidP="00B531EA">
      <w:pPr>
        <w:pStyle w:val="ListParagraph"/>
        <w:numPr>
          <w:ilvl w:val="0"/>
          <w:numId w:val="8"/>
        </w:numPr>
        <w:jc w:val="both"/>
        <w:rPr>
          <w:lang w:val="lv-LV"/>
        </w:rPr>
      </w:pPr>
      <w:r w:rsidRPr="00096FC8">
        <w:rPr>
          <w:lang w:val="lv-LV"/>
        </w:rPr>
        <w:t>Veiciet pakalpojumu un IKT risinājumu lietotāju pārdziļinātu izpēti, identificējot mērķa grupas, to pārstāvjus un viņu specifiskās vajadzības</w:t>
      </w:r>
      <w:r w:rsidR="00EB0798" w:rsidRPr="00096FC8">
        <w:rPr>
          <w:lang w:val="lv-LV"/>
        </w:rPr>
        <w:t xml:space="preserve">, tostarp, fiziskās, emocionālās un kulturālās </w:t>
      </w:r>
      <w:r w:rsidR="001F7DD0" w:rsidRPr="00096FC8">
        <w:rPr>
          <w:lang w:val="lv-LV"/>
        </w:rPr>
        <w:t>(rekomendēts piemērot dizaina domāšanas metodes)</w:t>
      </w:r>
    </w:p>
    <w:p w14:paraId="56C5CCD0" w14:textId="6FA14C7F" w:rsidR="00BF4A3A" w:rsidRPr="00096FC8" w:rsidRDefault="00BF4A3A" w:rsidP="00B531EA">
      <w:pPr>
        <w:pStyle w:val="ListParagraph"/>
        <w:numPr>
          <w:ilvl w:val="0"/>
          <w:numId w:val="8"/>
        </w:numPr>
        <w:jc w:val="both"/>
        <w:rPr>
          <w:lang w:val="lv-LV"/>
        </w:rPr>
      </w:pPr>
      <w:r w:rsidRPr="00096FC8">
        <w:rPr>
          <w:lang w:val="lv-LV"/>
        </w:rPr>
        <w:t xml:space="preserve">Definējiet pakalpojumu un IKT risinājumu lietotāju sagaidāmos ieguvumus no </w:t>
      </w:r>
      <w:proofErr w:type="spellStart"/>
      <w:r w:rsidRPr="00096FC8">
        <w:rPr>
          <w:lang w:val="lv-LV"/>
        </w:rPr>
        <w:t>mērķarhitektūras</w:t>
      </w:r>
      <w:proofErr w:type="spellEnd"/>
      <w:r w:rsidRPr="00096FC8">
        <w:rPr>
          <w:lang w:val="lv-LV"/>
        </w:rPr>
        <w:t xml:space="preserve"> īstenošanas</w:t>
      </w:r>
    </w:p>
    <w:p w14:paraId="30355842" w14:textId="024F28F3" w:rsidR="00095632" w:rsidRPr="00096FC8" w:rsidRDefault="00095632" w:rsidP="00B531EA">
      <w:pPr>
        <w:pStyle w:val="ListParagraph"/>
        <w:numPr>
          <w:ilvl w:val="0"/>
          <w:numId w:val="8"/>
        </w:numPr>
        <w:jc w:val="both"/>
        <w:rPr>
          <w:lang w:val="lv-LV"/>
        </w:rPr>
      </w:pPr>
      <w:r w:rsidRPr="00096FC8">
        <w:rPr>
          <w:lang w:val="lv-LV"/>
        </w:rPr>
        <w:t>Analizējot pakalpojum</w:t>
      </w:r>
      <w:r w:rsidR="00C6120B" w:rsidRPr="00096FC8">
        <w:rPr>
          <w:lang w:val="lv-LV"/>
        </w:rPr>
        <w:t>u</w:t>
      </w:r>
      <w:r w:rsidRPr="00096FC8">
        <w:rPr>
          <w:lang w:val="lv-LV"/>
        </w:rPr>
        <w:t xml:space="preserve"> sniegšanas procesu, jāņem vērā visi pakalpojuma posmi un saistītie pakalpojumi, lai nodrošinātu to pieejamību visiem lietotājiem, tostarp personām ar invaliditāti</w:t>
      </w:r>
    </w:p>
    <w:p w14:paraId="48AA6A99" w14:textId="1B2EA7F6" w:rsidR="00465932" w:rsidRPr="00096FC8" w:rsidRDefault="00B87237" w:rsidP="00B531EA">
      <w:pPr>
        <w:pStyle w:val="ListParagraph"/>
        <w:numPr>
          <w:ilvl w:val="0"/>
          <w:numId w:val="8"/>
        </w:numPr>
        <w:jc w:val="both"/>
        <w:rPr>
          <w:lang w:val="lv-LV"/>
        </w:rPr>
      </w:pPr>
      <w:r w:rsidRPr="00096FC8">
        <w:rPr>
          <w:lang w:val="lv-LV"/>
        </w:rPr>
        <w:t xml:space="preserve">Iesaistiet lietotājus pakalpojumu un IKT risinājumu </w:t>
      </w:r>
      <w:proofErr w:type="spellStart"/>
      <w:r w:rsidRPr="00096FC8">
        <w:rPr>
          <w:lang w:val="lv-LV"/>
        </w:rPr>
        <w:t>kop</w:t>
      </w:r>
      <w:r w:rsidR="00EB0798" w:rsidRPr="00096FC8">
        <w:rPr>
          <w:lang w:val="lv-LV"/>
        </w:rPr>
        <w:t>projektēšanā</w:t>
      </w:r>
      <w:proofErr w:type="spellEnd"/>
      <w:r w:rsidRPr="00096FC8">
        <w:rPr>
          <w:lang w:val="lv-LV"/>
        </w:rPr>
        <w:t xml:space="preserve"> </w:t>
      </w:r>
      <w:r w:rsidRPr="00096FC8">
        <w:rPr>
          <w:i/>
          <w:iCs/>
          <w:lang w:val="lv-LV"/>
        </w:rPr>
        <w:t xml:space="preserve">(no angļu val. – </w:t>
      </w:r>
      <w:proofErr w:type="spellStart"/>
      <w:r w:rsidRPr="00096FC8">
        <w:rPr>
          <w:i/>
          <w:iCs/>
          <w:lang w:val="lv-LV"/>
        </w:rPr>
        <w:t>co-creation</w:t>
      </w:r>
      <w:proofErr w:type="spellEnd"/>
      <w:r w:rsidRPr="00096FC8">
        <w:rPr>
          <w:i/>
          <w:iCs/>
          <w:lang w:val="lv-LV"/>
        </w:rPr>
        <w:t>)</w:t>
      </w:r>
      <w:r w:rsidR="00A52D22" w:rsidRPr="00096FC8">
        <w:rPr>
          <w:i/>
          <w:iCs/>
          <w:lang w:val="lv-LV"/>
        </w:rPr>
        <w:t xml:space="preserve">, </w:t>
      </w:r>
      <w:r w:rsidR="00A52D22" w:rsidRPr="00096FC8">
        <w:rPr>
          <w:lang w:val="lv-LV"/>
        </w:rPr>
        <w:t>t.sk., prototipu un risinājumu testēšanā</w:t>
      </w:r>
    </w:p>
    <w:p w14:paraId="3A973257" w14:textId="587B2DB2" w:rsidR="000120A1" w:rsidRPr="00096FC8" w:rsidRDefault="000120A1" w:rsidP="00B531EA">
      <w:pPr>
        <w:pStyle w:val="ListParagraph"/>
        <w:numPr>
          <w:ilvl w:val="0"/>
          <w:numId w:val="8"/>
        </w:numPr>
        <w:jc w:val="both"/>
        <w:rPr>
          <w:lang w:val="lv-LV"/>
        </w:rPr>
      </w:pPr>
      <w:r w:rsidRPr="00096FC8">
        <w:rPr>
          <w:lang w:val="lv-LV"/>
        </w:rPr>
        <w:t>Iesaistiet pakalpojumu un IKT risinājumu dizainerus un lietotāju pieredzes (UX) dizainerus, lai veiktu lietotāju izpēti, kartētu pieredzi un izstrādātu pakalpojumu un IKT risinājumus tā, lai apmierinātu visu lietotāju vajadzības.</w:t>
      </w:r>
    </w:p>
    <w:p w14:paraId="224D89EC" w14:textId="77777777" w:rsidR="00E203F8" w:rsidRPr="00096FC8" w:rsidRDefault="48415DD7" w:rsidP="00B531EA">
      <w:pPr>
        <w:pStyle w:val="ListParagraph"/>
        <w:numPr>
          <w:ilvl w:val="0"/>
          <w:numId w:val="8"/>
        </w:numPr>
        <w:jc w:val="both"/>
        <w:rPr>
          <w:lang w:val="lv-LV"/>
        </w:rPr>
      </w:pPr>
      <w:commentRangeStart w:id="7"/>
      <w:commentRangeStart w:id="8"/>
      <w:r w:rsidRPr="3D3736F2">
        <w:rPr>
          <w:lang w:val="lv-LV"/>
        </w:rPr>
        <w:t xml:space="preserve">Definējiet pakalpojumu un IKT risinājumu lietojamības un </w:t>
      </w:r>
      <w:proofErr w:type="spellStart"/>
      <w:r w:rsidRPr="3D3736F2">
        <w:rPr>
          <w:lang w:val="lv-LV"/>
        </w:rPr>
        <w:t>piekļūstamības</w:t>
      </w:r>
      <w:proofErr w:type="spellEnd"/>
      <w:r w:rsidRPr="3D3736F2">
        <w:rPr>
          <w:lang w:val="lv-LV"/>
        </w:rPr>
        <w:t xml:space="preserve"> prasības un paredziet to īstenošanu </w:t>
      </w:r>
      <w:proofErr w:type="spellStart"/>
      <w:r w:rsidRPr="3D3736F2">
        <w:rPr>
          <w:lang w:val="lv-LV"/>
        </w:rPr>
        <w:t>mērķarhitektūras</w:t>
      </w:r>
      <w:proofErr w:type="spellEnd"/>
      <w:r w:rsidRPr="3D3736F2">
        <w:rPr>
          <w:lang w:val="lv-LV"/>
        </w:rPr>
        <w:t xml:space="preserve"> risinājumos</w:t>
      </w:r>
      <w:commentRangeEnd w:id="7"/>
      <w:r w:rsidR="00B87237">
        <w:rPr>
          <w:rStyle w:val="CommentReference"/>
        </w:rPr>
        <w:commentReference w:id="7"/>
      </w:r>
      <w:commentRangeEnd w:id="8"/>
      <w:r w:rsidR="00951C37">
        <w:rPr>
          <w:rStyle w:val="CommentReference"/>
        </w:rPr>
        <w:commentReference w:id="8"/>
      </w:r>
    </w:p>
    <w:p w14:paraId="5AFF3001" w14:textId="72B62BA4" w:rsidR="00E203F8" w:rsidRPr="00096FC8" w:rsidRDefault="00E203F8" w:rsidP="00B531EA">
      <w:pPr>
        <w:pStyle w:val="ListParagraph"/>
        <w:numPr>
          <w:ilvl w:val="0"/>
          <w:numId w:val="8"/>
        </w:numPr>
        <w:jc w:val="both"/>
        <w:rPr>
          <w:bCs/>
          <w:lang w:val="lv-LV"/>
        </w:rPr>
      </w:pPr>
      <w:r w:rsidRPr="00096FC8">
        <w:rPr>
          <w:bCs/>
          <w:lang w:val="lv-LV"/>
        </w:rPr>
        <w:t xml:space="preserve">Veidojot IKT </w:t>
      </w:r>
      <w:r w:rsidR="00140953" w:rsidRPr="00096FC8">
        <w:rPr>
          <w:bCs/>
          <w:lang w:val="lv-LV"/>
        </w:rPr>
        <w:t>risinājumus</w:t>
      </w:r>
      <w:r w:rsidRPr="00096FC8">
        <w:rPr>
          <w:bCs/>
          <w:lang w:val="lv-LV"/>
        </w:rPr>
        <w:t xml:space="preserve">, kurai plānota publiskā </w:t>
      </w:r>
      <w:proofErr w:type="spellStart"/>
      <w:r w:rsidRPr="00096FC8">
        <w:rPr>
          <w:bCs/>
          <w:lang w:val="lv-LV"/>
        </w:rPr>
        <w:t>saskarne</w:t>
      </w:r>
      <w:proofErr w:type="spellEnd"/>
      <w:r w:rsidRPr="00096FC8">
        <w:rPr>
          <w:bCs/>
          <w:lang w:val="lv-LV"/>
        </w:rPr>
        <w:t xml:space="preserve">, nodrošiniet, ka to izstrādes process tiek veikts atbilstoši - LVS ISO 9241-210 “Cilvēka un sistēmas mijiedarbības ergonomika. 210. daļai: </w:t>
      </w:r>
      <w:proofErr w:type="spellStart"/>
      <w:r w:rsidRPr="00096FC8">
        <w:rPr>
          <w:bCs/>
          <w:lang w:val="lv-LV"/>
        </w:rPr>
        <w:t>Cilvēkorientēta</w:t>
      </w:r>
      <w:proofErr w:type="spellEnd"/>
      <w:r w:rsidRPr="00096FC8">
        <w:rPr>
          <w:bCs/>
          <w:lang w:val="lv-LV"/>
        </w:rPr>
        <w:t xml:space="preserve"> interaktīvo sistēmu projektēšana”, t.i.:</w:t>
      </w:r>
    </w:p>
    <w:p w14:paraId="0AE17F1E" w14:textId="77777777"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projektēšanas pamatā ir precīzi formulēta izpratne par lietotājiem, uzdevumiem un vidi;</w:t>
      </w:r>
    </w:p>
    <w:p w14:paraId="07D652D5" w14:textId="77777777"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lietotāji ir iesaistīti projektēšanas un izstrādes procesā;</w:t>
      </w:r>
    </w:p>
    <w:p w14:paraId="443459F2" w14:textId="77777777"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 xml:space="preserve">projektēšanu virza un uzlabo </w:t>
      </w:r>
      <w:proofErr w:type="spellStart"/>
      <w:r w:rsidRPr="00096FC8">
        <w:rPr>
          <w:rFonts w:cs="Arial"/>
          <w:lang w:val="lv-LV"/>
        </w:rPr>
        <w:t>lietotājorientēta</w:t>
      </w:r>
      <w:proofErr w:type="spellEnd"/>
      <w:r w:rsidRPr="00096FC8">
        <w:rPr>
          <w:rFonts w:cs="Arial"/>
          <w:lang w:val="lv-LV"/>
        </w:rPr>
        <w:t xml:space="preserve"> izvērtēšana;</w:t>
      </w:r>
    </w:p>
    <w:p w14:paraId="276B64F8" w14:textId="77777777"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process ir iteratīvs;</w:t>
      </w:r>
    </w:p>
    <w:p w14:paraId="5E0D3F94" w14:textId="77777777"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projektēšana attiecas uz visu lietotāja pieredzi;</w:t>
      </w:r>
    </w:p>
    <w:p w14:paraId="0EAE97B8" w14:textId="348900C8" w:rsidR="00E203F8" w:rsidRPr="00096FC8" w:rsidRDefault="00E203F8" w:rsidP="00B531EA">
      <w:pPr>
        <w:pStyle w:val="ListParagraph"/>
        <w:numPr>
          <w:ilvl w:val="1"/>
          <w:numId w:val="8"/>
        </w:numPr>
        <w:spacing w:after="0" w:line="240" w:lineRule="auto"/>
        <w:jc w:val="both"/>
        <w:rPr>
          <w:rFonts w:cs="Arial"/>
          <w:lang w:val="lv-LV"/>
        </w:rPr>
      </w:pPr>
      <w:r w:rsidRPr="00096FC8">
        <w:rPr>
          <w:rFonts w:cs="Arial"/>
          <w:lang w:val="lv-LV"/>
        </w:rPr>
        <w:t>projektēšanas komandai piemīt daudznozaru prasmes un skatījums.</w:t>
      </w:r>
    </w:p>
    <w:p w14:paraId="4CFD1851" w14:textId="71437976" w:rsidR="00140953" w:rsidRPr="00096FC8" w:rsidRDefault="00140953" w:rsidP="00B531EA">
      <w:pPr>
        <w:pStyle w:val="ListParagraph"/>
        <w:numPr>
          <w:ilvl w:val="0"/>
          <w:numId w:val="8"/>
        </w:numPr>
        <w:jc w:val="both"/>
        <w:rPr>
          <w:bCs/>
          <w:lang w:val="lv-LV"/>
        </w:rPr>
      </w:pPr>
      <w:r w:rsidRPr="00096FC8">
        <w:rPr>
          <w:bCs/>
          <w:lang w:val="lv-LV"/>
        </w:rPr>
        <w:t>Veidojot IKT risinājumus,</w:t>
      </w:r>
      <w:r w:rsidR="007F7DB2" w:rsidRPr="00096FC8">
        <w:rPr>
          <w:bCs/>
          <w:lang w:val="lv-LV"/>
        </w:rPr>
        <w:t xml:space="preserve"> </w:t>
      </w:r>
      <w:r w:rsidRPr="00096FC8">
        <w:rPr>
          <w:bCs/>
          <w:lang w:val="lv-LV"/>
        </w:rPr>
        <w:t xml:space="preserve">kuriem plānota publiskā </w:t>
      </w:r>
      <w:proofErr w:type="spellStart"/>
      <w:r w:rsidRPr="00096FC8">
        <w:rPr>
          <w:bCs/>
          <w:lang w:val="lv-LV"/>
        </w:rPr>
        <w:t>saskarne</w:t>
      </w:r>
      <w:proofErr w:type="spellEnd"/>
      <w:r w:rsidRPr="00096FC8">
        <w:rPr>
          <w:bCs/>
          <w:lang w:val="lv-LV"/>
        </w:rPr>
        <w:t>, nodrošiniet, lai e-pakalpojumi būtu pieejami visiem iedzīvotājiem, tostarp cilvēkiem ar invaliditāti, veciem cilvēkiem un citām nelabvēlīgā situācijā esošu iedzīvotāju grupām saskaņā ar Eiropas un Latvijas normatīviem:</w:t>
      </w:r>
    </w:p>
    <w:p w14:paraId="249ACB5F" w14:textId="77777777" w:rsidR="00140953" w:rsidRPr="00096FC8" w:rsidRDefault="00140953" w:rsidP="76EC17A0">
      <w:pPr>
        <w:pStyle w:val="ListParagraph"/>
        <w:numPr>
          <w:ilvl w:val="1"/>
          <w:numId w:val="8"/>
        </w:numPr>
        <w:jc w:val="both"/>
      </w:pPr>
      <w:r w:rsidRPr="76EC17A0">
        <w:t xml:space="preserve">- </w:t>
      </w:r>
      <w:proofErr w:type="spellStart"/>
      <w:r w:rsidRPr="76EC17A0">
        <w:t>Eiropas</w:t>
      </w:r>
      <w:proofErr w:type="spellEnd"/>
      <w:r w:rsidRPr="76EC17A0">
        <w:t xml:space="preserve"> </w:t>
      </w:r>
      <w:proofErr w:type="spellStart"/>
      <w:r w:rsidRPr="76EC17A0">
        <w:t>Parlamenta</w:t>
      </w:r>
      <w:proofErr w:type="spellEnd"/>
      <w:r w:rsidRPr="76EC17A0">
        <w:t xml:space="preserve"> un </w:t>
      </w:r>
      <w:proofErr w:type="spellStart"/>
      <w:r w:rsidRPr="76EC17A0">
        <w:t>Padomes</w:t>
      </w:r>
      <w:proofErr w:type="spellEnd"/>
      <w:r w:rsidRPr="76EC17A0">
        <w:t xml:space="preserve"> 2016. gada 26. </w:t>
      </w:r>
      <w:proofErr w:type="spellStart"/>
      <w:r w:rsidRPr="76EC17A0">
        <w:t>oktobra</w:t>
      </w:r>
      <w:proofErr w:type="spellEnd"/>
      <w:r w:rsidRPr="76EC17A0">
        <w:t xml:space="preserve"> </w:t>
      </w:r>
      <w:proofErr w:type="spellStart"/>
      <w:r w:rsidRPr="76EC17A0">
        <w:t>direktīva</w:t>
      </w:r>
      <w:proofErr w:type="spellEnd"/>
      <w:r w:rsidRPr="76EC17A0">
        <w:t xml:space="preserve"> (ES) 2016/2102 par </w:t>
      </w:r>
      <w:proofErr w:type="spellStart"/>
      <w:r w:rsidRPr="76EC17A0">
        <w:t>publiskā</w:t>
      </w:r>
      <w:proofErr w:type="spellEnd"/>
      <w:r w:rsidRPr="76EC17A0">
        <w:t xml:space="preserve"> </w:t>
      </w:r>
      <w:proofErr w:type="spellStart"/>
      <w:r w:rsidRPr="76EC17A0">
        <w:t>sektora</w:t>
      </w:r>
      <w:proofErr w:type="spellEnd"/>
      <w:r w:rsidRPr="76EC17A0">
        <w:t xml:space="preserve"> </w:t>
      </w:r>
      <w:proofErr w:type="spellStart"/>
      <w:r w:rsidRPr="76EC17A0">
        <w:t>struktūru</w:t>
      </w:r>
      <w:proofErr w:type="spellEnd"/>
      <w:r w:rsidRPr="76EC17A0">
        <w:t xml:space="preserve"> </w:t>
      </w:r>
      <w:proofErr w:type="spellStart"/>
      <w:r w:rsidRPr="76EC17A0">
        <w:t>tīmekļvietņu</w:t>
      </w:r>
      <w:proofErr w:type="spellEnd"/>
      <w:r w:rsidRPr="76EC17A0">
        <w:t xml:space="preserve"> un </w:t>
      </w:r>
      <w:proofErr w:type="spellStart"/>
      <w:r w:rsidRPr="76EC17A0">
        <w:t>mobilo</w:t>
      </w:r>
      <w:proofErr w:type="spellEnd"/>
      <w:r w:rsidRPr="76EC17A0">
        <w:t xml:space="preserve"> </w:t>
      </w:r>
      <w:proofErr w:type="spellStart"/>
      <w:r w:rsidRPr="76EC17A0">
        <w:t>lietotņu</w:t>
      </w:r>
      <w:proofErr w:type="spellEnd"/>
      <w:r w:rsidRPr="76EC17A0">
        <w:t xml:space="preserve"> </w:t>
      </w:r>
      <w:proofErr w:type="spellStart"/>
      <w:r w:rsidRPr="76EC17A0">
        <w:t>piekļūstamību</w:t>
      </w:r>
      <w:proofErr w:type="spellEnd"/>
      <w:r w:rsidRPr="76EC17A0">
        <w:t xml:space="preserve"> (</w:t>
      </w:r>
      <w:hyperlink r:id="rId21">
        <w:r w:rsidRPr="76EC17A0">
          <w:rPr>
            <w:rStyle w:val="Hyperlink"/>
          </w:rPr>
          <w:t>http://eur-lex.europa.eu/legal-content/EN-LV/TXT/?uri=CELEX:32016L2102&amp;from=EN</w:t>
        </w:r>
      </w:hyperlink>
      <w:r w:rsidRPr="76EC17A0">
        <w:t xml:space="preserve">).  </w:t>
      </w:r>
    </w:p>
    <w:p w14:paraId="6178BD39" w14:textId="77777777" w:rsidR="00140953" w:rsidRPr="00096FC8" w:rsidRDefault="00140953" w:rsidP="00B531EA">
      <w:pPr>
        <w:pStyle w:val="ListParagraph"/>
        <w:numPr>
          <w:ilvl w:val="1"/>
          <w:numId w:val="8"/>
        </w:numPr>
        <w:jc w:val="both"/>
        <w:rPr>
          <w:bCs/>
          <w:lang w:val="lv-LV"/>
        </w:rPr>
      </w:pPr>
      <w:r w:rsidRPr="00096FC8">
        <w:rPr>
          <w:bCs/>
          <w:lang w:val="lv-LV"/>
        </w:rPr>
        <w:lastRenderedPageBreak/>
        <w:t xml:space="preserve">- LVS EN 301549:2017 ""IKT produktu un pakalpojumu </w:t>
      </w:r>
      <w:proofErr w:type="spellStart"/>
      <w:r w:rsidRPr="00096FC8">
        <w:rPr>
          <w:bCs/>
          <w:lang w:val="lv-LV"/>
        </w:rPr>
        <w:t>piekļūstamības</w:t>
      </w:r>
      <w:proofErr w:type="spellEnd"/>
      <w:r w:rsidRPr="00096FC8">
        <w:rPr>
          <w:bCs/>
          <w:lang w:val="lv-LV"/>
        </w:rPr>
        <w:t xml:space="preserve"> prasības Eiropas publiskajos iepirkumos"" (</w:t>
      </w:r>
      <w:hyperlink r:id="rId22" w:history="1">
        <w:r w:rsidRPr="00096FC8">
          <w:rPr>
            <w:rStyle w:val="Hyperlink"/>
            <w:bCs/>
            <w:lang w:val="lv-LV"/>
          </w:rPr>
          <w:t>https://www.lvs.lv/lv/products/133571</w:t>
        </w:r>
      </w:hyperlink>
      <w:r w:rsidRPr="00096FC8">
        <w:rPr>
          <w:bCs/>
          <w:lang w:val="lv-LV"/>
        </w:rPr>
        <w:t xml:space="preserve">),  </w:t>
      </w:r>
    </w:p>
    <w:p w14:paraId="70001902" w14:textId="77777777" w:rsidR="00140953" w:rsidRPr="00096FC8" w:rsidRDefault="00140953" w:rsidP="00B531EA">
      <w:pPr>
        <w:pStyle w:val="ListParagraph"/>
        <w:numPr>
          <w:ilvl w:val="1"/>
          <w:numId w:val="8"/>
        </w:numPr>
        <w:jc w:val="both"/>
        <w:rPr>
          <w:bCs/>
          <w:lang w:val="lv-LV"/>
        </w:rPr>
      </w:pPr>
      <w:r w:rsidRPr="00096FC8">
        <w:rPr>
          <w:bCs/>
          <w:lang w:val="lv-LV"/>
        </w:rPr>
        <w:t xml:space="preserve">Piezīme: standarts tiešā veidā izmanto </w:t>
      </w:r>
      <w:proofErr w:type="spellStart"/>
      <w:r w:rsidRPr="00096FC8">
        <w:rPr>
          <w:bCs/>
          <w:i/>
          <w:lang w:val="lv-LV"/>
        </w:rPr>
        <w:t>Web</w:t>
      </w:r>
      <w:proofErr w:type="spellEnd"/>
      <w:r w:rsidRPr="00096FC8">
        <w:rPr>
          <w:bCs/>
          <w:i/>
          <w:lang w:val="lv-LV"/>
        </w:rPr>
        <w:t xml:space="preserve"> </w:t>
      </w:r>
      <w:proofErr w:type="spellStart"/>
      <w:r w:rsidRPr="00096FC8">
        <w:rPr>
          <w:bCs/>
          <w:i/>
          <w:lang w:val="lv-LV"/>
        </w:rPr>
        <w:t>Content</w:t>
      </w:r>
      <w:proofErr w:type="spellEnd"/>
      <w:r w:rsidRPr="00096FC8">
        <w:rPr>
          <w:bCs/>
          <w:i/>
          <w:lang w:val="lv-LV"/>
        </w:rPr>
        <w:t xml:space="preserve"> </w:t>
      </w:r>
      <w:proofErr w:type="spellStart"/>
      <w:r w:rsidRPr="00096FC8">
        <w:rPr>
          <w:bCs/>
          <w:i/>
          <w:lang w:val="lv-LV"/>
        </w:rPr>
        <w:t>Accessibility</w:t>
      </w:r>
      <w:proofErr w:type="spellEnd"/>
      <w:r w:rsidRPr="00096FC8">
        <w:rPr>
          <w:bCs/>
          <w:i/>
          <w:lang w:val="lv-LV"/>
        </w:rPr>
        <w:t xml:space="preserve"> </w:t>
      </w:r>
      <w:proofErr w:type="spellStart"/>
      <w:r w:rsidRPr="00096FC8">
        <w:rPr>
          <w:bCs/>
          <w:i/>
          <w:lang w:val="lv-LV"/>
        </w:rPr>
        <w:t>Guidelines</w:t>
      </w:r>
      <w:proofErr w:type="spellEnd"/>
      <w:r w:rsidRPr="00096FC8">
        <w:rPr>
          <w:bCs/>
          <w:i/>
          <w:lang w:val="lv-LV"/>
        </w:rPr>
        <w:t xml:space="preserve"> 2.</w:t>
      </w:r>
      <w:r w:rsidRPr="00096FC8">
        <w:rPr>
          <w:bCs/>
          <w:lang w:val="lv-LV"/>
        </w:rPr>
        <w:t>0 vadlīnijas (</w:t>
      </w:r>
      <w:hyperlink r:id="rId23" w:history="1">
        <w:r w:rsidRPr="00096FC8">
          <w:rPr>
            <w:rStyle w:val="Hyperlink"/>
            <w:bCs/>
            <w:lang w:val="lv-LV"/>
          </w:rPr>
          <w:t>https://www.w3.org/TR/WCAG20/</w:t>
        </w:r>
      </w:hyperlink>
      <w:r w:rsidRPr="00096FC8">
        <w:rPr>
          <w:bCs/>
          <w:lang w:val="lv-LV"/>
        </w:rPr>
        <w:t xml:space="preserve">) </w:t>
      </w:r>
    </w:p>
    <w:p w14:paraId="145D36E1" w14:textId="65CD481A" w:rsidR="007F7DB2" w:rsidRPr="00096FC8" w:rsidRDefault="007F7DB2" w:rsidP="00B531EA">
      <w:pPr>
        <w:pStyle w:val="ListParagraph"/>
        <w:numPr>
          <w:ilvl w:val="0"/>
          <w:numId w:val="8"/>
        </w:numPr>
        <w:jc w:val="both"/>
        <w:rPr>
          <w:bCs/>
          <w:lang w:val="lv-LV"/>
        </w:rPr>
      </w:pPr>
      <w:r w:rsidRPr="00096FC8">
        <w:rPr>
          <w:bCs/>
          <w:lang w:val="lv-LV"/>
        </w:rPr>
        <w:t xml:space="preserve">Paredziet atgriezeniskās saites sniegšanas mehānismus. Sniedziet lietotājiem iespēju sniegt atsauksmes, ziņot par problēmām un ierosināt pakalpojumu un IKT risinājumu uzlabojumus. </w:t>
      </w:r>
    </w:p>
    <w:p w14:paraId="3945C57E" w14:textId="14378033" w:rsidR="00E203F8" w:rsidRPr="00096FC8" w:rsidRDefault="00345DA6" w:rsidP="00B531EA">
      <w:pPr>
        <w:pStyle w:val="ListParagraph"/>
        <w:numPr>
          <w:ilvl w:val="0"/>
          <w:numId w:val="8"/>
        </w:numPr>
        <w:jc w:val="both"/>
        <w:rPr>
          <w:lang w:val="lv-LV"/>
        </w:rPr>
      </w:pPr>
      <w:r w:rsidRPr="00096FC8">
        <w:rPr>
          <w:lang w:val="lv-LV"/>
        </w:rPr>
        <w:t xml:space="preserve">Nodrošiniet vienotu klienta atbalsta līmeni visiem pakalpojumiem pašapkalpošanās tīmekļvietnēs </w:t>
      </w:r>
    </w:p>
    <w:p w14:paraId="2071EF44" w14:textId="77777777" w:rsidR="00E924EA" w:rsidRPr="001D50E4" w:rsidRDefault="00E924EA" w:rsidP="00E924EA">
      <w:pPr>
        <w:rPr>
          <w:lang w:val="lv-LV"/>
        </w:rPr>
      </w:pPr>
      <w:r w:rsidRPr="001D50E4">
        <w:rPr>
          <w:lang w:val="lv-LV"/>
        </w:rPr>
        <w:t>Novērtējuma vadlīnijas:</w:t>
      </w:r>
    </w:p>
    <w:p w14:paraId="0D53B8FF" w14:textId="189325B0" w:rsidR="00140953" w:rsidRPr="003D1368" w:rsidRDefault="00870468" w:rsidP="00D5520A">
      <w:pPr>
        <w:pStyle w:val="ListParagraph"/>
        <w:numPr>
          <w:ilvl w:val="0"/>
          <w:numId w:val="8"/>
        </w:numPr>
        <w:rPr>
          <w:lang w:val="lv-LV"/>
        </w:rPr>
      </w:pPr>
      <w:r w:rsidRPr="003D1368">
        <w:rPr>
          <w:lang w:val="lv-LV"/>
        </w:rPr>
        <w:t>VPK</w:t>
      </w:r>
      <w:r w:rsidR="00D774EE">
        <w:rPr>
          <w:lang w:val="lv-LV"/>
        </w:rPr>
        <w:t>9</w:t>
      </w:r>
      <w:r w:rsidRPr="003D1368">
        <w:rPr>
          <w:lang w:val="lv-LV"/>
        </w:rPr>
        <w:t xml:space="preserve">. </w:t>
      </w:r>
      <w:r w:rsidR="00003336" w:rsidRPr="003D1368">
        <w:rPr>
          <w:lang w:val="lv-LV"/>
        </w:rPr>
        <w:t xml:space="preserve">Vai </w:t>
      </w:r>
      <w:proofErr w:type="spellStart"/>
      <w:r w:rsidR="00003336" w:rsidRPr="003D1368">
        <w:rPr>
          <w:lang w:val="lv-LV"/>
        </w:rPr>
        <w:t>m</w:t>
      </w:r>
      <w:r w:rsidR="00140953" w:rsidRPr="003D1368">
        <w:rPr>
          <w:lang w:val="lv-LV"/>
        </w:rPr>
        <w:t>ērķarhitektūr</w:t>
      </w:r>
      <w:r w:rsidR="00AE73BB" w:rsidRPr="003D1368">
        <w:rPr>
          <w:lang w:val="lv-LV"/>
        </w:rPr>
        <w:t>ā</w:t>
      </w:r>
      <w:proofErr w:type="spellEnd"/>
      <w:r w:rsidR="00140953" w:rsidRPr="003D1368">
        <w:rPr>
          <w:lang w:val="lv-LV"/>
        </w:rPr>
        <w:t xml:space="preserve"> ir apzinātas galvenās pakalpojumu un IKT risinājumu lietotāju grupas un to vajadzības</w:t>
      </w:r>
      <w:r w:rsidR="004E5320" w:rsidRPr="003D1368">
        <w:rPr>
          <w:lang w:val="lv-LV"/>
        </w:rPr>
        <w:t xml:space="preserve"> (piemēram, SVID analīzes formā)</w:t>
      </w:r>
      <w:r w:rsidR="00003336" w:rsidRPr="003D1368">
        <w:rPr>
          <w:lang w:val="lv-LV"/>
        </w:rPr>
        <w:t>?</w:t>
      </w:r>
    </w:p>
    <w:p w14:paraId="5A74466F" w14:textId="50948A2D" w:rsidR="00140953" w:rsidRPr="003D1368" w:rsidRDefault="703556A7" w:rsidP="00D5520A">
      <w:pPr>
        <w:pStyle w:val="ListParagraph"/>
        <w:numPr>
          <w:ilvl w:val="0"/>
          <w:numId w:val="8"/>
        </w:numPr>
        <w:rPr>
          <w:lang w:val="lv-LV"/>
        </w:rPr>
      </w:pPr>
      <w:commentRangeStart w:id="9"/>
      <w:commentRangeStart w:id="10"/>
      <w:r w:rsidRPr="3D3736F2">
        <w:rPr>
          <w:lang w:val="lv-LV"/>
        </w:rPr>
        <w:t>VPK</w:t>
      </w:r>
      <w:r w:rsidR="00D774EE">
        <w:rPr>
          <w:lang w:val="lv-LV"/>
        </w:rPr>
        <w:t>10</w:t>
      </w:r>
      <w:r w:rsidRPr="3D3736F2">
        <w:rPr>
          <w:lang w:val="lv-LV"/>
        </w:rPr>
        <w:t xml:space="preserve">. </w:t>
      </w:r>
      <w:r w:rsidR="6A9F4315" w:rsidRPr="3D3736F2">
        <w:rPr>
          <w:lang w:val="lv-LV"/>
        </w:rPr>
        <w:t xml:space="preserve">Vai </w:t>
      </w:r>
      <w:proofErr w:type="spellStart"/>
      <w:r w:rsidR="6A9F4315" w:rsidRPr="3D3736F2">
        <w:rPr>
          <w:lang w:val="lv-LV"/>
        </w:rPr>
        <w:t>m</w:t>
      </w:r>
      <w:r w:rsidR="409864A3" w:rsidRPr="3D3736F2">
        <w:rPr>
          <w:lang w:val="lv-LV"/>
        </w:rPr>
        <w:t>ērķarhitektūr</w:t>
      </w:r>
      <w:r w:rsidR="0077306A">
        <w:rPr>
          <w:lang w:val="lv-LV"/>
        </w:rPr>
        <w:t>a</w:t>
      </w:r>
      <w:r w:rsidR="409864A3" w:rsidRPr="3D3736F2">
        <w:rPr>
          <w:lang w:val="lv-LV"/>
        </w:rPr>
        <w:t>s</w:t>
      </w:r>
      <w:proofErr w:type="spellEnd"/>
      <w:r w:rsidR="0069687F">
        <w:rPr>
          <w:lang w:val="lv-LV"/>
        </w:rPr>
        <w:t xml:space="preserve"> IKT risinājumu</w:t>
      </w:r>
      <w:r w:rsidR="409864A3" w:rsidRPr="3D3736F2">
        <w:rPr>
          <w:lang w:val="lv-LV"/>
        </w:rPr>
        <w:t xml:space="preserve"> izstrādē vai īstenošanā ir paredzēts iesaistīt pakalpojumu un IKT risinājumu faktiskos </w:t>
      </w:r>
      <w:r w:rsidR="7CFC0F92" w:rsidRPr="3D3736F2">
        <w:rPr>
          <w:lang w:val="lv-LV"/>
        </w:rPr>
        <w:t>lietotājus</w:t>
      </w:r>
      <w:r w:rsidR="409864A3" w:rsidRPr="3D3736F2">
        <w:rPr>
          <w:lang w:val="lv-LV"/>
        </w:rPr>
        <w:t xml:space="preserve"> vai to pārstāvjus</w:t>
      </w:r>
      <w:r w:rsidR="6A9F4315" w:rsidRPr="3D3736F2">
        <w:rPr>
          <w:lang w:val="lv-LV"/>
        </w:rPr>
        <w:t>?</w:t>
      </w:r>
      <w:commentRangeEnd w:id="9"/>
      <w:r w:rsidR="00870468">
        <w:rPr>
          <w:rStyle w:val="CommentReference"/>
        </w:rPr>
        <w:commentReference w:id="9"/>
      </w:r>
      <w:commentRangeEnd w:id="10"/>
      <w:r w:rsidR="00951C37">
        <w:rPr>
          <w:rStyle w:val="CommentReference"/>
        </w:rPr>
        <w:commentReference w:id="10"/>
      </w:r>
    </w:p>
    <w:p w14:paraId="303EDE70" w14:textId="6D85BCBB" w:rsidR="00363A6C" w:rsidRPr="003D1368" w:rsidRDefault="00870468" w:rsidP="00D5520A">
      <w:pPr>
        <w:pStyle w:val="ListParagraph"/>
        <w:numPr>
          <w:ilvl w:val="0"/>
          <w:numId w:val="8"/>
        </w:numPr>
        <w:rPr>
          <w:lang w:val="lv-LV"/>
        </w:rPr>
      </w:pPr>
      <w:r w:rsidRPr="003D1368">
        <w:rPr>
          <w:lang w:val="lv-LV"/>
        </w:rPr>
        <w:t>VPK</w:t>
      </w:r>
      <w:r w:rsidR="00D774EE">
        <w:rPr>
          <w:lang w:val="lv-LV"/>
        </w:rPr>
        <w:t>11</w:t>
      </w:r>
      <w:r w:rsidRPr="003D1368">
        <w:rPr>
          <w:lang w:val="lv-LV"/>
        </w:rPr>
        <w:t xml:space="preserve">. </w:t>
      </w:r>
      <w:r w:rsidR="00363A6C" w:rsidRPr="003D1368">
        <w:rPr>
          <w:lang w:val="lv-LV"/>
        </w:rPr>
        <w:t xml:space="preserve">Vai ir skaidri definēti lietotāju sagaidāmie ieguvumi no </w:t>
      </w:r>
      <w:proofErr w:type="spellStart"/>
      <w:r w:rsidR="00363A6C" w:rsidRPr="003D1368">
        <w:rPr>
          <w:lang w:val="lv-LV"/>
        </w:rPr>
        <w:t>mērķarhitektūras</w:t>
      </w:r>
      <w:proofErr w:type="spellEnd"/>
      <w:r w:rsidR="00363A6C" w:rsidRPr="003D1368">
        <w:rPr>
          <w:lang w:val="lv-LV"/>
        </w:rPr>
        <w:t xml:space="preserve"> īstenošanas</w:t>
      </w:r>
      <w:r w:rsidR="007E15D3" w:rsidRPr="003D1368">
        <w:rPr>
          <w:lang w:val="lv-LV"/>
        </w:rPr>
        <w:t>, piemēram, mērķu aprakstā?</w:t>
      </w:r>
    </w:p>
    <w:p w14:paraId="1989E71F" w14:textId="3EA650B6" w:rsidR="00140953" w:rsidRPr="003D1368" w:rsidRDefault="00870468" w:rsidP="00D5520A">
      <w:pPr>
        <w:pStyle w:val="ListParagraph"/>
        <w:numPr>
          <w:ilvl w:val="0"/>
          <w:numId w:val="8"/>
        </w:numPr>
        <w:rPr>
          <w:lang w:val="lv-LV"/>
        </w:rPr>
      </w:pPr>
      <w:r w:rsidRPr="003D1368">
        <w:rPr>
          <w:lang w:val="lv-LV"/>
        </w:rPr>
        <w:t>VPK</w:t>
      </w:r>
      <w:r w:rsidR="00D774EE">
        <w:rPr>
          <w:lang w:val="lv-LV"/>
        </w:rPr>
        <w:t>12</w:t>
      </w:r>
      <w:r w:rsidRPr="003D1368">
        <w:rPr>
          <w:lang w:val="lv-LV"/>
        </w:rPr>
        <w:t xml:space="preserve">. </w:t>
      </w:r>
      <w:r w:rsidR="00003336" w:rsidRPr="003D1368">
        <w:rPr>
          <w:lang w:val="lv-LV"/>
        </w:rPr>
        <w:t xml:space="preserve">Vai </w:t>
      </w:r>
      <w:proofErr w:type="spellStart"/>
      <w:r w:rsidR="00003336" w:rsidRPr="003D1368">
        <w:rPr>
          <w:lang w:val="lv-LV"/>
        </w:rPr>
        <w:t>m</w:t>
      </w:r>
      <w:r w:rsidR="00140953" w:rsidRPr="003D1368">
        <w:rPr>
          <w:lang w:val="lv-LV"/>
        </w:rPr>
        <w:t>ērķarhitektūras</w:t>
      </w:r>
      <w:proofErr w:type="spellEnd"/>
      <w:r w:rsidR="00140953" w:rsidRPr="003D1368">
        <w:rPr>
          <w:lang w:val="lv-LV"/>
        </w:rPr>
        <w:t xml:space="preserve"> izstrādē ir apzināta un novērtēta lietojamības</w:t>
      </w:r>
      <w:r w:rsidR="004B6286" w:rsidRPr="003D1368">
        <w:rPr>
          <w:lang w:val="lv-LV"/>
        </w:rPr>
        <w:t>, iekļaušanas</w:t>
      </w:r>
      <w:r w:rsidR="00140953" w:rsidRPr="003D1368">
        <w:rPr>
          <w:lang w:val="lv-LV"/>
        </w:rPr>
        <w:t xml:space="preserve"> un </w:t>
      </w:r>
      <w:proofErr w:type="spellStart"/>
      <w:r w:rsidR="00140953" w:rsidRPr="003D1368">
        <w:rPr>
          <w:lang w:val="lv-LV"/>
        </w:rPr>
        <w:t>piekļūstamības</w:t>
      </w:r>
      <w:proofErr w:type="spellEnd"/>
      <w:r w:rsidR="00140953" w:rsidRPr="003D1368">
        <w:rPr>
          <w:lang w:val="lv-LV"/>
        </w:rPr>
        <w:t xml:space="preserve"> prasību ietekme uz arhitektūras komponentiem</w:t>
      </w:r>
      <w:r w:rsidR="00003336" w:rsidRPr="003D1368">
        <w:rPr>
          <w:lang w:val="lv-LV"/>
        </w:rPr>
        <w:t>?</w:t>
      </w:r>
    </w:p>
    <w:p w14:paraId="0542E1F9" w14:textId="18F2056F" w:rsidR="00305259" w:rsidRPr="003D1368" w:rsidRDefault="00870468" w:rsidP="00D5520A">
      <w:pPr>
        <w:pStyle w:val="ListParagraph"/>
        <w:numPr>
          <w:ilvl w:val="0"/>
          <w:numId w:val="8"/>
        </w:numPr>
        <w:rPr>
          <w:lang w:val="lv-LV"/>
        </w:rPr>
      </w:pPr>
      <w:r w:rsidRPr="003D1368">
        <w:rPr>
          <w:lang w:val="lv-LV"/>
        </w:rPr>
        <w:t>VPK1</w:t>
      </w:r>
      <w:r w:rsidR="00D774EE">
        <w:rPr>
          <w:lang w:val="lv-LV"/>
        </w:rPr>
        <w:t>3</w:t>
      </w:r>
      <w:r w:rsidRPr="003D1368">
        <w:rPr>
          <w:lang w:val="lv-LV"/>
        </w:rPr>
        <w:t xml:space="preserve">. </w:t>
      </w:r>
      <w:r w:rsidR="00305259" w:rsidRPr="003D1368">
        <w:rPr>
          <w:lang w:val="lv-LV"/>
        </w:rPr>
        <w:t xml:space="preserve">Vai </w:t>
      </w:r>
      <w:proofErr w:type="spellStart"/>
      <w:r w:rsidR="00305259" w:rsidRPr="003D1368">
        <w:rPr>
          <w:lang w:val="lv-LV"/>
        </w:rPr>
        <w:t>mērķarhitektūr</w:t>
      </w:r>
      <w:r w:rsidR="00ED4047">
        <w:rPr>
          <w:lang w:val="lv-LV"/>
        </w:rPr>
        <w:t>as</w:t>
      </w:r>
      <w:proofErr w:type="spellEnd"/>
      <w:r w:rsidR="00ED4047">
        <w:rPr>
          <w:lang w:val="lv-LV"/>
        </w:rPr>
        <w:t xml:space="preserve"> IKT risinājumos</w:t>
      </w:r>
      <w:r w:rsidR="00305259" w:rsidRPr="003D1368">
        <w:rPr>
          <w:lang w:val="lv-LV"/>
        </w:rPr>
        <w:t xml:space="preserve"> ir paredzēti mehānismi, kas ļauj lietotājiem sniegt atsauksmes, ziņot par problēmām un ierosināt uzlabojumus?</w:t>
      </w:r>
    </w:p>
    <w:p w14:paraId="0374EE23" w14:textId="17C73A6F" w:rsidR="00A462C6" w:rsidRPr="003D1368" w:rsidRDefault="00A462C6" w:rsidP="00D5520A">
      <w:pPr>
        <w:pStyle w:val="ListParagraph"/>
        <w:numPr>
          <w:ilvl w:val="0"/>
          <w:numId w:val="8"/>
        </w:numPr>
        <w:rPr>
          <w:lang w:val="lv-LV"/>
        </w:rPr>
      </w:pPr>
      <w:r w:rsidRPr="003D1368">
        <w:rPr>
          <w:lang w:val="lv-LV"/>
        </w:rPr>
        <w:t>VPK1</w:t>
      </w:r>
      <w:r w:rsidR="00D774EE">
        <w:rPr>
          <w:lang w:val="lv-LV"/>
        </w:rPr>
        <w:t>4</w:t>
      </w:r>
      <w:r w:rsidRPr="003D1368">
        <w:rPr>
          <w:lang w:val="lv-LV"/>
        </w:rPr>
        <w:t xml:space="preserve">. Vai ir apzinātas nepieciešamās kompetences </w:t>
      </w:r>
      <w:proofErr w:type="spellStart"/>
      <w:r w:rsidR="009701C0" w:rsidRPr="003D1368">
        <w:rPr>
          <w:lang w:val="lv-LV"/>
        </w:rPr>
        <w:t>mērķarhitektūras</w:t>
      </w:r>
      <w:proofErr w:type="spellEnd"/>
      <w:r w:rsidR="009701C0" w:rsidRPr="003D1368">
        <w:rPr>
          <w:lang w:val="lv-LV"/>
        </w:rPr>
        <w:t xml:space="preserve"> ieviešanai un saistītie riski?</w:t>
      </w:r>
    </w:p>
    <w:p w14:paraId="5B45B826" w14:textId="51197643" w:rsidR="00960BA3" w:rsidRPr="00E40818" w:rsidRDefault="00960BA3" w:rsidP="00E43D18">
      <w:pPr>
        <w:pStyle w:val="Heading2"/>
        <w:rPr>
          <w:rStyle w:val="Heading4Char"/>
          <w:i w:val="0"/>
          <w:iCs w:val="0"/>
          <w:lang w:val="lv-LV"/>
        </w:rPr>
      </w:pPr>
      <w:r>
        <w:rPr>
          <w:lang w:val="lv-LV"/>
        </w:rPr>
        <w:lastRenderedPageBreak/>
        <w:t>P</w:t>
      </w:r>
      <w:r w:rsidR="00D46BEC">
        <w:rPr>
          <w:lang w:val="lv-LV"/>
        </w:rPr>
        <w:t>4</w:t>
      </w:r>
      <w:r>
        <w:rPr>
          <w:lang w:val="lv-LV"/>
        </w:rPr>
        <w:t>. Neizgudrot divriteni no jauna</w:t>
      </w:r>
      <w:r w:rsidRPr="00E2406D">
        <w:rPr>
          <w:noProof/>
          <w:lang w:val="lv-LV"/>
        </w:rPr>
        <mc:AlternateContent>
          <mc:Choice Requires="wps">
            <w:drawing>
              <wp:anchor distT="0" distB="0" distL="114300" distR="114300" simplePos="0" relativeHeight="251658250" behindDoc="0" locked="0" layoutInCell="1" allowOverlap="1" wp14:anchorId="3CF743D0" wp14:editId="74F14B04">
                <wp:simplePos x="0" y="0"/>
                <wp:positionH relativeFrom="column">
                  <wp:posOffset>0</wp:posOffset>
                </wp:positionH>
                <wp:positionV relativeFrom="paragraph">
                  <wp:posOffset>316865</wp:posOffset>
                </wp:positionV>
                <wp:extent cx="1828800" cy="1828800"/>
                <wp:effectExtent l="0" t="0" r="8890" b="10795"/>
                <wp:wrapTopAndBottom/>
                <wp:docPr id="318722238"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4C4CBBB" w14:textId="19ABB98B" w:rsidR="00960BA3" w:rsidRPr="009B7016" w:rsidRDefault="00960BA3" w:rsidP="00960BA3">
                            <w:pPr>
                              <w:ind w:left="851"/>
                              <w:jc w:val="both"/>
                              <w:rPr>
                                <w:lang w:val="lv-LV"/>
                              </w:rPr>
                            </w:pPr>
                            <w:r w:rsidRPr="009B7016">
                              <w:rPr>
                                <w:lang w:val="lv-LV"/>
                              </w:rPr>
                              <w:t xml:space="preserve">Izmantojot citu institūciju pieredzi un ieviešot kopīgas platformas, modeļus un standartus, tiek veicināta efektivitāte, radīta vērtība un nodrošināta vienota </w:t>
                            </w:r>
                            <w:r w:rsidR="009B7016">
                              <w:rPr>
                                <w:lang w:val="lv-LV"/>
                              </w:rPr>
                              <w:t>l</w:t>
                            </w:r>
                            <w:r w:rsidRPr="009B7016">
                              <w:rPr>
                                <w:lang w:val="lv-LV"/>
                              </w:rPr>
                              <w:t xml:space="preserve">ietotāju pieredze. </w:t>
                            </w:r>
                          </w:p>
                          <w:p w14:paraId="1CC8B7F3" w14:textId="77777777" w:rsidR="00960BA3" w:rsidRPr="009B7016" w:rsidRDefault="00960BA3" w:rsidP="00960BA3">
                            <w:pPr>
                              <w:ind w:left="851"/>
                              <w:jc w:val="both"/>
                              <w:rPr>
                                <w:lang w:val="lv-LV" w:bidi="lv-LV"/>
                              </w:rPr>
                            </w:pPr>
                            <w:r w:rsidRPr="009B7016">
                              <w:rPr>
                                <w:lang w:val="lv-LV" w:bidi="lv-LV"/>
                              </w:rPr>
                              <w:t>Atkārtota izmantojamība nozīmē to, ka valsts pārvaldes iestādes savu IKT pakalpojumu attīstībā tiecas izmantot pieejamos risinājumus un pakalpojumus, izvērtējot lietderību un atbilstību konkrētajai vajadzībai un attiecīgā gadījumā pieņemot lēmumu izmantot tos. Tas nozīmē, ka publiskās pārvaldes iestādēm jābūt gatavām koplietot ar citiem savus risinājumus, koncepcijas, satvarus, specifikācijas, rīkus un komponentus.</w:t>
                            </w:r>
                          </w:p>
                          <w:p w14:paraId="3AA6D902" w14:textId="599D05FB" w:rsidR="006178DA" w:rsidRDefault="00080CC6" w:rsidP="00080CC6">
                            <w:pPr>
                              <w:ind w:left="851"/>
                              <w:jc w:val="both"/>
                              <w:rPr>
                                <w:lang w:val="lv-LV" w:bidi="lv-LV"/>
                              </w:rPr>
                            </w:pPr>
                            <w:r w:rsidRPr="009B7016">
                              <w:rPr>
                                <w:lang w:val="lv-LV" w:bidi="lv-LV"/>
                              </w:rPr>
                              <w:t xml:space="preserve">Atkārtota izmantošana attiecināma gan uz vienotiem datu apmaiņas kanāliem, gan IKT koplietošanas, gan IT infrastruktūras pakalpojumiem. </w:t>
                            </w:r>
                          </w:p>
                          <w:p w14:paraId="1B0F177A" w14:textId="77777777" w:rsidR="009B7016" w:rsidRPr="001B7BB2" w:rsidRDefault="009B7016" w:rsidP="009B7016">
                            <w:pPr>
                              <w:ind w:left="851"/>
                              <w:jc w:val="both"/>
                              <w:rPr>
                                <w:lang w:val="lv-LV" w:bidi="lv-LV"/>
                              </w:rPr>
                            </w:pPr>
                            <w:r w:rsidRPr="001B7BB2">
                              <w:rPr>
                                <w:lang w:val="lv-LV" w:bidi="lv-LV"/>
                              </w:rPr>
                              <w:t>Konsekventa tehnoloģiju un platformu izmantošana uzlabo savietojamību, samazina sarežģītību un atvieglo sistēmu uzturēšanu, kā arī paātrina piegādātāju integrāciju, samazinot laiku un izmaksas, kas saistītas ar tehnoloģiju izvērtēšanu. Vienotas tehnoloģijas ļauj efektīvi pārdalīt resursus starp projektiem, optimizējot piegādes un pielāgojoties mainīgajām prioritātēm, vienlaikus novēršot nekontrolētu tehnoloģiju pieaugumu un tehnisko parādu. Standartizācija arī nodrošina vienkāršākus procesus, vieglāku integrāciju un izmaksu ietaupījumus, izmantojot ekonomijas mērogu, tādējādi veicinot ilgtspējīgu un elastīgu arhitektūru.</w:t>
                            </w:r>
                          </w:p>
                          <w:p w14:paraId="676EA725" w14:textId="1BCD32E9" w:rsidR="009B7016" w:rsidRPr="009B7016" w:rsidRDefault="009B7016" w:rsidP="009B7016">
                            <w:pPr>
                              <w:ind w:left="851"/>
                              <w:jc w:val="both"/>
                              <w:rPr>
                                <w:lang w:val="lv-LV" w:bidi="lv-LV"/>
                              </w:rPr>
                            </w:pPr>
                            <w:r w:rsidRPr="001B7BB2">
                              <w:rPr>
                                <w:lang w:val="lv-LV" w:bidi="lv-LV"/>
                              </w:rPr>
                              <w:t>Rekomendēts izvēlēties un izmanto</w:t>
                            </w:r>
                            <w:r>
                              <w:rPr>
                                <w:lang w:val="lv-LV" w:bidi="lv-LV"/>
                              </w:rPr>
                              <w:t>t</w:t>
                            </w:r>
                            <w:r w:rsidRPr="001B7BB2">
                              <w:rPr>
                                <w:lang w:val="lv-LV" w:bidi="lv-LV"/>
                              </w:rPr>
                              <w:t xml:space="preserve"> gatavus risinājumus, izvairoties no to modificēšanas, lai nodrošinātu vieglu uzturēšanu, savietojamību un aizvietojamību.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6812C07A">
              <v:shape id="_x0000_s1028" style="position:absolute;margin-left:0;margin-top:24.95pt;width:2in;height:2in;z-index:251658250;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IwWgIAAAwFAAAOAAAAZHJzL2Uyb0RvYy54bWysVE2P2jAQvVfqf7B8LwFKW4oIK8qKqhLa&#10;XZWt9mwcG6I6HsseSOiv79iBQLecql6csWfezLz5yPSuqQw7KB9KsDkf9PqcKSuhKO025z+el+/G&#10;nAUUthAGrMr5UQV+N3v7Zlq7iRrCDkyhPCMnNkxql/MdoptkWZA7VYnQA6csKTX4SiBd/TYrvKjJ&#10;e2WyYb//MavBF86DVCHQ632r5LPkX2sl8VHroJCZnFNumE6fzk08s9lUTLZeuF0pT2mIf8iiEqWl&#10;oJ2re4GC7X35l6uqlB4CaOxJqDLQupQqcSA2g/4rNuudcCpxoeIE15Up/D+38uGwdk+eYfMFGmpg&#10;LEjtwiTQY+TTaF/FL2XKSE8lPHZlUw0yGUHj4XjcJ5Uk3flCfrIL3PmAXxVULAo599SXVC5xWAVs&#10;Tc8mMZqx8e2SR5LwaFSr/K40KwuKPExO0rCohfHsIKjNQkpl8X1kQhkYS9YRpktjOuDgFtBgok+g&#10;k22EqTREHbB/C/hnxA6RooLFDlyVFvwtB8XPLnJrf2bfco70sdk0RDpyJmLxZQPFkTrnoR3q4OSy&#10;pOquRMAn4WmKqSO0mfhIhzZQ5xxOEmc78L9uvUd7Gi7SclbTVuTc0tpyZr5ZGrrPg9EoLlG6jD58&#10;GtLFX2s21xq7rxZA/RjQH8DJJEZ7NGdRe6heaH3nMSaphJUUOed4FhfYbiqtv1TzeTKitXECV3bt&#10;ZHQdaxwn57l5Ed6dxgtpMh/gvD1i8mrKWtuIDG6+R1iWaQQvNT1Vn1YujdDp9xB3+vqerC4/sdlv&#10;AAAA//8DAFBLAwQUAAYACAAAACEA7u+WodsAAAAHAQAADwAAAGRycy9kb3ducmV2LnhtbEyPTU/D&#10;MAyG70j8h8hI3FjKOkFb6k4DCTgzJs5Z436wxqmabCv8eswJjvb76vHjcj27QZ1oCr1nhNtFAoq4&#10;9rbnFmH3/nyTgQrRsDWDZ0L4ogDr6vKiNIX1Z36j0za2SiAcCoPQxTgWWoe6I2fCwo/EkjV+cibK&#10;OLXaTuYscDfoZZLcaWd6lgudGempo/qwPTqE9OM1bezc9C+rJA2PtNnl358HxOurefMAKtIc/8rw&#10;qy/qUInT3h/ZBjUgyCMRYZXnoCRdZpks9oJO73PQVan/+1c/AAAA//8DAFBLAQItABQABgAIAAAA&#10;IQC2gziS/gAAAOEBAAATAAAAAAAAAAAAAAAAAAAAAABbQ29udGVudF9UeXBlc10ueG1sUEsBAi0A&#10;FAAGAAgAAAAhADj9If/WAAAAlAEAAAsAAAAAAAAAAAAAAAAALwEAAF9yZWxzLy5yZWxzUEsBAi0A&#10;FAAGAAgAAAAhAL1i4jBaAgAADAUAAA4AAAAAAAAAAAAAAAAALgIAAGRycy9lMm9Eb2MueG1sUEsB&#10;Ai0AFAAGAAgAAAAhAO7vlqHbAAAABwEAAA8AAAAAAAAAAAAAAAAAtAQAAGRycy9kb3ducmV2Lnht&#10;bFBLBQYAAAAABAAEAPMAAAC8BQAAAAA=&#10;" w14:anchorId="3CF743D0">
                <v:textbox style="mso-fit-shape-to-text:t">
                  <w:txbxContent>
                    <w:p w:rsidRPr="009B7016" w:rsidR="00960BA3" w:rsidP="00960BA3" w:rsidRDefault="00960BA3" w14:paraId="49BFBFCF" w14:textId="19ABB98B">
                      <w:pPr>
                        <w:ind w:left="851"/>
                        <w:jc w:val="both"/>
                        <w:rPr>
                          <w:lang w:val="lv-LV"/>
                        </w:rPr>
                      </w:pPr>
                      <w:r w:rsidRPr="009B7016">
                        <w:rPr>
                          <w:lang w:val="lv-LV"/>
                        </w:rPr>
                        <w:t xml:space="preserve">Izmantojot citu institūciju pieredzi un ieviešot kopīgas platformas, modeļus un standartus, tiek veicināta efektivitāte, radīta vērtība un nodrošināta vienota </w:t>
                      </w:r>
                      <w:r w:rsidR="009B7016">
                        <w:rPr>
                          <w:lang w:val="lv-LV"/>
                        </w:rPr>
                        <w:t>l</w:t>
                      </w:r>
                      <w:r w:rsidRPr="009B7016">
                        <w:rPr>
                          <w:lang w:val="lv-LV"/>
                        </w:rPr>
                        <w:t xml:space="preserve">ietotāju pieredze. </w:t>
                      </w:r>
                    </w:p>
                    <w:p w:rsidRPr="009B7016" w:rsidR="00960BA3" w:rsidP="00960BA3" w:rsidRDefault="00960BA3" w14:paraId="733CA4D3" w14:textId="77777777">
                      <w:pPr>
                        <w:ind w:left="851"/>
                        <w:jc w:val="both"/>
                        <w:rPr>
                          <w:lang w:val="lv-LV" w:bidi="lv-LV"/>
                        </w:rPr>
                      </w:pPr>
                      <w:r w:rsidRPr="009B7016">
                        <w:rPr>
                          <w:lang w:val="lv-LV" w:bidi="lv-LV"/>
                        </w:rPr>
                        <w:t xml:space="preserve">Atkārtota </w:t>
                      </w:r>
                      <w:r w:rsidRPr="009B7016">
                        <w:rPr>
                          <w:lang w:val="lv-LV" w:bidi="lv-LV"/>
                        </w:rPr>
                        <w:t>izmantojamība nozīmē to, ka valsts pārvaldes iestādes savu IKT pakalpojumu attīstībā tiecas izmantot pieejamos risinājumus un pakalpojumus, izvērtējot lietderību un atbilstību konkrētajai vajadzībai un attiecīgā gadījumā pieņemot lēmumu izmantot tos. Tas nozīmē, ka publiskās pārvaldes iestādēm jābūt gatavām koplietot ar citiem savus risinājumus, koncepcijas, satvarus, specifikācijas, rīkus un komponentus.</w:t>
                      </w:r>
                    </w:p>
                    <w:p w:rsidR="006178DA" w:rsidP="00080CC6" w:rsidRDefault="00080CC6" w14:paraId="1ECAAA0F" w14:textId="599D05FB">
                      <w:pPr>
                        <w:ind w:left="851"/>
                        <w:jc w:val="both"/>
                        <w:rPr>
                          <w:lang w:val="lv-LV" w:bidi="lv-LV"/>
                        </w:rPr>
                      </w:pPr>
                      <w:r w:rsidRPr="009B7016">
                        <w:rPr>
                          <w:lang w:val="lv-LV" w:bidi="lv-LV"/>
                        </w:rPr>
                        <w:t xml:space="preserve">Atkārtota izmantošana attiecināma gan uz vienotiem datu apmaiņas kanāliem, gan IKT koplietošanas, gan IT infrastruktūras pakalpojumiem. </w:t>
                      </w:r>
                    </w:p>
                    <w:p w:rsidRPr="001B7BB2" w:rsidR="009B7016" w:rsidP="009B7016" w:rsidRDefault="009B7016" w14:paraId="0DEE4B48" w14:textId="77777777">
                      <w:pPr>
                        <w:ind w:left="851"/>
                        <w:jc w:val="both"/>
                        <w:rPr>
                          <w:lang w:val="lv-LV" w:bidi="lv-LV"/>
                        </w:rPr>
                      </w:pPr>
                      <w:r w:rsidRPr="001B7BB2">
                        <w:rPr>
                          <w:lang w:val="lv-LV" w:bidi="lv-LV"/>
                        </w:rPr>
                        <w:t>Konsekventa tehnoloģiju un platformu izmantošana uzlabo savietojamību, samazina sarežģītību un atvieglo sistēmu uzturēšanu, kā arī paātrina piegādātāju integrāciju, samazinot laiku un izmaksas, kas saistītas ar tehnoloģiju izvērtēšanu. Vienotas tehnoloģijas ļauj efektīvi pārdalīt resursus starp projektiem, optimizējot piegādes un pielāgojoties mainīgajām prioritātēm, vienlaikus novēršot nekontrolētu tehnoloģiju pieaugumu un tehnisko parādu. Standartizācija arī nodrošina vienkāršākus procesus, vieglāku integrāciju un izmaksu ietaupījumus, izmantojot ekonomijas mērogu, tādējādi veicinot ilgtspējīgu un elastīgu arhitektūru.</w:t>
                      </w:r>
                    </w:p>
                    <w:p w:rsidRPr="009B7016" w:rsidR="009B7016" w:rsidP="009B7016" w:rsidRDefault="009B7016" w14:paraId="11F03D55" w14:textId="1BCD32E9">
                      <w:pPr>
                        <w:ind w:left="851"/>
                        <w:jc w:val="both"/>
                        <w:rPr>
                          <w:lang w:val="lv-LV" w:bidi="lv-LV"/>
                        </w:rPr>
                      </w:pPr>
                      <w:r w:rsidRPr="001B7BB2">
                        <w:rPr>
                          <w:lang w:val="lv-LV" w:bidi="lv-LV"/>
                        </w:rPr>
                        <w:t>Rekomendēts izvēlēties un izmanto</w:t>
                      </w:r>
                      <w:r>
                        <w:rPr>
                          <w:lang w:val="lv-LV" w:bidi="lv-LV"/>
                        </w:rPr>
                        <w:t>t</w:t>
                      </w:r>
                      <w:r w:rsidRPr="001B7BB2">
                        <w:rPr>
                          <w:lang w:val="lv-LV" w:bidi="lv-LV"/>
                        </w:rPr>
                        <w:t xml:space="preserve"> gatavus risinājumus, izvairoties no to modificēšanas, lai nodrošinātu vieglu uzturēšanu, savietojamību un aizvietojamību.</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51" behindDoc="0" locked="0" layoutInCell="1" allowOverlap="1" wp14:anchorId="67D7CB17" wp14:editId="5C972E42">
            <wp:simplePos x="0" y="0"/>
            <wp:positionH relativeFrom="margin">
              <wp:posOffset>88900</wp:posOffset>
            </wp:positionH>
            <wp:positionV relativeFrom="paragraph">
              <wp:posOffset>450850</wp:posOffset>
            </wp:positionV>
            <wp:extent cx="427990" cy="427990"/>
            <wp:effectExtent l="0" t="0" r="0" b="0"/>
            <wp:wrapSquare wrapText="bothSides"/>
            <wp:docPr id="1630632986"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p>
    <w:p w14:paraId="72589B0F" w14:textId="77777777" w:rsidR="002830F8" w:rsidRDefault="002830F8" w:rsidP="002830F8">
      <w:pPr>
        <w:rPr>
          <w:lang w:val="lv-LV"/>
        </w:rPr>
      </w:pPr>
    </w:p>
    <w:p w14:paraId="0D24F18B" w14:textId="3F66E712" w:rsidR="00BD6B1F" w:rsidRDefault="00BD6B1F" w:rsidP="002830F8">
      <w:pPr>
        <w:rPr>
          <w:lang w:val="lv-LV"/>
        </w:rPr>
      </w:pPr>
      <w:r>
        <w:rPr>
          <w:lang w:val="lv-LV"/>
        </w:rPr>
        <w:t>Piemērošanas vadlīnijas:</w:t>
      </w:r>
    </w:p>
    <w:p w14:paraId="601385F2" w14:textId="2DF67BB3" w:rsidR="00BD6B1F" w:rsidRPr="004402D0" w:rsidRDefault="00BD6B1F" w:rsidP="00D5520A">
      <w:pPr>
        <w:pStyle w:val="ListParagraph"/>
        <w:numPr>
          <w:ilvl w:val="0"/>
          <w:numId w:val="8"/>
        </w:numPr>
        <w:rPr>
          <w:lang w:val="lv-LV"/>
        </w:rPr>
      </w:pPr>
      <w:r w:rsidRPr="004402D0">
        <w:rPr>
          <w:lang w:val="lv-LV"/>
        </w:rPr>
        <w:t xml:space="preserve">Veiciet starptautisko un Latvijas mēroga izveidoto koplietošanas risinājumu koplietošanu un atkārtotu izmantošanu, tādējādi veicinot </w:t>
      </w:r>
      <w:proofErr w:type="spellStart"/>
      <w:r w:rsidRPr="004402D0">
        <w:rPr>
          <w:lang w:val="lv-LV"/>
        </w:rPr>
        <w:t>sadarbspēju</w:t>
      </w:r>
      <w:proofErr w:type="spellEnd"/>
      <w:r w:rsidRPr="004402D0">
        <w:rPr>
          <w:lang w:val="lv-LV"/>
        </w:rPr>
        <w:t xml:space="preserve"> un efektīvu IKT investīciju plānošanu.</w:t>
      </w:r>
    </w:p>
    <w:p w14:paraId="59412600" w14:textId="2B715F66" w:rsidR="00BD6B1F" w:rsidRPr="004402D0" w:rsidRDefault="001019DB" w:rsidP="00D5520A">
      <w:pPr>
        <w:pStyle w:val="ListParagraph"/>
        <w:numPr>
          <w:ilvl w:val="0"/>
          <w:numId w:val="8"/>
        </w:numPr>
        <w:rPr>
          <w:lang w:val="lv-LV"/>
        </w:rPr>
      </w:pPr>
      <w:r w:rsidRPr="004402D0">
        <w:rPr>
          <w:lang w:val="lv-LV" w:bidi="lv-LV"/>
        </w:rPr>
        <w:t xml:space="preserve">Īstenojot un attīstot IKT risinājumus, ievērojiet Eiropas Savienības noteiktos  </w:t>
      </w:r>
      <w:proofErr w:type="spellStart"/>
      <w:r w:rsidRPr="004402D0">
        <w:rPr>
          <w:lang w:val="lv-LV" w:bidi="lv-LV"/>
        </w:rPr>
        <w:t>domēnspecifiskos</w:t>
      </w:r>
      <w:proofErr w:type="spellEnd"/>
      <w:r w:rsidRPr="004402D0">
        <w:rPr>
          <w:lang w:val="lv-LV" w:bidi="lv-LV"/>
        </w:rPr>
        <w:t xml:space="preserve"> standartus, apziniet un virziet IKT risinājumu attīstību  saskaņā ar </w:t>
      </w:r>
      <w:r w:rsidRPr="004402D0">
        <w:rPr>
          <w:lang w:val="lv-LV" w:bidi="lv-LV"/>
        </w:rPr>
        <w:lastRenderedPageBreak/>
        <w:t xml:space="preserve">Eiropas </w:t>
      </w:r>
      <w:proofErr w:type="spellStart"/>
      <w:r w:rsidRPr="004402D0">
        <w:rPr>
          <w:lang w:val="lv-LV" w:bidi="lv-LV"/>
        </w:rPr>
        <w:t>sadarbspējas</w:t>
      </w:r>
      <w:proofErr w:type="spellEnd"/>
      <w:r w:rsidRPr="004402D0">
        <w:rPr>
          <w:lang w:val="lv-LV" w:bidi="lv-LV"/>
        </w:rPr>
        <w:t xml:space="preserve"> pamatprincipiem un ieteikumiem, un aktīvi izmantojiet ES dalībvalstu un Latvijas vienotos sadarbības risinājumus</w:t>
      </w:r>
      <w:r w:rsidR="006B3B6E">
        <w:rPr>
          <w:lang w:val="lv-LV" w:bidi="lv-LV"/>
        </w:rPr>
        <w:t>.</w:t>
      </w:r>
    </w:p>
    <w:p w14:paraId="04B634BB" w14:textId="007E505C" w:rsidR="00BD6B1F" w:rsidRPr="004402D0" w:rsidRDefault="00BD6B1F" w:rsidP="00BD6B1F">
      <w:pPr>
        <w:rPr>
          <w:lang w:val="lv-LV"/>
        </w:rPr>
      </w:pPr>
      <w:r w:rsidRPr="004402D0">
        <w:rPr>
          <w:lang w:val="lv-LV"/>
        </w:rPr>
        <w:t>Novērtējuma vadlīnijas:</w:t>
      </w:r>
    </w:p>
    <w:p w14:paraId="38D769AF" w14:textId="58DABC2F" w:rsidR="00BD6B1F" w:rsidRPr="00CC47BE" w:rsidRDefault="00870468" w:rsidP="00D5520A">
      <w:pPr>
        <w:pStyle w:val="ListParagraph"/>
        <w:numPr>
          <w:ilvl w:val="0"/>
          <w:numId w:val="8"/>
        </w:numPr>
        <w:rPr>
          <w:lang w:val="lv-LV"/>
        </w:rPr>
      </w:pPr>
      <w:r>
        <w:rPr>
          <w:lang w:val="lv-LV"/>
        </w:rPr>
        <w:t>VPK1</w:t>
      </w:r>
      <w:r w:rsidR="0009120C">
        <w:rPr>
          <w:lang w:val="lv-LV"/>
        </w:rPr>
        <w:t>5</w:t>
      </w:r>
      <w:r>
        <w:rPr>
          <w:lang w:val="lv-LV"/>
        </w:rPr>
        <w:t xml:space="preserve">. </w:t>
      </w:r>
      <w:r w:rsidR="004402D0" w:rsidRPr="00CC47BE">
        <w:rPr>
          <w:lang w:val="lv-LV"/>
        </w:rPr>
        <w:t xml:space="preserve">Vai </w:t>
      </w:r>
      <w:proofErr w:type="spellStart"/>
      <w:r w:rsidR="004402D0" w:rsidRPr="00CC47BE">
        <w:rPr>
          <w:lang w:val="lv-LV"/>
        </w:rPr>
        <w:t>m</w:t>
      </w:r>
      <w:r w:rsidR="00E62454" w:rsidRPr="00CC47BE">
        <w:rPr>
          <w:lang w:val="lv-LV"/>
        </w:rPr>
        <w:t>ērķarhitektūrā</w:t>
      </w:r>
      <w:proofErr w:type="spellEnd"/>
      <w:r w:rsidR="00E62454" w:rsidRPr="00CC47BE">
        <w:rPr>
          <w:lang w:val="lv-LV"/>
        </w:rPr>
        <w:t xml:space="preserve"> ir paredzēta valsts koplietošanas risinājumu izmantošana, tostarp:</w:t>
      </w:r>
    </w:p>
    <w:p w14:paraId="5A953B76" w14:textId="7CBEA4C4" w:rsidR="00E62454" w:rsidRPr="00CC47BE" w:rsidRDefault="00CC47BE" w:rsidP="00D5520A">
      <w:pPr>
        <w:pStyle w:val="ListParagraph"/>
        <w:numPr>
          <w:ilvl w:val="1"/>
          <w:numId w:val="8"/>
        </w:numPr>
        <w:rPr>
          <w:lang w:val="lv-LV"/>
        </w:rPr>
      </w:pPr>
      <w:bookmarkStart w:id="11" w:name="_Hlk184376894"/>
      <w:proofErr w:type="spellStart"/>
      <w:r w:rsidRPr="00CC47BE">
        <w:rPr>
          <w:rFonts w:cstheme="majorBidi"/>
        </w:rPr>
        <w:t>Vienota</w:t>
      </w:r>
      <w:r w:rsidR="00864B02">
        <w:rPr>
          <w:rFonts w:cstheme="majorBidi"/>
        </w:rPr>
        <w:t>is</w:t>
      </w:r>
      <w:proofErr w:type="spellEnd"/>
      <w:r w:rsidRPr="00CC47BE">
        <w:rPr>
          <w:rFonts w:cstheme="majorBidi"/>
        </w:rPr>
        <w:t xml:space="preserve"> datu</w:t>
      </w:r>
      <w:r w:rsidR="00951BD6" w:rsidRPr="00CC47BE">
        <w:rPr>
          <w:rFonts w:cstheme="majorBidi"/>
        </w:rPr>
        <w:t xml:space="preserve"> </w:t>
      </w:r>
      <w:proofErr w:type="spellStart"/>
      <w:r w:rsidR="00951BD6" w:rsidRPr="00CC47BE">
        <w:rPr>
          <w:rFonts w:cstheme="majorBidi"/>
        </w:rPr>
        <w:t>kanāl</w:t>
      </w:r>
      <w:r w:rsidR="00864B02">
        <w:rPr>
          <w:rFonts w:cstheme="majorBidi"/>
        </w:rPr>
        <w:t>s</w:t>
      </w:r>
      <w:proofErr w:type="spellEnd"/>
      <w:r w:rsidR="00951BD6" w:rsidRPr="00CC47BE">
        <w:rPr>
          <w:rFonts w:cstheme="majorBidi"/>
        </w:rPr>
        <w:t xml:space="preserve"> DAGR</w:t>
      </w:r>
      <w:bookmarkEnd w:id="11"/>
      <w:r w:rsidRPr="00CC47BE">
        <w:rPr>
          <w:rFonts w:cstheme="majorBidi"/>
        </w:rPr>
        <w:t xml:space="preserve"> </w:t>
      </w:r>
    </w:p>
    <w:p w14:paraId="4BAC588D" w14:textId="01DE3003" w:rsidR="00CC47BE" w:rsidRDefault="00E43E9B" w:rsidP="00D5520A">
      <w:pPr>
        <w:pStyle w:val="ListParagraph"/>
        <w:numPr>
          <w:ilvl w:val="1"/>
          <w:numId w:val="8"/>
        </w:numPr>
        <w:rPr>
          <w:lang w:val="lv-LV"/>
        </w:rPr>
      </w:pPr>
      <w:r>
        <w:rPr>
          <w:lang w:val="lv-LV"/>
        </w:rPr>
        <w:t>Pakalpojumu informācijas portāl</w:t>
      </w:r>
      <w:r w:rsidR="00864B02">
        <w:rPr>
          <w:lang w:val="lv-LV"/>
        </w:rPr>
        <w:t>i</w:t>
      </w:r>
      <w:r>
        <w:rPr>
          <w:lang w:val="lv-LV"/>
        </w:rPr>
        <w:t xml:space="preserve"> </w:t>
      </w:r>
      <w:r w:rsidR="009568B7">
        <w:rPr>
          <w:lang w:val="lv-LV"/>
        </w:rPr>
        <w:t>(i</w:t>
      </w:r>
      <w:r w:rsidR="009568B7" w:rsidRPr="000D3EDC">
        <w:rPr>
          <w:lang w:val="lv-LV"/>
        </w:rPr>
        <w:t>edzīvotājiem – Latvija.gov.lv;</w:t>
      </w:r>
      <w:r w:rsidR="009568B7">
        <w:rPr>
          <w:lang w:val="lv-LV"/>
        </w:rPr>
        <w:t xml:space="preserve"> u</w:t>
      </w:r>
      <w:r w:rsidR="009568B7" w:rsidRPr="000D3EDC">
        <w:rPr>
          <w:lang w:val="lv-LV"/>
        </w:rPr>
        <w:t>zņēmējiem – business.gov.lv;</w:t>
      </w:r>
      <w:r w:rsidR="009568B7">
        <w:rPr>
          <w:lang w:val="lv-LV"/>
        </w:rPr>
        <w:t xml:space="preserve"> i</w:t>
      </w:r>
      <w:r w:rsidR="009568B7" w:rsidRPr="000D3EDC">
        <w:rPr>
          <w:lang w:val="lv-LV"/>
        </w:rPr>
        <w:t>estādēm - virsis.gov.lv</w:t>
      </w:r>
      <w:r w:rsidR="009568B7">
        <w:rPr>
          <w:lang w:val="lv-LV"/>
        </w:rPr>
        <w:t>)</w:t>
      </w:r>
    </w:p>
    <w:p w14:paraId="3C4B119C" w14:textId="7A626BE0" w:rsidR="00864B02" w:rsidRDefault="00864B02" w:rsidP="00D5520A">
      <w:pPr>
        <w:pStyle w:val="ListParagraph"/>
        <w:numPr>
          <w:ilvl w:val="1"/>
          <w:numId w:val="8"/>
        </w:numPr>
        <w:rPr>
          <w:lang w:val="lv-LV"/>
        </w:rPr>
      </w:pPr>
      <w:r>
        <w:rPr>
          <w:lang w:val="lv-LV"/>
        </w:rPr>
        <w:t>Oficiālā elektroniskā adrese</w:t>
      </w:r>
    </w:p>
    <w:p w14:paraId="6EB549D7" w14:textId="7CD0DFBE" w:rsidR="009568B7" w:rsidRDefault="24BBEC9C" w:rsidP="00D5520A">
      <w:pPr>
        <w:pStyle w:val="ListParagraph"/>
        <w:numPr>
          <w:ilvl w:val="1"/>
          <w:numId w:val="8"/>
        </w:numPr>
        <w:rPr>
          <w:lang w:val="lv-LV"/>
        </w:rPr>
      </w:pPr>
      <w:commentRangeStart w:id="12"/>
      <w:commentRangeStart w:id="13"/>
      <w:r w:rsidRPr="3D3736F2">
        <w:rPr>
          <w:lang w:val="lv-LV"/>
        </w:rPr>
        <w:t>V</w:t>
      </w:r>
      <w:r w:rsidR="0EE4A961" w:rsidRPr="3D3736F2">
        <w:rPr>
          <w:lang w:val="lv-LV"/>
        </w:rPr>
        <w:t>ienotās pieteikšanās</w:t>
      </w:r>
      <w:r w:rsidRPr="3D3736F2">
        <w:rPr>
          <w:lang w:val="lv-LV"/>
        </w:rPr>
        <w:t xml:space="preserve"> modulis </w:t>
      </w:r>
      <w:commentRangeEnd w:id="12"/>
      <w:r w:rsidR="000446D4">
        <w:rPr>
          <w:rStyle w:val="CommentReference"/>
        </w:rPr>
        <w:commentReference w:id="12"/>
      </w:r>
      <w:commentRangeEnd w:id="13"/>
      <w:r w:rsidR="00F30134">
        <w:rPr>
          <w:rStyle w:val="CommentReference"/>
        </w:rPr>
        <w:commentReference w:id="13"/>
      </w:r>
    </w:p>
    <w:p w14:paraId="4270F754" w14:textId="77777777" w:rsidR="00864B02" w:rsidRDefault="000446D4" w:rsidP="001C4F27">
      <w:pPr>
        <w:pStyle w:val="ListParagraph"/>
        <w:numPr>
          <w:ilvl w:val="1"/>
          <w:numId w:val="8"/>
        </w:numPr>
        <w:rPr>
          <w:lang w:val="lv-LV"/>
        </w:rPr>
      </w:pPr>
      <w:r w:rsidRPr="00864B02">
        <w:rPr>
          <w:lang w:val="lv-LV"/>
        </w:rPr>
        <w:t>Elektroniskās identitātes un uzticamības pakalpojumi (</w:t>
      </w:r>
      <w:proofErr w:type="spellStart"/>
      <w:r w:rsidRPr="00864B02">
        <w:rPr>
          <w:lang w:val="lv-LV"/>
        </w:rPr>
        <w:t>eParaksts</w:t>
      </w:r>
      <w:proofErr w:type="spellEnd"/>
      <w:r w:rsidR="00611E14" w:rsidRPr="00864B02">
        <w:rPr>
          <w:lang w:val="lv-LV"/>
        </w:rPr>
        <w:t>)</w:t>
      </w:r>
    </w:p>
    <w:p w14:paraId="530605E7" w14:textId="02CD1781" w:rsidR="00611E14" w:rsidRDefault="00611E14" w:rsidP="001C4F27">
      <w:pPr>
        <w:pStyle w:val="ListParagraph"/>
        <w:numPr>
          <w:ilvl w:val="1"/>
          <w:numId w:val="8"/>
        </w:numPr>
        <w:rPr>
          <w:lang w:val="lv-LV"/>
        </w:rPr>
      </w:pPr>
      <w:r w:rsidRPr="00864B02">
        <w:rPr>
          <w:lang w:val="lv-LV"/>
        </w:rPr>
        <w:t>Vienotais maksājumu modulis</w:t>
      </w:r>
    </w:p>
    <w:p w14:paraId="7AEF294C" w14:textId="52EEE4E1" w:rsidR="00864B02" w:rsidRDefault="00864B02" w:rsidP="001C4F27">
      <w:pPr>
        <w:pStyle w:val="ListParagraph"/>
        <w:numPr>
          <w:ilvl w:val="1"/>
          <w:numId w:val="8"/>
        </w:numPr>
        <w:rPr>
          <w:lang w:val="lv-LV"/>
        </w:rPr>
      </w:pPr>
      <w:r>
        <w:rPr>
          <w:lang w:val="lv-LV"/>
        </w:rPr>
        <w:t xml:space="preserve">VISS </w:t>
      </w:r>
      <w:r w:rsidR="002C0691">
        <w:rPr>
          <w:lang w:val="lv-LV"/>
        </w:rPr>
        <w:t xml:space="preserve">koplietošanas </w:t>
      </w:r>
      <w:proofErr w:type="spellStart"/>
      <w:r w:rsidR="002C0691">
        <w:rPr>
          <w:lang w:val="lv-LV"/>
        </w:rPr>
        <w:t>pakalpes</w:t>
      </w:r>
      <w:proofErr w:type="spellEnd"/>
    </w:p>
    <w:p w14:paraId="7BC95853" w14:textId="294AFB1E" w:rsidR="002C0691" w:rsidRDefault="000C15AA" w:rsidP="001C4F27">
      <w:pPr>
        <w:pStyle w:val="ListParagraph"/>
        <w:numPr>
          <w:ilvl w:val="1"/>
          <w:numId w:val="8"/>
        </w:numPr>
        <w:rPr>
          <w:lang w:val="lv-LV"/>
        </w:rPr>
      </w:pPr>
      <w:r>
        <w:rPr>
          <w:lang w:val="lv-LV"/>
        </w:rPr>
        <w:t xml:space="preserve">Valsts informācijas sistēmu, resursu un </w:t>
      </w:r>
      <w:proofErr w:type="spellStart"/>
      <w:r>
        <w:rPr>
          <w:lang w:val="lv-LV"/>
        </w:rPr>
        <w:t>sadarbspējas</w:t>
      </w:r>
      <w:proofErr w:type="spellEnd"/>
      <w:r>
        <w:rPr>
          <w:lang w:val="lv-LV"/>
        </w:rPr>
        <w:t xml:space="preserve"> reģistrs</w:t>
      </w:r>
      <w:r w:rsidR="00C07F7D">
        <w:rPr>
          <w:lang w:val="lv-LV"/>
        </w:rPr>
        <w:t xml:space="preserve"> (VIRSIS)</w:t>
      </w:r>
    </w:p>
    <w:p w14:paraId="6EF85055" w14:textId="5F98DFE4" w:rsidR="000C15AA" w:rsidRDefault="000C15AA" w:rsidP="001C4F27">
      <w:pPr>
        <w:pStyle w:val="ListParagraph"/>
        <w:numPr>
          <w:ilvl w:val="1"/>
          <w:numId w:val="8"/>
        </w:numPr>
        <w:rPr>
          <w:lang w:val="lv-LV"/>
        </w:rPr>
      </w:pPr>
      <w:r>
        <w:rPr>
          <w:lang w:val="lv-LV"/>
        </w:rPr>
        <w:t>Latvijas atvērto datu portāls</w:t>
      </w:r>
    </w:p>
    <w:p w14:paraId="4787A2BA" w14:textId="74D29BAE" w:rsidR="000C15AA" w:rsidRDefault="009F69E3" w:rsidP="001C4F27">
      <w:pPr>
        <w:pStyle w:val="ListParagraph"/>
        <w:numPr>
          <w:ilvl w:val="1"/>
          <w:numId w:val="8"/>
        </w:numPr>
        <w:rPr>
          <w:lang w:val="lv-LV"/>
        </w:rPr>
      </w:pPr>
      <w:r>
        <w:rPr>
          <w:lang w:val="lv-LV"/>
        </w:rPr>
        <w:t xml:space="preserve">Ģeotelpisko datu </w:t>
      </w:r>
      <w:proofErr w:type="spellStart"/>
      <w:r>
        <w:rPr>
          <w:lang w:val="lv-LV"/>
        </w:rPr>
        <w:t>savietotājs</w:t>
      </w:r>
      <w:proofErr w:type="spellEnd"/>
    </w:p>
    <w:p w14:paraId="1824ADB7" w14:textId="26CB5604" w:rsidR="009F69E3" w:rsidRDefault="009F69E3" w:rsidP="008167FC">
      <w:pPr>
        <w:pStyle w:val="ListParagraph"/>
        <w:numPr>
          <w:ilvl w:val="1"/>
          <w:numId w:val="8"/>
        </w:numPr>
        <w:rPr>
          <w:lang w:val="lv-LV"/>
        </w:rPr>
      </w:pPr>
      <w:proofErr w:type="spellStart"/>
      <w:r>
        <w:rPr>
          <w:lang w:val="lv-LV"/>
        </w:rPr>
        <w:t>Ģeoportāls</w:t>
      </w:r>
      <w:proofErr w:type="spellEnd"/>
    </w:p>
    <w:p w14:paraId="0C252AFA" w14:textId="518BCB4B" w:rsidR="00EF0B1A" w:rsidRPr="008167FC" w:rsidRDefault="00EF0B1A" w:rsidP="008167FC">
      <w:pPr>
        <w:pStyle w:val="ListParagraph"/>
        <w:numPr>
          <w:ilvl w:val="1"/>
          <w:numId w:val="8"/>
        </w:numPr>
        <w:rPr>
          <w:lang w:val="lv-LV"/>
        </w:rPr>
      </w:pPr>
      <w:r>
        <w:rPr>
          <w:lang w:val="lv-LV"/>
        </w:rPr>
        <w:t>Citi (lūdzu norādīt)</w:t>
      </w:r>
    </w:p>
    <w:p w14:paraId="09A191C4" w14:textId="5A723ABA" w:rsidR="005D153F" w:rsidRPr="004402D0" w:rsidRDefault="00870468" w:rsidP="00D5520A">
      <w:pPr>
        <w:pStyle w:val="ListParagraph"/>
        <w:numPr>
          <w:ilvl w:val="0"/>
          <w:numId w:val="8"/>
        </w:numPr>
        <w:rPr>
          <w:lang w:val="lv-LV"/>
        </w:rPr>
      </w:pPr>
      <w:r>
        <w:rPr>
          <w:lang w:val="lv-LV"/>
        </w:rPr>
        <w:t>VPK1</w:t>
      </w:r>
      <w:r w:rsidR="0009120C">
        <w:rPr>
          <w:lang w:val="lv-LV"/>
        </w:rPr>
        <w:t>6</w:t>
      </w:r>
      <w:r>
        <w:rPr>
          <w:lang w:val="lv-LV"/>
        </w:rPr>
        <w:t xml:space="preserve">. </w:t>
      </w:r>
      <w:r w:rsidR="004402D0" w:rsidRPr="004402D0">
        <w:rPr>
          <w:lang w:val="lv-LV"/>
        </w:rPr>
        <w:t xml:space="preserve">Vai </w:t>
      </w:r>
      <w:proofErr w:type="spellStart"/>
      <w:r w:rsidR="004402D0" w:rsidRPr="004402D0">
        <w:rPr>
          <w:lang w:val="lv-LV"/>
        </w:rPr>
        <w:t>m</w:t>
      </w:r>
      <w:r w:rsidR="005D153F" w:rsidRPr="004402D0">
        <w:rPr>
          <w:lang w:val="lv-LV"/>
        </w:rPr>
        <w:t>ērķarhitektūrā</w:t>
      </w:r>
      <w:proofErr w:type="spellEnd"/>
      <w:r w:rsidR="005D153F" w:rsidRPr="004402D0">
        <w:rPr>
          <w:lang w:val="lv-LV"/>
        </w:rPr>
        <w:t xml:space="preserve"> tiek paredzēts veidot koplietojamus un atkārtoti izmantojamus risinājumus</w:t>
      </w:r>
      <w:r w:rsidR="004402D0" w:rsidRPr="004402D0">
        <w:rPr>
          <w:lang w:val="lv-LV"/>
        </w:rPr>
        <w:t>?</w:t>
      </w:r>
    </w:p>
    <w:p w14:paraId="12A296C4" w14:textId="6B43E1BC" w:rsidR="004402D0" w:rsidRPr="004402D0" w:rsidRDefault="00870468" w:rsidP="00D5520A">
      <w:pPr>
        <w:pStyle w:val="ListParagraph"/>
        <w:numPr>
          <w:ilvl w:val="0"/>
          <w:numId w:val="8"/>
        </w:numPr>
        <w:rPr>
          <w:lang w:val="lv-LV"/>
        </w:rPr>
      </w:pPr>
      <w:r>
        <w:rPr>
          <w:lang w:val="lv-LV"/>
        </w:rPr>
        <w:t>VPK1</w:t>
      </w:r>
      <w:r w:rsidR="0009120C">
        <w:rPr>
          <w:lang w:val="lv-LV"/>
        </w:rPr>
        <w:t>7</w:t>
      </w:r>
      <w:r>
        <w:rPr>
          <w:lang w:val="lv-LV"/>
        </w:rPr>
        <w:t xml:space="preserve">. </w:t>
      </w:r>
      <w:r w:rsidR="004402D0" w:rsidRPr="004402D0">
        <w:rPr>
          <w:lang w:val="lv-LV"/>
        </w:rPr>
        <w:t xml:space="preserve">Vai IKT risinājumu izstrāde un attīstība atbilst Eiropas Savienības noteiktajiem </w:t>
      </w:r>
      <w:proofErr w:type="spellStart"/>
      <w:r w:rsidR="004402D0" w:rsidRPr="004402D0">
        <w:rPr>
          <w:lang w:val="lv-LV"/>
        </w:rPr>
        <w:t>domēnspecifiskajiem</w:t>
      </w:r>
      <w:proofErr w:type="spellEnd"/>
      <w:r w:rsidR="004402D0" w:rsidRPr="004402D0">
        <w:rPr>
          <w:lang w:val="lv-LV"/>
        </w:rPr>
        <w:t xml:space="preserve"> standartiem</w:t>
      </w:r>
      <w:r w:rsidR="00F60AE4">
        <w:rPr>
          <w:lang w:val="lv-LV"/>
        </w:rPr>
        <w:t xml:space="preserve"> (piemēram, veselības nozares datu standarti)?</w:t>
      </w:r>
    </w:p>
    <w:p w14:paraId="0708C066" w14:textId="2637E647" w:rsidR="002E0A24" w:rsidRPr="00E40818" w:rsidRDefault="002E0A24" w:rsidP="00E43D18">
      <w:pPr>
        <w:pStyle w:val="Heading2"/>
        <w:rPr>
          <w:rStyle w:val="Heading4Char"/>
          <w:i w:val="0"/>
          <w:iCs w:val="0"/>
          <w:lang w:val="lv-LV"/>
        </w:rPr>
      </w:pPr>
      <w:r>
        <w:rPr>
          <w:lang w:val="lv-LV"/>
        </w:rPr>
        <w:lastRenderedPageBreak/>
        <w:t>P</w:t>
      </w:r>
      <w:r w:rsidR="00B42FB7">
        <w:rPr>
          <w:lang w:val="lv-LV"/>
        </w:rPr>
        <w:t>5</w:t>
      </w:r>
      <w:r>
        <w:rPr>
          <w:lang w:val="lv-LV"/>
        </w:rPr>
        <w:t xml:space="preserve">. </w:t>
      </w:r>
      <w:r w:rsidRPr="00E2406D">
        <w:rPr>
          <w:noProof/>
          <w:lang w:val="lv-LV"/>
        </w:rPr>
        <mc:AlternateContent>
          <mc:Choice Requires="wps">
            <w:drawing>
              <wp:anchor distT="0" distB="0" distL="114300" distR="114300" simplePos="0" relativeHeight="251658244" behindDoc="0" locked="0" layoutInCell="1" allowOverlap="1" wp14:anchorId="5ED0775D" wp14:editId="7E80248A">
                <wp:simplePos x="0" y="0"/>
                <wp:positionH relativeFrom="column">
                  <wp:posOffset>0</wp:posOffset>
                </wp:positionH>
                <wp:positionV relativeFrom="paragraph">
                  <wp:posOffset>316865</wp:posOffset>
                </wp:positionV>
                <wp:extent cx="1828800" cy="1828800"/>
                <wp:effectExtent l="0" t="0" r="8890" b="10795"/>
                <wp:wrapTopAndBottom/>
                <wp:docPr id="15037942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2DF9ADE" w14:textId="15BADDBC" w:rsidR="00FB2E2D" w:rsidRDefault="00FB2E2D" w:rsidP="000E63DC">
                            <w:pPr>
                              <w:ind w:left="851"/>
                              <w:jc w:val="both"/>
                              <w:rPr>
                                <w:lang w:val="lv-LV"/>
                              </w:rPr>
                            </w:pPr>
                            <w:r w:rsidRPr="00FB2E2D">
                              <w:rPr>
                                <w:lang w:val="lv-LV"/>
                              </w:rPr>
                              <w:t xml:space="preserve">Valsts pārvaldei jābūt caurskatāmai, pārredzamai un atklātai, veicinot datu, specifikāciju un programmatūras pieejamību brīvai piekļuvei un atkārtotai izmantošanai. </w:t>
                            </w:r>
                          </w:p>
                          <w:p w14:paraId="2E77A101" w14:textId="77777777" w:rsidR="000E63DC" w:rsidRPr="000E63DC" w:rsidRDefault="000E63DC" w:rsidP="000E63DC">
                            <w:pPr>
                              <w:ind w:left="851"/>
                              <w:jc w:val="both"/>
                              <w:rPr>
                                <w:lang w:val="lv-LV" w:bidi="lv-LV"/>
                              </w:rPr>
                            </w:pPr>
                            <w:r w:rsidRPr="000E63DC">
                              <w:rPr>
                                <w:lang w:val="lv-LV" w:bidi="lv-LV"/>
                              </w:rPr>
                              <w:t xml:space="preserve">Sadarbspējīgu publisko pakalpojumu kontekstā jēdziens </w:t>
                            </w:r>
                            <w:r w:rsidRPr="000E63DC">
                              <w:rPr>
                                <w:b/>
                                <w:lang w:val="lv-LV" w:bidi="lv-LV"/>
                              </w:rPr>
                              <w:t>atklātība</w:t>
                            </w:r>
                            <w:r w:rsidRPr="000E63DC">
                              <w:rPr>
                                <w:lang w:val="lv-LV" w:bidi="lv-LV"/>
                              </w:rPr>
                              <w:t xml:space="preserve"> attiecas uz datiem, specifikācijām un programmatūru.</w:t>
                            </w:r>
                          </w:p>
                          <w:p w14:paraId="743CEBBC" w14:textId="05EA67B7" w:rsidR="000E63DC" w:rsidRDefault="000E63DC" w:rsidP="000E63DC">
                            <w:pPr>
                              <w:ind w:left="851"/>
                              <w:jc w:val="both"/>
                              <w:rPr>
                                <w:lang w:val="lv-LV" w:bidi="lv-LV"/>
                              </w:rPr>
                            </w:pPr>
                            <w:r w:rsidRPr="000E63DC">
                              <w:rPr>
                                <w:lang w:val="lv-LV" w:bidi="lv-LV"/>
                              </w:rPr>
                              <w:t xml:space="preserve">Jēdziens “atklāti valsts pārvaldes dati” (turpmāk — </w:t>
                            </w:r>
                            <w:r w:rsidRPr="000E63DC">
                              <w:rPr>
                                <w:b/>
                                <w:lang w:val="lv-LV" w:bidi="lv-LV"/>
                              </w:rPr>
                              <w:t>“atklāti dati”</w:t>
                            </w:r>
                            <w:r w:rsidRPr="000E63DC">
                              <w:rPr>
                                <w:lang w:val="lv-LV" w:bidi="lv-LV"/>
                              </w:rPr>
                              <w:t xml:space="preserve">) nosaka publisko datu brīvi pieejamiem piekļuvei un izmantošanai, ja vien netiek piemēroti ierobežojumi, piemēram, aizsargājot personas datus, konfidencialitāti vai intelektuālā īpašuma tiesības. </w:t>
                            </w:r>
                          </w:p>
                          <w:p w14:paraId="0E9011DB" w14:textId="229F2334" w:rsidR="00B439C5" w:rsidRPr="00FB2E2D" w:rsidRDefault="00B439C5" w:rsidP="00B439C5">
                            <w:pPr>
                              <w:ind w:left="851"/>
                              <w:jc w:val="both"/>
                              <w:rPr>
                                <w:lang w:val="lv-LV" w:bidi="lv-LV"/>
                              </w:rPr>
                            </w:pPr>
                            <w:r w:rsidRPr="00B439C5">
                              <w:rPr>
                                <w:b/>
                                <w:lang w:val="lv-LV" w:bidi="lv-LV"/>
                              </w:rPr>
                              <w:t>Atklātā pirmkoda programmatūras tehnoloģiju un produktu</w:t>
                            </w:r>
                            <w:r w:rsidRPr="00B439C5">
                              <w:rPr>
                                <w:lang w:val="lv-LV" w:bidi="lv-LV"/>
                              </w:rPr>
                              <w:t xml:space="preserve"> izmantošana var palīdzēt samazināt izstrādes izmaksas, izvairīties no dalības ierobežošanas un ātri pielāgoties īpašām darbības vajadzībām. </w:t>
                            </w:r>
                          </w:p>
                          <w:p w14:paraId="518F8620" w14:textId="45AF5869" w:rsidR="002E0A24" w:rsidRDefault="00FB2E2D" w:rsidP="002E0A24">
                            <w:pPr>
                              <w:ind w:left="851"/>
                              <w:jc w:val="both"/>
                              <w:rPr>
                                <w:lang w:val="lv-LV"/>
                              </w:rPr>
                            </w:pPr>
                            <w:r w:rsidRPr="00FB2E2D">
                              <w:rPr>
                                <w:lang w:val="lv-LV"/>
                              </w:rPr>
                              <w:t>Atklātība nodrošina iedzīvotājiem un uzņēmumiem iespēju iesaistīties valsts pakalpojumu attīstībā, uzlabojot pakalpojumu kvalitāti un veicinot uzticēšanos pārvaldes lēmumu pieņemšanas procesiem.</w:t>
                            </w:r>
                          </w:p>
                          <w:p w14:paraId="5C7A4CE5" w14:textId="47960F34" w:rsidR="00CC37CD" w:rsidRPr="0022004A" w:rsidRDefault="00CC37CD" w:rsidP="002E0A24">
                            <w:pPr>
                              <w:ind w:left="851"/>
                              <w:jc w:val="both"/>
                              <w:rPr>
                                <w:lang w:val="lv-LV"/>
                              </w:rPr>
                            </w:pPr>
                            <w:r w:rsidRPr="0022004A">
                              <w:rPr>
                                <w:b/>
                                <w:bCs/>
                                <w:lang w:val="lv-LV"/>
                              </w:rPr>
                              <w:t>Pārredzamība</w:t>
                            </w:r>
                            <w:r w:rsidRPr="0022004A">
                              <w:rPr>
                                <w:lang w:val="lv-LV"/>
                              </w:rPr>
                              <w:t xml:space="preserve"> arhitektūras principu un nacionālā sadarbspējas satvara kontekstā nozīmē spēju ielūkoties valsts pārvaldes iestāžu darbības vidē, lai citām iestādēm, iedzīvotājiem un uzņēmumiem būtu iespēja izprast administratīvos noteikumus, procesus, datus, pakalpojumus un lēmumu pieņemšanas procesus. Tā ietver arī pieejamu saskarņu nodrošināšanu publiskās pārvaldes iestāžu iekšējām informācijas sistēmām, kuras nereti ir neviendabīgas un nesavienojamas. Sadarbspēja, kas ir būtiska šajā procesā, ļauj integrēt šīs sistēmas un to datus lielākās sistēmās, atvieglojot atkārtotu izmantošanu. Vienlaikus pārredzamība ietver personas datu aizsardzības nodrošināšanu, ievērojot piemērojamo tiesisko regulējumu.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396A70A2">
              <v:shape id="_x0000_s1029" style="position:absolute;margin-left:0;margin-top:24.95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WsWQIAAAwFAAAOAAAAZHJzL2Uyb0RvYy54bWysVE2P2jAQvVfqf7B8LwFKW4oIK8qKqhLa&#10;XZWt9mwcG6I6HsseSOiv79iBQLecql6csWfezLz5yPSuqQw7KB9KsDkf9PqcKSuhKO025z+el+/G&#10;nAUUthAGrMr5UQV+N3v7Zlq7iRrCDkyhPCMnNkxql/MdoptkWZA7VYnQA6csKTX4SiBd/TYrvKjJ&#10;e2WyYb//MavBF86DVCHQ632r5LPkX2sl8VHroJCZnFNumE6fzk08s9lUTLZeuF0pT2mIf8iiEqWl&#10;oJ2re4GC7X35l6uqlB4CaOxJqDLQupQqcSA2g/4rNuudcCpxoeIE15Up/D+38uGwdk+eYfMFGmpg&#10;LEjtwiTQY+TTaF/FL2XKSE8lPHZlUw0yGUHj4XjcJ5Uk3flCfrIL3PmAXxVULAo599SXVC5xWAVs&#10;Tc8mMZqx8e2SR5LwaFSr/K40KwuKPExO0rCohfHsIKjNQkpl8X1kQhkYS9YRpktjOuDgFtBgok+g&#10;k22EqTREHbB/C/hnxA6RooLFDlyVFvwtB8XPLnJrf2bfco70sdk0RDrniVh82UBxpM55aIc6OLks&#10;qborEfBJeJpi6ghtJj7SoQ3UOYeTxNkO/K9b79Gehou0nNW0FTm3tLacmW+Whu7zYDSKS5Quow+f&#10;hnTx15rNtcbuqwVQPwb0B3AyidEezVnUHqoXWt95jEkqYSVFzjmexQW2m0rrL9V8noxobZzAlV07&#10;GV3HGsfJeW5ehHen8UKazAc4b4+YvJqy1jYig5vvEZZlGsFLTU/Vp5VLI3T6PcSdvr4nq8tPbPYb&#10;AAD//wMAUEsDBBQABgAIAAAAIQDu75ah2wAAAAcBAAAPAAAAZHJzL2Rvd25yZXYueG1sTI9NT8Mw&#10;DIbvSPyHyEjcWMo6QVvqTgMJODMmzlnjfrDGqZpsK/x6zAmO9vvq8eNyPbtBnWgKvWeE20UCirj2&#10;tucWYff+fJOBCtGwNYNnQviiAOvq8qI0hfVnfqPTNrZKIBwKg9DFOBZah7ojZ8LCj8SSNX5yJso4&#10;tdpO5ixwN+hlktxpZ3qWC50Z6amj+rA9OoT04zVt7Nz0L6skDY+02eXfnwfE66t58wAq0hz/yvCr&#10;L+pQidPeH9kGNSDIIxFhleegJF1mmSz2gk7vc9BVqf/7Vz8AAAD//wMAUEsBAi0AFAAGAAgAAAAh&#10;ALaDOJL+AAAA4QEAABMAAAAAAAAAAAAAAAAAAAAAAFtDb250ZW50X1R5cGVzXS54bWxQSwECLQAU&#10;AAYACAAAACEAOP0h/9YAAACUAQAACwAAAAAAAAAAAAAAAAAvAQAAX3JlbHMvLnJlbHNQSwECLQAU&#10;AAYACAAAACEAgccFrFkCAAAMBQAADgAAAAAAAAAAAAAAAAAuAgAAZHJzL2Uyb0RvYy54bWxQSwEC&#10;LQAUAAYACAAAACEA7u+WodsAAAAHAQAADwAAAAAAAAAAAAAAAACzBAAAZHJzL2Rvd25yZXYueG1s&#10;UEsFBgAAAAAEAAQA8wAAALsFAAAAAA==&#10;" w14:anchorId="5ED0775D">
                <v:textbox style="mso-fit-shape-to-text:t">
                  <w:txbxContent>
                    <w:p w:rsidR="00FB2E2D" w:rsidP="000E63DC" w:rsidRDefault="00FB2E2D" w14:paraId="15D074E3" w14:textId="15BADDBC">
                      <w:pPr>
                        <w:ind w:left="851"/>
                        <w:jc w:val="both"/>
                        <w:rPr>
                          <w:lang w:val="lv-LV"/>
                        </w:rPr>
                      </w:pPr>
                      <w:r w:rsidRPr="00FB2E2D">
                        <w:rPr>
                          <w:lang w:val="lv-LV"/>
                        </w:rPr>
                        <w:t xml:space="preserve">Valsts pārvaldei jābūt caurskatāmai, pārredzamai un atklātai, veicinot datu, specifikāciju un programmatūras pieejamību brīvai piekļuvei un atkārtotai izmantošanai. </w:t>
                      </w:r>
                    </w:p>
                    <w:p w:rsidRPr="000E63DC" w:rsidR="000E63DC" w:rsidP="000E63DC" w:rsidRDefault="000E63DC" w14:paraId="46B9D10B" w14:textId="77777777">
                      <w:pPr>
                        <w:ind w:left="851"/>
                        <w:jc w:val="both"/>
                        <w:rPr>
                          <w:lang w:val="lv-LV" w:bidi="lv-LV"/>
                        </w:rPr>
                      </w:pPr>
                      <w:r w:rsidRPr="000E63DC">
                        <w:rPr>
                          <w:lang w:val="lv-LV" w:bidi="lv-LV"/>
                        </w:rPr>
                        <w:t xml:space="preserve">Sadarbspējīgu publisko pakalpojumu kontekstā jēdziens </w:t>
                      </w:r>
                      <w:r w:rsidRPr="000E63DC">
                        <w:rPr>
                          <w:b/>
                          <w:lang w:val="lv-LV" w:bidi="lv-LV"/>
                        </w:rPr>
                        <w:t>atklātība</w:t>
                      </w:r>
                      <w:r w:rsidRPr="000E63DC">
                        <w:rPr>
                          <w:lang w:val="lv-LV" w:bidi="lv-LV"/>
                        </w:rPr>
                        <w:t xml:space="preserve"> attiecas uz datiem, specifikācijām un programmatūru.</w:t>
                      </w:r>
                    </w:p>
                    <w:p w:rsidR="000E63DC" w:rsidP="000E63DC" w:rsidRDefault="000E63DC" w14:paraId="2AA5700F" w14:textId="05EA67B7">
                      <w:pPr>
                        <w:ind w:left="851"/>
                        <w:jc w:val="both"/>
                        <w:rPr>
                          <w:lang w:val="lv-LV" w:bidi="lv-LV"/>
                        </w:rPr>
                      </w:pPr>
                      <w:r w:rsidRPr="000E63DC">
                        <w:rPr>
                          <w:lang w:val="lv-LV" w:bidi="lv-LV"/>
                        </w:rPr>
                        <w:t xml:space="preserve">Jēdziens “atklāti valsts pārvaldes dati” (turpmāk — </w:t>
                      </w:r>
                      <w:r w:rsidRPr="000E63DC">
                        <w:rPr>
                          <w:b/>
                          <w:lang w:val="lv-LV" w:bidi="lv-LV"/>
                        </w:rPr>
                        <w:t>“atklāti dati”</w:t>
                      </w:r>
                      <w:r w:rsidRPr="000E63DC">
                        <w:rPr>
                          <w:lang w:val="lv-LV" w:bidi="lv-LV"/>
                        </w:rPr>
                        <w:t xml:space="preserve">) nosaka publisko datu brīvi pieejamiem piekļuvei un izmantošanai, ja vien netiek piemēroti ierobežojumi, piemēram, aizsargājot personas datus, konfidencialitāti vai intelektuālā īpašuma tiesības. </w:t>
                      </w:r>
                    </w:p>
                    <w:p w:rsidRPr="00FB2E2D" w:rsidR="00B439C5" w:rsidP="00B439C5" w:rsidRDefault="00B439C5" w14:paraId="1185E8ED" w14:textId="229F2334">
                      <w:pPr>
                        <w:ind w:left="851"/>
                        <w:jc w:val="both"/>
                        <w:rPr>
                          <w:lang w:val="lv-LV" w:bidi="lv-LV"/>
                        </w:rPr>
                      </w:pPr>
                      <w:r w:rsidRPr="00B439C5">
                        <w:rPr>
                          <w:b/>
                          <w:lang w:val="lv-LV" w:bidi="lv-LV"/>
                        </w:rPr>
                        <w:t>Atklātā pirmkoda programmatūras tehnoloģiju un produktu</w:t>
                      </w:r>
                      <w:r w:rsidRPr="00B439C5">
                        <w:rPr>
                          <w:lang w:val="lv-LV" w:bidi="lv-LV"/>
                        </w:rPr>
                        <w:t xml:space="preserve"> izmantošana var palīdzēt samazināt izstrādes izmaksas, izvairīties no dalības ierobežošanas un ātri pielāgoties īpašām darbības vajadzībām. </w:t>
                      </w:r>
                    </w:p>
                    <w:p w:rsidR="002E0A24" w:rsidP="002E0A24" w:rsidRDefault="00FB2E2D" w14:paraId="5CEA2309" w14:textId="45AF5869">
                      <w:pPr>
                        <w:ind w:left="851"/>
                        <w:jc w:val="both"/>
                        <w:rPr>
                          <w:lang w:val="lv-LV"/>
                        </w:rPr>
                      </w:pPr>
                      <w:r w:rsidRPr="00FB2E2D">
                        <w:rPr>
                          <w:lang w:val="lv-LV"/>
                        </w:rPr>
                        <w:t>Atklātība nodrošina iedzīvotājiem un uzņēmumiem iespēju iesaistīties valsts pakalpojumu attīstībā, uzlabojot pakalpojumu kvalitāti un veicinot uzticēšanos pārvaldes lēmumu pieņemšanas procesiem.</w:t>
                      </w:r>
                    </w:p>
                    <w:p w:rsidRPr="0022004A" w:rsidR="00CC37CD" w:rsidP="002E0A24" w:rsidRDefault="00CC37CD" w14:paraId="728DE03E" w14:textId="47960F34">
                      <w:pPr>
                        <w:ind w:left="851"/>
                        <w:jc w:val="both"/>
                        <w:rPr>
                          <w:lang w:val="lv-LV"/>
                        </w:rPr>
                      </w:pPr>
                      <w:r w:rsidRPr="0022004A">
                        <w:rPr>
                          <w:b/>
                          <w:bCs/>
                          <w:lang w:val="lv-LV"/>
                        </w:rPr>
                        <w:t>Pārredzamība</w:t>
                      </w:r>
                      <w:r w:rsidRPr="0022004A">
                        <w:rPr>
                          <w:lang w:val="lv-LV"/>
                        </w:rPr>
                        <w:t xml:space="preserve"> arhitektūras principu un nacionālā sadarbspējas satvara kontekstā nozīmē spēju ielūkoties valsts pārvaldes iestāžu darbības vidē, lai citām iestādēm, iedzīvotājiem un uzņēmumiem būtu iespēja izprast administratīvos noteikumus, procesus, datus, pakalpojumus un lēmumu pieņemšanas procesus. Tā ietver arī pieejamu saskarņu nodrošināšanu publiskās pārvaldes iestāžu iekšējām informācijas sistēmām, kuras nereti ir neviendabīgas un nesavienojamas. Sadarbspēja, kas ir būtiska šajā procesā, ļauj integrēt šīs sistēmas un to datus lielākās sistēmās, atvieglojot atkārtotu izmantošanu. Vienlaikus pārredzamība ietver personas datu aizsardzības nodrošināšanu, ievērojot piemērojamo tiesisko regulējumu.</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45" behindDoc="0" locked="0" layoutInCell="1" allowOverlap="1" wp14:anchorId="1506C8B5" wp14:editId="404E83EC">
            <wp:simplePos x="0" y="0"/>
            <wp:positionH relativeFrom="margin">
              <wp:posOffset>88900</wp:posOffset>
            </wp:positionH>
            <wp:positionV relativeFrom="paragraph">
              <wp:posOffset>450850</wp:posOffset>
            </wp:positionV>
            <wp:extent cx="427990" cy="427990"/>
            <wp:effectExtent l="0" t="0" r="0" b="0"/>
            <wp:wrapSquare wrapText="bothSides"/>
            <wp:docPr id="322563885"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5C4346">
        <w:rPr>
          <w:lang w:val="lv-LV"/>
        </w:rPr>
        <w:t>Rad</w:t>
      </w:r>
      <w:r w:rsidR="00E47D33">
        <w:rPr>
          <w:lang w:val="lv-LV"/>
        </w:rPr>
        <w:t xml:space="preserve">īt </w:t>
      </w:r>
      <w:r w:rsidR="005C4346">
        <w:rPr>
          <w:lang w:val="lv-LV"/>
        </w:rPr>
        <w:t>caurskatām</w:t>
      </w:r>
      <w:r w:rsidR="00062E26">
        <w:rPr>
          <w:lang w:val="lv-LV"/>
        </w:rPr>
        <w:t>u</w:t>
      </w:r>
      <w:r w:rsidR="005C4346">
        <w:rPr>
          <w:lang w:val="lv-LV"/>
        </w:rPr>
        <w:t>, atklāt</w:t>
      </w:r>
      <w:r w:rsidR="00062E26">
        <w:rPr>
          <w:lang w:val="lv-LV"/>
        </w:rPr>
        <w:t xml:space="preserve">u </w:t>
      </w:r>
      <w:r w:rsidR="005C4346">
        <w:rPr>
          <w:lang w:val="lv-LV"/>
        </w:rPr>
        <w:t>un atvērt</w:t>
      </w:r>
      <w:r w:rsidR="00062E26">
        <w:rPr>
          <w:lang w:val="lv-LV"/>
        </w:rPr>
        <w:t>u valsts pārvaldi</w:t>
      </w:r>
    </w:p>
    <w:p w14:paraId="75C9C9F1" w14:textId="77777777" w:rsidR="002E0A24" w:rsidRDefault="002E0A24" w:rsidP="002E0A24">
      <w:pPr>
        <w:rPr>
          <w:lang w:val="lv-LV"/>
        </w:rPr>
      </w:pPr>
    </w:p>
    <w:p w14:paraId="25D97128" w14:textId="6D26EBDC" w:rsidR="006E5B75" w:rsidRPr="00C15F23" w:rsidRDefault="00D00965" w:rsidP="006E5B75">
      <w:pPr>
        <w:rPr>
          <w:lang w:val="lv-LV"/>
        </w:rPr>
      </w:pPr>
      <w:r w:rsidRPr="00C15F23">
        <w:rPr>
          <w:lang w:val="lv-LV"/>
        </w:rPr>
        <w:t>Piemērošanas vadlīnijas:</w:t>
      </w:r>
    </w:p>
    <w:p w14:paraId="1AE03E0F" w14:textId="4F4CAE2A" w:rsidR="00502031" w:rsidRPr="004D31D4" w:rsidRDefault="00BC60B3" w:rsidP="00D5520A">
      <w:pPr>
        <w:pStyle w:val="ListParagraph"/>
        <w:numPr>
          <w:ilvl w:val="0"/>
          <w:numId w:val="8"/>
        </w:numPr>
        <w:rPr>
          <w:lang w:val="lv-LV"/>
        </w:rPr>
      </w:pPr>
      <w:r w:rsidRPr="004D31D4">
        <w:rPr>
          <w:lang w:val="lv-LV"/>
        </w:rPr>
        <w:t xml:space="preserve">Nodrošiniet jomas esošās un </w:t>
      </w:r>
      <w:proofErr w:type="spellStart"/>
      <w:r w:rsidRPr="004D31D4">
        <w:rPr>
          <w:lang w:val="lv-LV"/>
        </w:rPr>
        <w:t>mērķarhitektūras</w:t>
      </w:r>
      <w:proofErr w:type="spellEnd"/>
      <w:r w:rsidRPr="004D31D4">
        <w:rPr>
          <w:lang w:val="lv-LV"/>
        </w:rPr>
        <w:t xml:space="preserve"> caurskatāmību, veidot esošās arhitektūras komponentu un to sasaistes aprakstīšanu VIRSIS</w:t>
      </w:r>
      <w:r w:rsidR="00525395">
        <w:rPr>
          <w:lang w:val="lv-LV"/>
        </w:rPr>
        <w:t xml:space="preserve"> un publicēt visiem pieejamu jomas </w:t>
      </w:r>
      <w:proofErr w:type="spellStart"/>
      <w:r w:rsidR="00525395">
        <w:rPr>
          <w:lang w:val="lv-LV"/>
        </w:rPr>
        <w:t>mērķarhitektūru</w:t>
      </w:r>
      <w:proofErr w:type="spellEnd"/>
      <w:r w:rsidR="00525395">
        <w:rPr>
          <w:lang w:val="lv-LV"/>
        </w:rPr>
        <w:t xml:space="preserve"> (VARAM arhitektūras vietnē)</w:t>
      </w:r>
    </w:p>
    <w:p w14:paraId="4E711AA4" w14:textId="3DF79B54" w:rsidR="00BC60B3" w:rsidRPr="004D31D4" w:rsidRDefault="00BC60B3" w:rsidP="00D5520A">
      <w:pPr>
        <w:pStyle w:val="ListParagraph"/>
        <w:numPr>
          <w:ilvl w:val="0"/>
          <w:numId w:val="8"/>
        </w:numPr>
        <w:rPr>
          <w:lang w:val="lv-LV"/>
        </w:rPr>
      </w:pPr>
      <w:r w:rsidRPr="004D31D4">
        <w:rPr>
          <w:lang w:val="lv-LV"/>
        </w:rPr>
        <w:lastRenderedPageBreak/>
        <w:t>Izvērtējiet</w:t>
      </w:r>
      <w:r w:rsidR="00502031" w:rsidRPr="004D31D4">
        <w:rPr>
          <w:lang w:val="lv-LV"/>
        </w:rPr>
        <w:t xml:space="preserve"> iestādes īpašumā esošos jēgpilnus datus un publiskojiet tos kā atklātus datus, ja uz tiem neattiecas īpaši ierobežojumi</w:t>
      </w:r>
    </w:p>
    <w:p w14:paraId="31339451" w14:textId="2EB16D93" w:rsidR="00BC60B3" w:rsidRPr="004D31D4" w:rsidRDefault="00BC60B3" w:rsidP="00D5520A">
      <w:pPr>
        <w:pStyle w:val="ListParagraph"/>
        <w:numPr>
          <w:ilvl w:val="0"/>
          <w:numId w:val="8"/>
        </w:numPr>
        <w:rPr>
          <w:lang w:val="lv-LV"/>
        </w:rPr>
      </w:pPr>
      <w:r w:rsidRPr="004D31D4">
        <w:rPr>
          <w:lang w:val="lv-LV"/>
        </w:rPr>
        <w:t>Izvērtējiet atvērto specifikāciju un tehnoloģiju pielietošanas iespējas</w:t>
      </w:r>
    </w:p>
    <w:p w14:paraId="1951EB77" w14:textId="7F086091" w:rsidR="00565F37" w:rsidRPr="004D31D4" w:rsidRDefault="00565F37" w:rsidP="00D5520A">
      <w:pPr>
        <w:pStyle w:val="ListParagraph"/>
        <w:numPr>
          <w:ilvl w:val="0"/>
          <w:numId w:val="8"/>
        </w:numPr>
        <w:jc w:val="both"/>
        <w:rPr>
          <w:bCs/>
          <w:lang w:val="lv-LV"/>
        </w:rPr>
      </w:pPr>
      <w:r w:rsidRPr="004D31D4">
        <w:rPr>
          <w:bCs/>
          <w:lang w:val="lv-LV"/>
        </w:rPr>
        <w:t>Nodrošiniet vienlīdzīgus apstākļus atklātā pirmkoda programmatūrai, kā arī aktīvi un godīgi izvērtējiet iespējas lietot atklātā pirmkoda programmatūru, ņemot vērā šādu risinājumu izmantošanas kopējās izmaksas</w:t>
      </w:r>
    </w:p>
    <w:p w14:paraId="694E3F47" w14:textId="240AA637" w:rsidR="005316A0" w:rsidRPr="004D31D4" w:rsidRDefault="005316A0" w:rsidP="00D5520A">
      <w:pPr>
        <w:pStyle w:val="ListParagraph"/>
        <w:numPr>
          <w:ilvl w:val="0"/>
          <w:numId w:val="8"/>
        </w:numPr>
        <w:jc w:val="both"/>
        <w:rPr>
          <w:bCs/>
          <w:lang w:val="lv-LV"/>
        </w:rPr>
      </w:pPr>
      <w:r w:rsidRPr="004D31D4">
        <w:rPr>
          <w:bCs/>
          <w:lang w:val="lv-LV"/>
        </w:rPr>
        <w:t>Dodiet priekšroku atklātām specifikācijām, pienācīgi izvērtējot funkcionālo vajadzību nodrošinājumu, izstrādes līmeni, tirgus atbalstu un inovācij</w:t>
      </w:r>
      <w:r w:rsidR="00F40A58">
        <w:rPr>
          <w:bCs/>
          <w:lang w:val="lv-LV"/>
        </w:rPr>
        <w:t>as</w:t>
      </w:r>
    </w:p>
    <w:p w14:paraId="77B486E4" w14:textId="1C9EEBA3" w:rsidR="004D31D4" w:rsidRPr="004D31D4" w:rsidRDefault="004D31D4" w:rsidP="00D5520A">
      <w:pPr>
        <w:pStyle w:val="ListParagraph"/>
        <w:numPr>
          <w:ilvl w:val="0"/>
          <w:numId w:val="8"/>
        </w:numPr>
        <w:jc w:val="both"/>
        <w:rPr>
          <w:bCs/>
          <w:lang w:val="lv-LV"/>
        </w:rPr>
      </w:pPr>
      <w:r w:rsidRPr="004D31D4">
        <w:rPr>
          <w:bCs/>
          <w:lang w:val="lv-LV"/>
        </w:rPr>
        <w:t xml:space="preserve">Nodrošiniet IKT risinājumu iekšēju redzamību un izveidojiet ārējas </w:t>
      </w:r>
      <w:proofErr w:type="spellStart"/>
      <w:r w:rsidRPr="004D31D4">
        <w:rPr>
          <w:bCs/>
          <w:lang w:val="lv-LV"/>
        </w:rPr>
        <w:t>saskarnes</w:t>
      </w:r>
      <w:proofErr w:type="spellEnd"/>
      <w:r w:rsidRPr="004D31D4">
        <w:rPr>
          <w:bCs/>
          <w:lang w:val="lv-LV"/>
        </w:rPr>
        <w:t>, ievērojot tiesisko regulējumu attiecībā uz datu aizsardzību</w:t>
      </w:r>
    </w:p>
    <w:p w14:paraId="2CF3DCE4" w14:textId="2B0426F9" w:rsidR="00BD6B1F" w:rsidRPr="00C15F23" w:rsidRDefault="00BD6B1F" w:rsidP="00BD6B1F">
      <w:pPr>
        <w:rPr>
          <w:lang w:val="lv-LV"/>
        </w:rPr>
      </w:pPr>
      <w:r w:rsidRPr="00C15F23">
        <w:rPr>
          <w:lang w:val="lv-LV"/>
        </w:rPr>
        <w:t>Novērtējuma vadlīnijas:</w:t>
      </w:r>
    </w:p>
    <w:p w14:paraId="310ED562" w14:textId="498A0ABC" w:rsidR="004C6E32" w:rsidRPr="00C15F23" w:rsidRDefault="00870468" w:rsidP="00D5520A">
      <w:pPr>
        <w:pStyle w:val="ListParagraph"/>
        <w:numPr>
          <w:ilvl w:val="0"/>
          <w:numId w:val="8"/>
        </w:numPr>
        <w:rPr>
          <w:lang w:val="lv-LV"/>
        </w:rPr>
      </w:pPr>
      <w:r>
        <w:rPr>
          <w:lang w:val="lv-LV"/>
        </w:rPr>
        <w:t>VPK1</w:t>
      </w:r>
      <w:r w:rsidR="00B42FB7">
        <w:rPr>
          <w:lang w:val="lv-LV"/>
        </w:rPr>
        <w:t>8</w:t>
      </w:r>
      <w:r>
        <w:rPr>
          <w:lang w:val="lv-LV"/>
        </w:rPr>
        <w:t xml:space="preserve">. </w:t>
      </w:r>
      <w:r w:rsidR="004B03EC">
        <w:rPr>
          <w:lang w:val="lv-LV"/>
        </w:rPr>
        <w:t>Vai j</w:t>
      </w:r>
      <w:r w:rsidR="004C6E32" w:rsidRPr="00C15F23">
        <w:rPr>
          <w:lang w:val="lv-LV"/>
        </w:rPr>
        <w:t>omas esošās arhitektūras komponentes ir reģistrētas VIRSIS</w:t>
      </w:r>
      <w:r w:rsidR="004B03EC">
        <w:rPr>
          <w:lang w:val="lv-LV"/>
        </w:rPr>
        <w:t xml:space="preserve"> (pakalpojumi, IKT komponenti, normatīvie akti u.c.)?</w:t>
      </w:r>
    </w:p>
    <w:p w14:paraId="037ECF83" w14:textId="4FCA9913" w:rsidR="00D00965" w:rsidRPr="00C15F23" w:rsidRDefault="703556A7" w:rsidP="00D5520A">
      <w:pPr>
        <w:pStyle w:val="ListParagraph"/>
        <w:numPr>
          <w:ilvl w:val="0"/>
          <w:numId w:val="8"/>
        </w:numPr>
        <w:rPr>
          <w:lang w:val="lv-LV"/>
        </w:rPr>
      </w:pPr>
      <w:commentRangeStart w:id="14"/>
      <w:commentRangeStart w:id="15"/>
      <w:commentRangeStart w:id="16"/>
      <w:r w:rsidRPr="3D3736F2">
        <w:rPr>
          <w:lang w:val="lv-LV"/>
        </w:rPr>
        <w:t>VPK1</w:t>
      </w:r>
      <w:r w:rsidR="00B42FB7">
        <w:rPr>
          <w:lang w:val="lv-LV"/>
        </w:rPr>
        <w:t>9</w:t>
      </w:r>
      <w:r w:rsidRPr="3D3736F2">
        <w:rPr>
          <w:lang w:val="lv-LV"/>
        </w:rPr>
        <w:t xml:space="preserve">. </w:t>
      </w:r>
      <w:r w:rsidR="39CE3F6E" w:rsidRPr="3D3736F2">
        <w:rPr>
          <w:lang w:val="lv-LV"/>
        </w:rPr>
        <w:t xml:space="preserve">Vai </w:t>
      </w:r>
      <w:proofErr w:type="spellStart"/>
      <w:r w:rsidR="39CE3F6E" w:rsidRPr="3D3736F2">
        <w:rPr>
          <w:lang w:val="lv-LV"/>
        </w:rPr>
        <w:t>m</w:t>
      </w:r>
      <w:r w:rsidR="54C1413D" w:rsidRPr="3D3736F2">
        <w:rPr>
          <w:lang w:val="lv-LV"/>
        </w:rPr>
        <w:t>ērķarhitektūras</w:t>
      </w:r>
      <w:proofErr w:type="spellEnd"/>
      <w:r w:rsidR="0068201D">
        <w:rPr>
          <w:lang w:val="lv-LV"/>
        </w:rPr>
        <w:t xml:space="preserve"> IKT risinājumu</w:t>
      </w:r>
      <w:r w:rsidR="54C1413D" w:rsidRPr="3D3736F2">
        <w:rPr>
          <w:lang w:val="lv-LV"/>
        </w:rPr>
        <w:t xml:space="preserve"> </w:t>
      </w:r>
      <w:r w:rsidR="576C23BB" w:rsidRPr="3D3736F2">
        <w:rPr>
          <w:lang w:val="lv-LV"/>
        </w:rPr>
        <w:t>ieviešanai</w:t>
      </w:r>
      <w:r w:rsidR="54C1413D" w:rsidRPr="3D3736F2">
        <w:rPr>
          <w:lang w:val="lv-LV"/>
        </w:rPr>
        <w:t xml:space="preserve"> t</w:t>
      </w:r>
      <w:r w:rsidR="73BD019C" w:rsidRPr="3D3736F2">
        <w:rPr>
          <w:lang w:val="lv-LV"/>
        </w:rPr>
        <w:t xml:space="preserve">iek paredzēta atvērtā </w:t>
      </w:r>
      <w:r w:rsidR="6F06ED6C" w:rsidRPr="3D3736F2">
        <w:rPr>
          <w:lang w:val="lv-LV"/>
        </w:rPr>
        <w:t>pirm</w:t>
      </w:r>
      <w:r w:rsidR="73BD019C" w:rsidRPr="3D3736F2">
        <w:rPr>
          <w:lang w:val="lv-LV"/>
        </w:rPr>
        <w:t>koda tehnoloģiju izmantošana</w:t>
      </w:r>
      <w:r w:rsidR="39CE3F6E" w:rsidRPr="3D3736F2">
        <w:rPr>
          <w:lang w:val="lv-LV"/>
        </w:rPr>
        <w:t>?</w:t>
      </w:r>
      <w:commentRangeEnd w:id="14"/>
      <w:r w:rsidR="00870468">
        <w:rPr>
          <w:rStyle w:val="CommentReference"/>
        </w:rPr>
        <w:commentReference w:id="14"/>
      </w:r>
      <w:commentRangeEnd w:id="15"/>
      <w:r w:rsidR="00870468">
        <w:rPr>
          <w:rStyle w:val="CommentReference"/>
        </w:rPr>
        <w:commentReference w:id="15"/>
      </w:r>
      <w:commentRangeEnd w:id="16"/>
      <w:r w:rsidR="00DE2F12">
        <w:rPr>
          <w:rStyle w:val="CommentReference"/>
        </w:rPr>
        <w:commentReference w:id="16"/>
      </w:r>
    </w:p>
    <w:p w14:paraId="3EB26FF9" w14:textId="2A5F5262" w:rsidR="00D00965" w:rsidRDefault="00870468" w:rsidP="00D5520A">
      <w:pPr>
        <w:pStyle w:val="ListParagraph"/>
        <w:numPr>
          <w:ilvl w:val="0"/>
          <w:numId w:val="8"/>
        </w:numPr>
        <w:rPr>
          <w:lang w:val="lv-LV"/>
        </w:rPr>
      </w:pPr>
      <w:r>
        <w:rPr>
          <w:lang w:val="lv-LV"/>
        </w:rPr>
        <w:t>VPK</w:t>
      </w:r>
      <w:r w:rsidR="00B42FB7">
        <w:rPr>
          <w:lang w:val="lv-LV"/>
        </w:rPr>
        <w:t>20</w:t>
      </w:r>
      <w:r>
        <w:rPr>
          <w:lang w:val="lv-LV"/>
        </w:rPr>
        <w:t xml:space="preserve">. </w:t>
      </w:r>
      <w:r w:rsidR="004B03EC">
        <w:rPr>
          <w:lang w:val="lv-LV"/>
        </w:rPr>
        <w:t xml:space="preserve">Vai </w:t>
      </w:r>
      <w:proofErr w:type="spellStart"/>
      <w:r w:rsidR="004B03EC">
        <w:rPr>
          <w:lang w:val="lv-LV"/>
        </w:rPr>
        <w:t>m</w:t>
      </w:r>
      <w:r w:rsidR="004C6E32" w:rsidRPr="00C15F23">
        <w:rPr>
          <w:lang w:val="lv-LV"/>
        </w:rPr>
        <w:t>ērķarhitektūr</w:t>
      </w:r>
      <w:r w:rsidR="00A547F4">
        <w:rPr>
          <w:lang w:val="lv-LV"/>
        </w:rPr>
        <w:t>a</w:t>
      </w:r>
      <w:proofErr w:type="spellEnd"/>
      <w:r w:rsidR="00A547F4">
        <w:rPr>
          <w:lang w:val="lv-LV"/>
        </w:rPr>
        <w:t xml:space="preserve"> paredz</w:t>
      </w:r>
      <w:r w:rsidR="00D00965" w:rsidRPr="00C15F23">
        <w:rPr>
          <w:lang w:val="lv-LV"/>
        </w:rPr>
        <w:t xml:space="preserve"> jēgpilnu at</w:t>
      </w:r>
      <w:r w:rsidR="00502031">
        <w:rPr>
          <w:lang w:val="lv-LV"/>
        </w:rPr>
        <w:t>klāto</w:t>
      </w:r>
      <w:r w:rsidR="00D00965" w:rsidRPr="00C15F23">
        <w:rPr>
          <w:lang w:val="lv-LV"/>
        </w:rPr>
        <w:t xml:space="preserve"> datu publicēšan</w:t>
      </w:r>
      <w:r w:rsidR="00A547F4">
        <w:rPr>
          <w:lang w:val="lv-LV"/>
        </w:rPr>
        <w:t>u</w:t>
      </w:r>
      <w:r w:rsidR="004B03EC">
        <w:rPr>
          <w:lang w:val="lv-LV"/>
        </w:rPr>
        <w:t>?</w:t>
      </w:r>
    </w:p>
    <w:p w14:paraId="6AFDBCB5" w14:textId="25E84355" w:rsidR="00C6441B" w:rsidRPr="00C6441B" w:rsidRDefault="00870468" w:rsidP="00D5520A">
      <w:pPr>
        <w:pStyle w:val="ListParagraph"/>
        <w:numPr>
          <w:ilvl w:val="0"/>
          <w:numId w:val="8"/>
        </w:numPr>
        <w:rPr>
          <w:lang w:val="lv-LV"/>
        </w:rPr>
      </w:pPr>
      <w:r>
        <w:rPr>
          <w:lang w:val="lv-LV"/>
        </w:rPr>
        <w:t>VPK</w:t>
      </w:r>
      <w:r w:rsidR="00B42FB7">
        <w:rPr>
          <w:lang w:val="lv-LV"/>
        </w:rPr>
        <w:t>21</w:t>
      </w:r>
      <w:r>
        <w:rPr>
          <w:lang w:val="lv-LV"/>
        </w:rPr>
        <w:t xml:space="preserve">. </w:t>
      </w:r>
      <w:r w:rsidR="004B03EC">
        <w:rPr>
          <w:lang w:val="lv-LV"/>
        </w:rPr>
        <w:t xml:space="preserve">Vai </w:t>
      </w:r>
      <w:proofErr w:type="spellStart"/>
      <w:r w:rsidR="004B03EC">
        <w:rPr>
          <w:lang w:val="lv-LV"/>
        </w:rPr>
        <w:t>m</w:t>
      </w:r>
      <w:r w:rsidR="00C6441B">
        <w:rPr>
          <w:lang w:val="lv-LV"/>
        </w:rPr>
        <w:t>ērķarhitektūrā</w:t>
      </w:r>
      <w:proofErr w:type="spellEnd"/>
      <w:r w:rsidR="00C6441B">
        <w:rPr>
          <w:lang w:val="lv-LV"/>
        </w:rPr>
        <w:t xml:space="preserve"> ir izvērtētas un identificētas nepieciešamās datu apmaiņas </w:t>
      </w:r>
      <w:proofErr w:type="spellStart"/>
      <w:r w:rsidR="00C6441B">
        <w:rPr>
          <w:lang w:val="lv-LV"/>
        </w:rPr>
        <w:t>saskarnes</w:t>
      </w:r>
      <w:proofErr w:type="spellEnd"/>
      <w:r w:rsidR="00C6441B">
        <w:rPr>
          <w:lang w:val="lv-LV"/>
        </w:rPr>
        <w:t xml:space="preserve"> </w:t>
      </w:r>
      <w:proofErr w:type="spellStart"/>
      <w:r w:rsidR="00C6441B">
        <w:rPr>
          <w:lang w:val="lv-LV"/>
        </w:rPr>
        <w:t>vienreizes</w:t>
      </w:r>
      <w:proofErr w:type="spellEnd"/>
      <w:r w:rsidR="00C6441B">
        <w:rPr>
          <w:lang w:val="lv-LV"/>
        </w:rPr>
        <w:t xml:space="preserve"> principa īstenošanai</w:t>
      </w:r>
      <w:r w:rsidR="004B03EC">
        <w:rPr>
          <w:lang w:val="lv-LV"/>
        </w:rPr>
        <w:t>?</w:t>
      </w:r>
    </w:p>
    <w:p w14:paraId="65F61797" w14:textId="5A6BE387" w:rsidR="00BD6B1F" w:rsidRPr="00187FB5" w:rsidRDefault="00870468" w:rsidP="00D5520A">
      <w:pPr>
        <w:pStyle w:val="ListParagraph"/>
        <w:numPr>
          <w:ilvl w:val="0"/>
          <w:numId w:val="8"/>
        </w:numPr>
        <w:rPr>
          <w:lang w:val="lv-LV"/>
        </w:rPr>
      </w:pPr>
      <w:r>
        <w:rPr>
          <w:lang w:val="lv-LV"/>
        </w:rPr>
        <w:t>VPK</w:t>
      </w:r>
      <w:r w:rsidR="00B42FB7">
        <w:rPr>
          <w:lang w:val="lv-LV"/>
        </w:rPr>
        <w:t>22</w:t>
      </w:r>
      <w:r>
        <w:rPr>
          <w:lang w:val="lv-LV"/>
        </w:rPr>
        <w:t xml:space="preserve">. </w:t>
      </w:r>
      <w:r w:rsidR="004B03EC">
        <w:rPr>
          <w:lang w:val="lv-LV"/>
        </w:rPr>
        <w:t xml:space="preserve">Vai </w:t>
      </w:r>
      <w:proofErr w:type="spellStart"/>
      <w:r w:rsidR="004B03EC">
        <w:rPr>
          <w:lang w:val="lv-LV"/>
        </w:rPr>
        <w:t>m</w:t>
      </w:r>
      <w:r w:rsidR="004C6E32" w:rsidRPr="00C15F23">
        <w:rPr>
          <w:lang w:val="lv-LV"/>
        </w:rPr>
        <w:t>ērķarhitektūras</w:t>
      </w:r>
      <w:proofErr w:type="spellEnd"/>
      <w:r w:rsidR="004C6E32" w:rsidRPr="00C15F23">
        <w:rPr>
          <w:lang w:val="lv-LV"/>
        </w:rPr>
        <w:t xml:space="preserve"> d</w:t>
      </w:r>
      <w:r w:rsidR="00EB33C2" w:rsidRPr="00C15F23">
        <w:rPr>
          <w:lang w:val="lv-LV"/>
        </w:rPr>
        <w:t xml:space="preserve">atu apmaiņas </w:t>
      </w:r>
      <w:proofErr w:type="spellStart"/>
      <w:r w:rsidR="00EB33C2" w:rsidRPr="00C15F23">
        <w:rPr>
          <w:lang w:val="lv-LV"/>
        </w:rPr>
        <w:t>saskarnes</w:t>
      </w:r>
      <w:proofErr w:type="spellEnd"/>
      <w:r w:rsidR="00EB33C2" w:rsidRPr="00C15F23">
        <w:rPr>
          <w:lang w:val="lv-LV"/>
        </w:rPr>
        <w:t xml:space="preserve"> ir paredzēts publicēt VISS, tā koplietošanas komponentēs vai citos normatīvajos aktos noteiktajos risinājumos</w:t>
      </w:r>
      <w:r w:rsidR="004B03EC">
        <w:rPr>
          <w:lang w:val="lv-LV"/>
        </w:rPr>
        <w:t>?</w:t>
      </w:r>
    </w:p>
    <w:p w14:paraId="6067C716" w14:textId="78048F1A" w:rsidR="00FB2E2D" w:rsidRPr="00E40818" w:rsidRDefault="00FB2E2D" w:rsidP="00E43D18">
      <w:pPr>
        <w:pStyle w:val="Heading2"/>
        <w:rPr>
          <w:rStyle w:val="Heading4Char"/>
          <w:i w:val="0"/>
          <w:iCs w:val="0"/>
          <w:lang w:val="lv-LV"/>
        </w:rPr>
      </w:pPr>
      <w:r>
        <w:rPr>
          <w:lang w:val="lv-LV"/>
        </w:rPr>
        <w:t>P</w:t>
      </w:r>
      <w:r w:rsidR="00B42FB7">
        <w:rPr>
          <w:lang w:val="lv-LV"/>
        </w:rPr>
        <w:t>6</w:t>
      </w:r>
      <w:r>
        <w:rPr>
          <w:lang w:val="lv-LV"/>
        </w:rPr>
        <w:t xml:space="preserve">. </w:t>
      </w:r>
      <w:r w:rsidRPr="00E2406D">
        <w:rPr>
          <w:noProof/>
          <w:lang w:val="lv-LV"/>
        </w:rPr>
        <mc:AlternateContent>
          <mc:Choice Requires="wps">
            <w:drawing>
              <wp:anchor distT="0" distB="0" distL="114300" distR="114300" simplePos="0" relativeHeight="251658246" behindDoc="0" locked="0" layoutInCell="1" allowOverlap="1" wp14:anchorId="4CB85574" wp14:editId="56B32C7D">
                <wp:simplePos x="0" y="0"/>
                <wp:positionH relativeFrom="column">
                  <wp:posOffset>0</wp:posOffset>
                </wp:positionH>
                <wp:positionV relativeFrom="paragraph">
                  <wp:posOffset>316865</wp:posOffset>
                </wp:positionV>
                <wp:extent cx="1828800" cy="1828800"/>
                <wp:effectExtent l="0" t="0" r="8890" b="10795"/>
                <wp:wrapTopAndBottom/>
                <wp:docPr id="81635340"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D3BA5F7" w14:textId="4A7B2B13" w:rsidR="00FB2E2D" w:rsidRPr="008504C5" w:rsidRDefault="00601D05" w:rsidP="00E47D33">
                            <w:pPr>
                              <w:ind w:left="851"/>
                              <w:jc w:val="both"/>
                              <w:rPr>
                                <w:lang w:val="lv-LV"/>
                              </w:rPr>
                            </w:pPr>
                            <w:r w:rsidRPr="008504C5">
                              <w:rPr>
                                <w:lang w:val="lv-LV"/>
                              </w:rPr>
                              <w:t>Publiskajiem</w:t>
                            </w:r>
                            <w:r w:rsidR="00FB2E2D" w:rsidRPr="008504C5">
                              <w:rPr>
                                <w:lang w:val="lv-LV"/>
                              </w:rPr>
                              <w:t xml:space="preserve"> pārvalde</w:t>
                            </w:r>
                            <w:r w:rsidR="00E47D33" w:rsidRPr="008504C5">
                              <w:rPr>
                                <w:lang w:val="lv-LV"/>
                              </w:rPr>
                              <w:t xml:space="preserve">s pakalpojumiem un </w:t>
                            </w:r>
                            <w:r w:rsidR="00F925F5" w:rsidRPr="008504C5">
                              <w:rPr>
                                <w:lang w:val="lv-LV"/>
                              </w:rPr>
                              <w:t xml:space="preserve">IKT </w:t>
                            </w:r>
                            <w:r w:rsidR="00E47D33" w:rsidRPr="008504C5">
                              <w:rPr>
                                <w:lang w:val="lv-LV"/>
                              </w:rPr>
                              <w:t xml:space="preserve">risinājumiem ir jābūt elastīgiem un spējīgiem pielāgoties mainīgām klientu un normatīvo aktu prasībām un tehnoloģiju attīstības tendencēm. </w:t>
                            </w:r>
                          </w:p>
                          <w:p w14:paraId="63D02926" w14:textId="7FCDBCD8" w:rsidR="008504C5" w:rsidRPr="008504C5" w:rsidRDefault="008504C5" w:rsidP="008504C5">
                            <w:pPr>
                              <w:ind w:left="851"/>
                              <w:jc w:val="both"/>
                              <w:rPr>
                                <w:lang w:val="lv-LV" w:bidi="lv-LV"/>
                              </w:rPr>
                            </w:pPr>
                            <w:r w:rsidRPr="008504C5">
                              <w:rPr>
                                <w:lang w:val="lv-LV" w:bidi="lv-LV"/>
                              </w:rPr>
                              <w:t xml:space="preserve">Nepārtraukta izstrāde ir dārga, tāpēc pakalpojumi un IKT risinājumi ir jāveido tā, lai tie spētu pielāgotos bez pilnīgas pārstrādes. Jāparedz, kādi mainīgi faktori varētu ietekmēt konkrēto pakalpojumu vai IKT risinājumu, un šīs izmaiņas jāņem vērā dizainā, izmantojot konfigurējamas vai aizvietojamas/paplašināmas </w:t>
                            </w:r>
                            <w:r>
                              <w:rPr>
                                <w:lang w:val="lv-LV" w:bidi="lv-LV"/>
                              </w:rPr>
                              <w:t xml:space="preserve">komponentes. </w:t>
                            </w:r>
                          </w:p>
                          <w:p w14:paraId="77C191CB" w14:textId="7A739EA3" w:rsidR="008504C5" w:rsidRPr="008504C5" w:rsidRDefault="008504C5" w:rsidP="008504C5">
                            <w:pPr>
                              <w:ind w:left="851"/>
                              <w:jc w:val="both"/>
                              <w:rPr>
                                <w:lang w:val="lv-LV" w:bidi="lv-LV"/>
                              </w:rPr>
                            </w:pPr>
                            <w:r w:rsidRPr="008504C5">
                              <w:rPr>
                                <w:lang w:val="lv-LV" w:bidi="lv-LV"/>
                              </w:rPr>
                              <w:t xml:space="preserve">Projektējot pakalpojumus un IKT risinājumus rekomendēts veidot prototipus un koncepcijas apliecinājumus </w:t>
                            </w:r>
                            <w:r w:rsidRPr="008504C5">
                              <w:rPr>
                                <w:i/>
                                <w:iCs/>
                                <w:lang w:val="lv-LV" w:bidi="lv-LV"/>
                              </w:rPr>
                              <w:t>(no angļu val. – proof of concept).</w:t>
                            </w:r>
                            <w:r w:rsidRPr="008504C5">
                              <w:rPr>
                                <w:lang w:val="lv-LV" w:bidi="lv-LV"/>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66F39AB9">
              <v:shape id="_x0000_s1030" style="position:absolute;margin-left:0;margin-top:24.95pt;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HMWwIAAAwFAAAOAAAAZHJzL2Uyb0RvYy54bWysVN9v0zAQfkfif7D8TpOWAqVaOpVNRUjV&#10;NtGhPbuOvUY4Psu+Nil/PWenycroE+LFOfvuu5/f5eq6rQ07KB8qsAUfj3LOlJVQVva54D8eV+9m&#10;nAUUthQGrCr4UQV+vXj75qpxczWBHZhSeUZObJg3ruA7RDfPsiB3qhZhBE5ZUmrwtUC6+ues9KIh&#10;77XJJnn+MWvAl86DVCHQ622n5IvkX2sl8V7roJCZglNumE6fzm08s8WVmD974XaVPKUh/iGLWlSW&#10;gg6ubgUKtvfVX67qSnoIoHEkoc5A60qqVANVM85fVbPZCadSLdSc4IY2hf/nVt4dNu7BM2y/QEsD&#10;jA1pXJgHeoz1tNrX8UuZMtJTC49D21SLTEbQbDKb5aSSpOsv5Cd7gTsf8KuCmkWh4J7mktolDuuA&#10;nWlvEqMZG99e8kgSHo3qlN+VZlVJkSfJSSKLujGeHQSNWUipLL6PlVAGxpJ1hOnKmAE4vgQ0mMon&#10;0Mk2wlQi0QDMLwH/jDggUlSwOIDryoK/5KD8OUTu7Pvqu5pj+dhuWyq64NN+RFsojzQ5Dx2pg5Or&#10;irq7FgEfhCcW00RoM/GeDm2gKTicJM524H9deo/2RC7SctbQVhTc0tpyZr5ZIt3n8XQalyhdph8+&#10;TejizzXbc43d1zdA8xjTH8DJJEZ7NL2oPdRPtL7LGJNUwkqKXHDsxRvsNpXWX6rlMhnR2jiBa7tx&#10;MrqOPY7MeWyfhHcneiEx8w767RHzVyzrbCMyuOUeYVUlCsYudz09dZ9WLlHo9HuIO31+T1YvP7HF&#10;bwA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C3sFHMWwIAAAwFAAAOAAAAAAAAAAAAAAAAAC4CAABkcnMvZTJvRG9jLnhtbFBL&#10;AQItABQABgAIAAAAIQDu75ah2wAAAAcBAAAPAAAAAAAAAAAAAAAAALUEAABkcnMvZG93bnJldi54&#10;bWxQSwUGAAAAAAQABADzAAAAvQUAAAAA&#10;" w14:anchorId="4CB85574">
                <v:textbox style="mso-fit-shape-to-text:t">
                  <w:txbxContent>
                    <w:p w:rsidRPr="008504C5" w:rsidR="00FB2E2D" w:rsidP="00E47D33" w:rsidRDefault="00601D05" w14:paraId="535D2047" w14:textId="4A7B2B13">
                      <w:pPr>
                        <w:ind w:left="851"/>
                        <w:jc w:val="both"/>
                        <w:rPr>
                          <w:lang w:val="lv-LV"/>
                        </w:rPr>
                      </w:pPr>
                      <w:r w:rsidRPr="008504C5">
                        <w:rPr>
                          <w:lang w:val="lv-LV"/>
                        </w:rPr>
                        <w:t>Publiskajiem</w:t>
                      </w:r>
                      <w:r w:rsidRPr="008504C5" w:rsidR="00FB2E2D">
                        <w:rPr>
                          <w:lang w:val="lv-LV"/>
                        </w:rPr>
                        <w:t xml:space="preserve"> pārvalde</w:t>
                      </w:r>
                      <w:r w:rsidRPr="008504C5" w:rsidR="00E47D33">
                        <w:rPr>
                          <w:lang w:val="lv-LV"/>
                        </w:rPr>
                        <w:t xml:space="preserve">s pakalpojumiem un </w:t>
                      </w:r>
                      <w:r w:rsidRPr="008504C5" w:rsidR="00F925F5">
                        <w:rPr>
                          <w:lang w:val="lv-LV"/>
                        </w:rPr>
                        <w:t xml:space="preserve">IKT </w:t>
                      </w:r>
                      <w:r w:rsidRPr="008504C5" w:rsidR="00E47D33">
                        <w:rPr>
                          <w:lang w:val="lv-LV"/>
                        </w:rPr>
                        <w:t xml:space="preserve">risinājumiem ir jābūt elastīgiem un spējīgiem pielāgoties mainīgām klientu un normatīvo aktu prasībām un tehnoloģiju attīstības tendencēm. </w:t>
                      </w:r>
                    </w:p>
                    <w:p w:rsidRPr="008504C5" w:rsidR="008504C5" w:rsidP="008504C5" w:rsidRDefault="008504C5" w14:paraId="40731B0A" w14:textId="7FCDBCD8">
                      <w:pPr>
                        <w:ind w:left="851"/>
                        <w:jc w:val="both"/>
                        <w:rPr>
                          <w:lang w:val="lv-LV" w:bidi="lv-LV"/>
                        </w:rPr>
                      </w:pPr>
                      <w:r w:rsidRPr="008504C5">
                        <w:rPr>
                          <w:lang w:val="lv-LV" w:bidi="lv-LV"/>
                        </w:rPr>
                        <w:t xml:space="preserve">Nepārtraukta izstrāde ir dārga, tāpēc pakalpojumi un IKT risinājumi ir jāveido tā, lai tie spētu pielāgotos bez pilnīgas pārstrādes. Jāparedz, kādi mainīgi faktori varētu ietekmēt konkrēto pakalpojumu vai IKT risinājumu, un šīs izmaiņas jāņem vērā dizainā, izmantojot konfigurējamas vai aizvietojamas/paplašināmas </w:t>
                      </w:r>
                      <w:r>
                        <w:rPr>
                          <w:lang w:val="lv-LV" w:bidi="lv-LV"/>
                        </w:rPr>
                        <w:t xml:space="preserve">komponentes. </w:t>
                      </w:r>
                    </w:p>
                    <w:p w:rsidRPr="008504C5" w:rsidR="008504C5" w:rsidP="008504C5" w:rsidRDefault="008504C5" w14:paraId="5BB1F801" w14:textId="7A739EA3">
                      <w:pPr>
                        <w:ind w:left="851"/>
                        <w:jc w:val="both"/>
                        <w:rPr>
                          <w:lang w:val="lv-LV" w:bidi="lv-LV"/>
                        </w:rPr>
                      </w:pPr>
                      <w:r w:rsidRPr="008504C5">
                        <w:rPr>
                          <w:lang w:val="lv-LV" w:bidi="lv-LV"/>
                        </w:rPr>
                        <w:t xml:space="preserve">Projektējot pakalpojumus un IKT risinājumus rekomendēts veidot prototipus un koncepcijas apliecinājumus </w:t>
                      </w:r>
                      <w:r w:rsidRPr="008504C5">
                        <w:rPr>
                          <w:i/>
                          <w:iCs/>
                          <w:lang w:val="lv-LV" w:bidi="lv-LV"/>
                        </w:rPr>
                        <w:t xml:space="preserve">(no angļu val. – </w:t>
                      </w:r>
                      <w:r w:rsidRPr="008504C5">
                        <w:rPr>
                          <w:i/>
                          <w:iCs/>
                          <w:lang w:val="lv-LV" w:bidi="lv-LV"/>
                        </w:rPr>
                        <w:t>proof of concept).</w:t>
                      </w:r>
                      <w:r w:rsidRPr="008504C5">
                        <w:rPr>
                          <w:lang w:val="lv-LV" w:bidi="lv-LV"/>
                        </w:rPr>
                        <w:t xml:space="preserve"> </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47" behindDoc="0" locked="0" layoutInCell="1" allowOverlap="1" wp14:anchorId="32BEA016" wp14:editId="56103C50">
            <wp:simplePos x="0" y="0"/>
            <wp:positionH relativeFrom="margin">
              <wp:posOffset>88900</wp:posOffset>
            </wp:positionH>
            <wp:positionV relativeFrom="paragraph">
              <wp:posOffset>450850</wp:posOffset>
            </wp:positionV>
            <wp:extent cx="427990" cy="427990"/>
            <wp:effectExtent l="0" t="0" r="0" b="0"/>
            <wp:wrapSquare wrapText="bothSides"/>
            <wp:docPr id="285534308"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E47D33">
        <w:rPr>
          <w:lang w:val="lv-LV"/>
        </w:rPr>
        <w:t>Nodrošināt elastību un spēju pielāgoties</w:t>
      </w:r>
    </w:p>
    <w:p w14:paraId="084D87EA" w14:textId="77777777" w:rsidR="00FB2E2D" w:rsidRDefault="00FB2E2D" w:rsidP="00FB2E2D">
      <w:pPr>
        <w:rPr>
          <w:lang w:val="lv-LV"/>
        </w:rPr>
      </w:pPr>
    </w:p>
    <w:p w14:paraId="3B6F2204" w14:textId="483E9E2B" w:rsidR="00AB4826" w:rsidRDefault="00AB4826" w:rsidP="00FB2E2D">
      <w:pPr>
        <w:rPr>
          <w:lang w:val="lv-LV"/>
        </w:rPr>
      </w:pPr>
      <w:r>
        <w:rPr>
          <w:lang w:val="lv-LV"/>
        </w:rPr>
        <w:lastRenderedPageBreak/>
        <w:t>Piemērošanas vadlīnijas:</w:t>
      </w:r>
    </w:p>
    <w:p w14:paraId="50F15D88" w14:textId="37A6DD5E" w:rsidR="00CC37CD" w:rsidRPr="00CC37CD" w:rsidRDefault="00CC37CD" w:rsidP="00D5520A">
      <w:pPr>
        <w:pStyle w:val="ListParagraph"/>
        <w:numPr>
          <w:ilvl w:val="0"/>
          <w:numId w:val="10"/>
        </w:numPr>
        <w:rPr>
          <w:lang w:val="lv-LV"/>
        </w:rPr>
      </w:pPr>
      <w:r w:rsidRPr="00CC37CD">
        <w:rPr>
          <w:lang w:val="lv-LV"/>
        </w:rPr>
        <w:t>Plānojiet pakalpojumu</w:t>
      </w:r>
      <w:r>
        <w:rPr>
          <w:lang w:val="lv-LV"/>
        </w:rPr>
        <w:t xml:space="preserve"> un IKT risinājumu</w:t>
      </w:r>
      <w:r w:rsidRPr="00CC37CD">
        <w:rPr>
          <w:lang w:val="lv-LV"/>
        </w:rPr>
        <w:t xml:space="preserve"> pielāgojamību paredzamām izmaiņām</w:t>
      </w:r>
      <w:r>
        <w:rPr>
          <w:lang w:val="lv-LV"/>
        </w:rPr>
        <w:t xml:space="preserve">. </w:t>
      </w:r>
      <w:r w:rsidRPr="00CC37CD">
        <w:rPr>
          <w:lang w:val="lv-LV"/>
        </w:rPr>
        <w:t>Projektējot pakalpojumus</w:t>
      </w:r>
      <w:r>
        <w:rPr>
          <w:lang w:val="lv-LV"/>
        </w:rPr>
        <w:t xml:space="preserve"> un IKT risinājumus</w:t>
      </w:r>
      <w:r w:rsidRPr="00CC37CD">
        <w:rPr>
          <w:lang w:val="lv-LV"/>
        </w:rPr>
        <w:t xml:space="preserve">, </w:t>
      </w:r>
      <w:proofErr w:type="spellStart"/>
      <w:r w:rsidRPr="00CC37CD">
        <w:rPr>
          <w:lang w:val="lv-LV"/>
        </w:rPr>
        <w:t>prioritizējiet</w:t>
      </w:r>
      <w:proofErr w:type="spellEnd"/>
      <w:r w:rsidRPr="00CC37CD">
        <w:rPr>
          <w:lang w:val="lv-LV"/>
        </w:rPr>
        <w:t xml:space="preserve"> risinājumus, kas ļauj ieviest paredzamas izmaiņas bez nepieciešamības veikt pilnīgu pārveidi. Tas palīdzēs samazināt ilgtermiņa izmaksas un veicinās pielāgošanās spēju.</w:t>
      </w:r>
    </w:p>
    <w:p w14:paraId="072F9566" w14:textId="23EA71E7" w:rsidR="00CC37CD" w:rsidRPr="00CC37CD" w:rsidRDefault="00CC37CD" w:rsidP="00D5520A">
      <w:pPr>
        <w:pStyle w:val="ListParagraph"/>
        <w:numPr>
          <w:ilvl w:val="0"/>
          <w:numId w:val="10"/>
        </w:numPr>
        <w:rPr>
          <w:lang w:val="lv-LV"/>
        </w:rPr>
      </w:pPr>
      <w:r w:rsidRPr="00CC37CD">
        <w:rPr>
          <w:lang w:val="lv-LV"/>
        </w:rPr>
        <w:t>Prognozējiet iespējamas izmaiņas</w:t>
      </w:r>
      <w:r>
        <w:rPr>
          <w:lang w:val="lv-LV"/>
        </w:rPr>
        <w:t>.</w:t>
      </w:r>
      <w:r w:rsidRPr="00CC37CD">
        <w:rPr>
          <w:lang w:val="lv-LV"/>
        </w:rPr>
        <w:t xml:space="preserve"> Nosakiet, kādas izmaiņas visdrīzāk varētu ietekmēt jūsu pakalpojumu</w:t>
      </w:r>
      <w:r>
        <w:rPr>
          <w:lang w:val="lv-LV"/>
        </w:rPr>
        <w:t xml:space="preserve"> un IKT risinājumu</w:t>
      </w:r>
      <w:r w:rsidRPr="00CC37CD">
        <w:rPr>
          <w:lang w:val="lv-LV"/>
        </w:rPr>
        <w:t xml:space="preserve"> darbības jomu tā dzīves cikla laikā. Iekļaujiet elastību, izmantojot konfigurējamus risinājumus vai aizvietojamus un paplašināmus moduļus.</w:t>
      </w:r>
    </w:p>
    <w:p w14:paraId="0C305AA9" w14:textId="3ABE0854" w:rsidR="00CC37CD" w:rsidRPr="00CC37CD" w:rsidRDefault="00CC37CD" w:rsidP="00D5520A">
      <w:pPr>
        <w:pStyle w:val="ListParagraph"/>
        <w:numPr>
          <w:ilvl w:val="0"/>
          <w:numId w:val="10"/>
        </w:numPr>
        <w:rPr>
          <w:lang w:val="lv-LV"/>
        </w:rPr>
      </w:pPr>
      <w:r w:rsidRPr="00CC37CD">
        <w:rPr>
          <w:lang w:val="lv-LV"/>
        </w:rPr>
        <w:t>Ieguldiet elastības veidošanā sākumā</w:t>
      </w:r>
      <w:r>
        <w:rPr>
          <w:lang w:val="lv-LV"/>
        </w:rPr>
        <w:t>.</w:t>
      </w:r>
      <w:r w:rsidRPr="00CC37CD">
        <w:rPr>
          <w:lang w:val="lv-LV"/>
        </w:rPr>
        <w:t xml:space="preserve"> Lai gan pielāgojamu un elastīgu pakalpojumu</w:t>
      </w:r>
      <w:r>
        <w:rPr>
          <w:lang w:val="lv-LV"/>
        </w:rPr>
        <w:t xml:space="preserve"> un IKT risinājumu</w:t>
      </w:r>
      <w:r w:rsidRPr="00CC37CD">
        <w:rPr>
          <w:lang w:val="lv-LV"/>
        </w:rPr>
        <w:t xml:space="preserve"> izveide sākotnēji var prasīt lielākus ieguldījumus, šī pieeja palīdzēs samazināt nākotnes izmaiņu izmaksas un sarežģītību, nodrošinot efektivitāti ilgtermiņā.</w:t>
      </w:r>
    </w:p>
    <w:p w14:paraId="0F59AF11" w14:textId="1D65D28E" w:rsidR="00CC37CD" w:rsidRDefault="00CC37CD" w:rsidP="00D5520A">
      <w:pPr>
        <w:pStyle w:val="ListParagraph"/>
        <w:numPr>
          <w:ilvl w:val="0"/>
          <w:numId w:val="10"/>
        </w:numPr>
        <w:rPr>
          <w:lang w:val="lv-LV"/>
        </w:rPr>
      </w:pPr>
      <w:r w:rsidRPr="00CC37CD">
        <w:rPr>
          <w:lang w:val="lv-LV"/>
        </w:rPr>
        <w:t>Koncentrējieties uz būtiskajiem scenārijiem</w:t>
      </w:r>
      <w:r>
        <w:rPr>
          <w:lang w:val="lv-LV"/>
        </w:rPr>
        <w:t>.</w:t>
      </w:r>
      <w:r w:rsidRPr="00CC37CD">
        <w:rPr>
          <w:lang w:val="lv-LV"/>
        </w:rPr>
        <w:t xml:space="preserve"> Izvairieties no pārāk sarežģīta risinājuma veidošanas, gatavojoties tikai tām izmaiņām, kuras reāli varētu notikt pakalpojuma vai </w:t>
      </w:r>
      <w:r>
        <w:rPr>
          <w:lang w:val="lv-LV"/>
        </w:rPr>
        <w:t>IKT risinājuma</w:t>
      </w:r>
      <w:r w:rsidRPr="00CC37CD">
        <w:rPr>
          <w:lang w:val="lv-LV"/>
        </w:rPr>
        <w:t xml:space="preserve"> dzīves cikla laikā. Tas ļaus efektīvi izmantot resursus, nepārslogojot dizainu.</w:t>
      </w:r>
    </w:p>
    <w:p w14:paraId="701E2E8F" w14:textId="2572CDBC" w:rsidR="00CC37CD" w:rsidRPr="00CC37CD" w:rsidRDefault="00CC37CD" w:rsidP="00D5520A">
      <w:pPr>
        <w:pStyle w:val="ListParagraph"/>
        <w:numPr>
          <w:ilvl w:val="0"/>
          <w:numId w:val="10"/>
        </w:numPr>
        <w:rPr>
          <w:lang w:val="lv-LV"/>
        </w:rPr>
      </w:pPr>
      <w:r>
        <w:rPr>
          <w:lang w:val="lv-LV"/>
        </w:rPr>
        <w:t>Veidojiet prototipus un koncepcijas apliecinājumus</w:t>
      </w:r>
    </w:p>
    <w:p w14:paraId="26BC0EE4" w14:textId="5CB10FA0" w:rsidR="00AB4826" w:rsidRDefault="00AB4826" w:rsidP="00FB2E2D">
      <w:pPr>
        <w:rPr>
          <w:lang w:val="lv-LV"/>
        </w:rPr>
      </w:pPr>
      <w:r>
        <w:rPr>
          <w:lang w:val="lv-LV"/>
        </w:rPr>
        <w:t>Novērtēšanas vadlīnijas:</w:t>
      </w:r>
    </w:p>
    <w:p w14:paraId="6E23D1D2" w14:textId="2082B39F" w:rsidR="00963C35" w:rsidRPr="00963C35" w:rsidRDefault="00870468" w:rsidP="00D5520A">
      <w:pPr>
        <w:pStyle w:val="ListParagraph"/>
        <w:numPr>
          <w:ilvl w:val="0"/>
          <w:numId w:val="9"/>
        </w:numPr>
        <w:rPr>
          <w:lang w:val="lv-LV"/>
        </w:rPr>
      </w:pPr>
      <w:r>
        <w:rPr>
          <w:lang w:val="lv-LV"/>
        </w:rPr>
        <w:t>VPK2</w:t>
      </w:r>
      <w:r w:rsidR="008C3751">
        <w:rPr>
          <w:lang w:val="lv-LV"/>
        </w:rPr>
        <w:t>3</w:t>
      </w:r>
      <w:r>
        <w:rPr>
          <w:lang w:val="lv-LV"/>
        </w:rPr>
        <w:t xml:space="preserve">. </w:t>
      </w:r>
      <w:r w:rsidR="00963C35" w:rsidRPr="00963C35">
        <w:rPr>
          <w:lang w:val="lv-LV"/>
        </w:rPr>
        <w:t xml:space="preserve">Vai </w:t>
      </w:r>
      <w:r w:rsidR="00AA5424">
        <w:rPr>
          <w:lang w:val="lv-LV"/>
        </w:rPr>
        <w:t xml:space="preserve">mērķa </w:t>
      </w:r>
      <w:r w:rsidR="00963C35" w:rsidRPr="00963C35">
        <w:rPr>
          <w:lang w:val="lv-LV"/>
        </w:rPr>
        <w:t>pakalpojumu un IKT risinājumu dizains nodrošina iespēju ieviest paredzamas izmaiņas bez pilnīgas pārveides?</w:t>
      </w:r>
    </w:p>
    <w:p w14:paraId="2B32D4BF" w14:textId="5131A6E3" w:rsidR="00E84847" w:rsidRDefault="00870468" w:rsidP="001C4F27">
      <w:pPr>
        <w:pStyle w:val="ListParagraph"/>
        <w:numPr>
          <w:ilvl w:val="0"/>
          <w:numId w:val="9"/>
        </w:numPr>
        <w:rPr>
          <w:lang w:val="lv-LV"/>
        </w:rPr>
      </w:pPr>
      <w:r w:rsidRPr="00E84847">
        <w:rPr>
          <w:lang w:val="lv-LV"/>
        </w:rPr>
        <w:t>VPK2</w:t>
      </w:r>
      <w:r w:rsidR="008C3751">
        <w:rPr>
          <w:lang w:val="lv-LV"/>
        </w:rPr>
        <w:t>4</w:t>
      </w:r>
      <w:r w:rsidRPr="00E84847">
        <w:rPr>
          <w:lang w:val="lv-LV"/>
        </w:rPr>
        <w:t xml:space="preserve">. </w:t>
      </w:r>
      <w:r w:rsidR="00E84847" w:rsidRPr="00E84847">
        <w:rPr>
          <w:lang w:val="lv-LV"/>
        </w:rPr>
        <w:t xml:space="preserve">Vai </w:t>
      </w:r>
      <w:proofErr w:type="spellStart"/>
      <w:r w:rsidR="00E84847" w:rsidRPr="00E84847">
        <w:rPr>
          <w:lang w:val="lv-LV"/>
        </w:rPr>
        <w:t>mērķarhitektūrā</w:t>
      </w:r>
      <w:proofErr w:type="spellEnd"/>
      <w:r w:rsidR="00E84847" w:rsidRPr="00E84847">
        <w:rPr>
          <w:lang w:val="lv-LV"/>
        </w:rPr>
        <w:t xml:space="preserve"> ir paredzēti konfigurējami risinājumi vai aizvietojami un paplašināmi moduļi?</w:t>
      </w:r>
    </w:p>
    <w:p w14:paraId="0F0C4227" w14:textId="78DC4148" w:rsidR="00963C35" w:rsidRPr="00E84847" w:rsidRDefault="00870468" w:rsidP="001C4F27">
      <w:pPr>
        <w:pStyle w:val="ListParagraph"/>
        <w:numPr>
          <w:ilvl w:val="0"/>
          <w:numId w:val="9"/>
        </w:numPr>
        <w:rPr>
          <w:lang w:val="lv-LV"/>
        </w:rPr>
      </w:pPr>
      <w:r w:rsidRPr="00E84847">
        <w:rPr>
          <w:lang w:val="lv-LV"/>
        </w:rPr>
        <w:t>VPK2</w:t>
      </w:r>
      <w:r w:rsidR="008C3751">
        <w:rPr>
          <w:lang w:val="lv-LV"/>
        </w:rPr>
        <w:t>5</w:t>
      </w:r>
      <w:r w:rsidRPr="00E84847">
        <w:rPr>
          <w:lang w:val="lv-LV"/>
        </w:rPr>
        <w:t xml:space="preserve">. </w:t>
      </w:r>
      <w:r w:rsidR="00963C35" w:rsidRPr="00E84847">
        <w:rPr>
          <w:lang w:val="lv-LV"/>
        </w:rPr>
        <w:t>Vai jomas</w:t>
      </w:r>
      <w:r w:rsidR="00C72475">
        <w:rPr>
          <w:lang w:val="lv-LV"/>
        </w:rPr>
        <w:t xml:space="preserve"> mērķa</w:t>
      </w:r>
      <w:r w:rsidR="00963C35" w:rsidRPr="00E84847">
        <w:rPr>
          <w:lang w:val="lv-LV"/>
        </w:rPr>
        <w:t xml:space="preserve"> IKT risinājumu dizains ir vienkāršots, lai koncentrētos tikai uz reāli sagaidāmiem izmaiņu scenārijiem to dzīves cikla laikā?</w:t>
      </w:r>
    </w:p>
    <w:p w14:paraId="205813C2" w14:textId="34C159CC" w:rsidR="00AB4826" w:rsidRPr="00963C35" w:rsidRDefault="00870468" w:rsidP="00D5520A">
      <w:pPr>
        <w:pStyle w:val="ListParagraph"/>
        <w:numPr>
          <w:ilvl w:val="0"/>
          <w:numId w:val="9"/>
        </w:numPr>
        <w:rPr>
          <w:lang w:val="lv-LV"/>
        </w:rPr>
      </w:pPr>
      <w:r>
        <w:rPr>
          <w:lang w:val="lv-LV"/>
        </w:rPr>
        <w:t>VPK2</w:t>
      </w:r>
      <w:r w:rsidR="008C3751">
        <w:rPr>
          <w:lang w:val="lv-LV"/>
        </w:rPr>
        <w:t>6</w:t>
      </w:r>
      <w:r>
        <w:rPr>
          <w:lang w:val="lv-LV"/>
        </w:rPr>
        <w:t xml:space="preserve">. </w:t>
      </w:r>
      <w:r w:rsidR="00963C35" w:rsidRPr="00963C35">
        <w:rPr>
          <w:lang w:val="lv-LV"/>
        </w:rPr>
        <w:t>Vai</w:t>
      </w:r>
      <w:r w:rsidR="00AB4826" w:rsidRPr="00963C35">
        <w:rPr>
          <w:lang w:val="lv-LV"/>
        </w:rPr>
        <w:t xml:space="preserve"> </w:t>
      </w:r>
      <w:proofErr w:type="spellStart"/>
      <w:r w:rsidR="00AB4826" w:rsidRPr="00963C35">
        <w:rPr>
          <w:lang w:val="lv-LV"/>
        </w:rPr>
        <w:t>mērķarhitektūras</w:t>
      </w:r>
      <w:proofErr w:type="spellEnd"/>
      <w:r w:rsidR="00AB4826" w:rsidRPr="00963C35">
        <w:rPr>
          <w:lang w:val="lv-LV"/>
        </w:rPr>
        <w:t xml:space="preserve"> ieviešanā</w:t>
      </w:r>
      <w:r w:rsidR="00963C35" w:rsidRPr="00963C35">
        <w:rPr>
          <w:lang w:val="lv-LV"/>
        </w:rPr>
        <w:t xml:space="preserve"> ir paredzēts</w:t>
      </w:r>
      <w:r w:rsidR="00AB4826" w:rsidRPr="00963C35">
        <w:rPr>
          <w:lang w:val="lv-LV"/>
        </w:rPr>
        <w:t xml:space="preserve"> veidot prototipus vai koncepcijas apliecinājumus </w:t>
      </w:r>
      <w:r w:rsidR="00AB4826" w:rsidRPr="00963C35">
        <w:rPr>
          <w:i/>
          <w:iCs/>
          <w:lang w:val="lv-LV" w:bidi="lv-LV"/>
        </w:rPr>
        <w:t xml:space="preserve">(no angļu val. – </w:t>
      </w:r>
      <w:proofErr w:type="spellStart"/>
      <w:r w:rsidR="00AB4826" w:rsidRPr="00963C35">
        <w:rPr>
          <w:i/>
          <w:iCs/>
          <w:lang w:val="lv-LV" w:bidi="lv-LV"/>
        </w:rPr>
        <w:t>proof</w:t>
      </w:r>
      <w:proofErr w:type="spellEnd"/>
      <w:r w:rsidR="00AB4826" w:rsidRPr="00963C35">
        <w:rPr>
          <w:i/>
          <w:iCs/>
          <w:lang w:val="lv-LV" w:bidi="lv-LV"/>
        </w:rPr>
        <w:t xml:space="preserve"> </w:t>
      </w:r>
      <w:proofErr w:type="spellStart"/>
      <w:r w:rsidR="00AB4826" w:rsidRPr="00963C35">
        <w:rPr>
          <w:i/>
          <w:iCs/>
          <w:lang w:val="lv-LV" w:bidi="lv-LV"/>
        </w:rPr>
        <w:t>of</w:t>
      </w:r>
      <w:proofErr w:type="spellEnd"/>
      <w:r w:rsidR="00AB4826" w:rsidRPr="00963C35">
        <w:rPr>
          <w:i/>
          <w:iCs/>
          <w:lang w:val="lv-LV" w:bidi="lv-LV"/>
        </w:rPr>
        <w:t xml:space="preserve"> concept)</w:t>
      </w:r>
      <w:r w:rsidR="00963C35" w:rsidRPr="00963C35">
        <w:rPr>
          <w:i/>
          <w:iCs/>
          <w:lang w:val="lv-LV" w:bidi="lv-LV"/>
        </w:rPr>
        <w:t>?</w:t>
      </w:r>
    </w:p>
    <w:p w14:paraId="151F087D" w14:textId="789EBDA6" w:rsidR="003E79B7" w:rsidRDefault="003E79B7" w:rsidP="00E43D18">
      <w:pPr>
        <w:pStyle w:val="Heading2"/>
        <w:rPr>
          <w:noProof/>
          <w:lang w:val="lv-LV"/>
        </w:rPr>
      </w:pPr>
      <w:r>
        <w:rPr>
          <w:lang w:val="lv-LV"/>
        </w:rPr>
        <w:lastRenderedPageBreak/>
        <w:t>P</w:t>
      </w:r>
      <w:r w:rsidR="00F34377">
        <w:rPr>
          <w:lang w:val="lv-LV"/>
        </w:rPr>
        <w:t>7</w:t>
      </w:r>
      <w:r>
        <w:rPr>
          <w:lang w:val="lv-LV"/>
        </w:rPr>
        <w:t xml:space="preserve">. </w:t>
      </w:r>
      <w:r w:rsidRPr="00E2406D">
        <w:rPr>
          <w:noProof/>
          <w:lang w:val="lv-LV"/>
        </w:rPr>
        <mc:AlternateContent>
          <mc:Choice Requires="wps">
            <w:drawing>
              <wp:anchor distT="0" distB="0" distL="114300" distR="114300" simplePos="0" relativeHeight="251658248" behindDoc="0" locked="0" layoutInCell="1" allowOverlap="1" wp14:anchorId="6E5DB39B" wp14:editId="1BC024D1">
                <wp:simplePos x="0" y="0"/>
                <wp:positionH relativeFrom="column">
                  <wp:posOffset>0</wp:posOffset>
                </wp:positionH>
                <wp:positionV relativeFrom="paragraph">
                  <wp:posOffset>316865</wp:posOffset>
                </wp:positionV>
                <wp:extent cx="1828800" cy="1828800"/>
                <wp:effectExtent l="0" t="0" r="8890" b="10795"/>
                <wp:wrapTopAndBottom/>
                <wp:docPr id="208898793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3CCB4FF" w14:textId="7D4A6F7D" w:rsidR="00B56B15" w:rsidRDefault="004519A7" w:rsidP="00B56B15">
                            <w:pPr>
                              <w:ind w:left="851"/>
                              <w:jc w:val="both"/>
                              <w:rPr>
                                <w:lang w:val="lv-LV" w:bidi="lv-LV"/>
                              </w:rPr>
                            </w:pPr>
                            <w:r>
                              <w:rPr>
                                <w:lang w:val="lv-LV" w:bidi="lv-LV"/>
                              </w:rPr>
                              <w:t xml:space="preserve">Publiskos pakalpojumus nepieciešams veidot, ņemot vērā klienta dzīves situāciju kontekstu. Jānodrošina starpiestāžu efektīva sadarbība pakalpojumu sniegšanā un piegādē. </w:t>
                            </w:r>
                            <w:r w:rsidR="00B56B15" w:rsidRPr="00B56B15">
                              <w:rPr>
                                <w:lang w:val="lv-LV" w:bidi="lv-LV"/>
                              </w:rPr>
                              <w:t>Savienota, savstarpēji savietojama pakalpojum</w:t>
                            </w:r>
                            <w:r w:rsidR="00B56B15">
                              <w:rPr>
                                <w:lang w:val="lv-LV" w:bidi="lv-LV"/>
                              </w:rPr>
                              <w:t>u</w:t>
                            </w:r>
                            <w:r w:rsidR="00B56B15" w:rsidRPr="00B56B15">
                              <w:rPr>
                                <w:lang w:val="lv-LV" w:bidi="lv-LV"/>
                              </w:rPr>
                              <w:t xml:space="preserve"> projektēšana un izveide nodrošina lietotājiem vienkāršu, vienotu pieredzi un ļauj valdībai darboties kā vienotam veselumam.</w:t>
                            </w:r>
                          </w:p>
                          <w:p w14:paraId="650B7ACD" w14:textId="6C7FBFCB" w:rsidR="00960BA3" w:rsidRPr="00D2303B" w:rsidRDefault="00D2303B" w:rsidP="003E79B7">
                            <w:pPr>
                              <w:ind w:left="851"/>
                              <w:jc w:val="both"/>
                              <w:rPr>
                                <w:lang w:val="lv-LV" w:bidi="lv-LV"/>
                              </w:rPr>
                            </w:pPr>
                            <w:r w:rsidRPr="00D2303B">
                              <w:rPr>
                                <w:lang w:val="lv-LV" w:bidi="lv-LV"/>
                              </w:rPr>
                              <w:t>Publiskajiem pakalpojumiem</w:t>
                            </w:r>
                            <w:r w:rsidR="00601D05">
                              <w:rPr>
                                <w:lang w:val="lv-LV" w:bidi="lv-LV"/>
                              </w:rPr>
                              <w:t xml:space="preserve"> un IKT risinājumiem</w:t>
                            </w:r>
                            <w:r w:rsidRPr="00D2303B">
                              <w:rPr>
                                <w:lang w:val="lv-LV" w:bidi="lv-LV"/>
                              </w:rPr>
                              <w:t xml:space="preserve"> jābūt izstrādātiem, balstoties uz Eiropas sadarbspējas satvariem un nozaru sadarbspējas prasībām, lai veicinātu vienotu Eiropas digitālo tirgu un starpvalstu sadarbību. Elektroniskajiem pakalpojumiem jābūt pieejamiem Eiropas Savienības iedzīvotājiem un uzņēmumiem, </w:t>
                            </w:r>
                            <w:r w:rsidR="00D87428">
                              <w:rPr>
                                <w:lang w:val="lv-LV" w:bidi="lv-LV"/>
                              </w:rPr>
                              <w:t xml:space="preserve">nodrošinot </w:t>
                            </w:r>
                            <w:r w:rsidR="005D1342">
                              <w:rPr>
                                <w:lang w:val="lv-LV" w:bidi="lv-LV"/>
                              </w:rPr>
                              <w:t>tos</w:t>
                            </w:r>
                            <w:r w:rsidR="00D87428">
                              <w:rPr>
                                <w:lang w:val="lv-LV" w:bidi="lv-LV"/>
                              </w:rPr>
                              <w:t xml:space="preserve"> Eiropā plaši izmantotā valodā.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6596F249">
              <v:shape id="_x0000_s1031" style="position:absolute;margin-left:0;margin-top:24.95pt;width:2in;height:2in;z-index:251658248;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ZQWwIAAAwFAAAOAAAAZHJzL2Uyb0RvYy54bWysVE1v2zAMvQ/YfxB0X5xk7ZYZdYosRYYB&#10;RVu0HXpWZKk2JouCxMTOfv0oOXa7LqdhF5kS+fj56IvLrjFsr3yowRZ8NplypqyEsrbPBf/xuPmw&#10;4CygsKUwYFXBDyrwy+X7dxety9UcKjCl8oyc2JC3ruAVosuzLMhKNSJMwClLSg2+EUhX/5yVXrTk&#10;vTHZfDr9lLXgS+dBqhDo9apX8mXyr7WSeKt1UMhMwSk3TKdP5zae2fJC5M9euKqWxzTEP2TRiNpS&#10;0NHVlUDBdr7+y1VTSw8BNE4kNBloXUuVaqBqZtM31TxUwqlUCzUnuLFN4f+5lTf7B3fnGXZfoaMB&#10;xoa0LuSBHmM9nfZN/FKmjPTUwsPYNtUhkxG0mC8WU1JJ0g0X8pO9wJ0P+E1Bw6JQcE9zSe0S++uA&#10;velgEqMZG99e8kgSHozqlfdKs7qkyPPkJJFFrY1ne0FjFlIqix9jJZSBsWQdYbo2ZgTOTgENpvIJ&#10;dLSNMJVINAKnp4B/RhwRKSpYHMFNbcGfclD+HCP39kP1fc2xfOy2HRVd8PNhRFsoDzQ5Dz2pg5Ob&#10;mrp7LQLeCU8sponQZuItHdpAW3A4SpxV4H+deo/2RC7SctbSVhTc0tpyZr5bIt2X2dlZXKJ0OTv/&#10;PKeLf63ZvtbYXbMGmseM/gBOJjHaoxlE7aF5ovVdxZikElZS5ILjIK6x31Raf6lWq2REa+MEXtsH&#10;J6Pr2OPInMfuSXh3pBcSM29g2B6Rv2FZbxuRwa12CJs6UTB2ue/psfu0colCx99D3OnX92T18hNb&#10;/gY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CLFbZQWwIAAAwFAAAOAAAAAAAAAAAAAAAAAC4CAABkcnMvZTJvRG9jLnhtbFBL&#10;AQItABQABgAIAAAAIQDu75ah2wAAAAcBAAAPAAAAAAAAAAAAAAAAALUEAABkcnMvZG93bnJldi54&#10;bWxQSwUGAAAAAAQABADzAAAAvQUAAAAA&#10;" w14:anchorId="6E5DB39B">
                <v:textbox style="mso-fit-shape-to-text:t">
                  <w:txbxContent>
                    <w:p w:rsidR="00B56B15" w:rsidP="00B56B15" w:rsidRDefault="004519A7" w14:paraId="55BD269C" w14:textId="7D4A6F7D">
                      <w:pPr>
                        <w:ind w:left="851"/>
                        <w:jc w:val="both"/>
                        <w:rPr>
                          <w:lang w:val="lv-LV" w:bidi="lv-LV"/>
                        </w:rPr>
                      </w:pPr>
                      <w:r>
                        <w:rPr>
                          <w:lang w:val="lv-LV" w:bidi="lv-LV"/>
                        </w:rPr>
                        <w:t xml:space="preserve">Publiskos pakalpojumus nepieciešams veidot, ņemot vērā klienta dzīves situāciju kontekstu. Jānodrošina </w:t>
                      </w:r>
                      <w:r>
                        <w:rPr>
                          <w:lang w:val="lv-LV" w:bidi="lv-LV"/>
                        </w:rPr>
                        <w:t xml:space="preserve">starpiestāžu efektīva sadarbība pakalpojumu sniegšanā un piegādē. </w:t>
                      </w:r>
                      <w:r w:rsidRPr="00B56B15" w:rsidR="00B56B15">
                        <w:rPr>
                          <w:lang w:val="lv-LV" w:bidi="lv-LV"/>
                        </w:rPr>
                        <w:t>Savienota, savstarpēji savietojama pakalpojum</w:t>
                      </w:r>
                      <w:r w:rsidR="00B56B15">
                        <w:rPr>
                          <w:lang w:val="lv-LV" w:bidi="lv-LV"/>
                        </w:rPr>
                        <w:t>u</w:t>
                      </w:r>
                      <w:r w:rsidRPr="00B56B15" w:rsidR="00B56B15">
                        <w:rPr>
                          <w:lang w:val="lv-LV" w:bidi="lv-LV"/>
                        </w:rPr>
                        <w:t xml:space="preserve"> projektēšana un izveide nodrošina lietotājiem vienkāršu, vienotu pieredzi un ļauj valdībai darboties kā vienotam veselumam.</w:t>
                      </w:r>
                    </w:p>
                    <w:p w:rsidRPr="00D2303B" w:rsidR="00960BA3" w:rsidP="003E79B7" w:rsidRDefault="00D2303B" w14:paraId="05559E49" w14:textId="6C7FBFCB">
                      <w:pPr>
                        <w:ind w:left="851"/>
                        <w:jc w:val="both"/>
                        <w:rPr>
                          <w:lang w:val="lv-LV" w:bidi="lv-LV"/>
                        </w:rPr>
                      </w:pPr>
                      <w:r w:rsidRPr="00D2303B">
                        <w:rPr>
                          <w:lang w:val="lv-LV" w:bidi="lv-LV"/>
                        </w:rPr>
                        <w:t>Publiskajiem pakalpojumiem</w:t>
                      </w:r>
                      <w:r w:rsidR="00601D05">
                        <w:rPr>
                          <w:lang w:val="lv-LV" w:bidi="lv-LV"/>
                        </w:rPr>
                        <w:t xml:space="preserve"> un IKT risinājumiem</w:t>
                      </w:r>
                      <w:r w:rsidRPr="00D2303B">
                        <w:rPr>
                          <w:lang w:val="lv-LV" w:bidi="lv-LV"/>
                        </w:rPr>
                        <w:t xml:space="preserve"> jābūt izstrādātiem, balstoties uz Eiropas sadarbspējas satvariem un nozaru sadarbspējas prasībām, lai veicinātu vienotu Eiropas digitālo tirgu un starpvalstu sadarbību. Elektroniskajiem pakalpojumiem jābūt pieejamiem Eiropas Savienības iedzīvotājiem un uzņēmumiem, </w:t>
                      </w:r>
                      <w:r w:rsidR="00D87428">
                        <w:rPr>
                          <w:lang w:val="lv-LV" w:bidi="lv-LV"/>
                        </w:rPr>
                        <w:t xml:space="preserve">nodrošinot </w:t>
                      </w:r>
                      <w:r w:rsidR="005D1342">
                        <w:rPr>
                          <w:lang w:val="lv-LV" w:bidi="lv-LV"/>
                        </w:rPr>
                        <w:t>tos</w:t>
                      </w:r>
                      <w:r w:rsidR="00D87428">
                        <w:rPr>
                          <w:lang w:val="lv-LV" w:bidi="lv-LV"/>
                        </w:rPr>
                        <w:t xml:space="preserve"> Eiropā plaši izmantotā valodā. </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49" behindDoc="0" locked="0" layoutInCell="1" allowOverlap="1" wp14:anchorId="355121CB" wp14:editId="048A479C">
            <wp:simplePos x="0" y="0"/>
            <wp:positionH relativeFrom="margin">
              <wp:posOffset>88900</wp:posOffset>
            </wp:positionH>
            <wp:positionV relativeFrom="paragraph">
              <wp:posOffset>450850</wp:posOffset>
            </wp:positionV>
            <wp:extent cx="427990" cy="427990"/>
            <wp:effectExtent l="0" t="0" r="0" b="0"/>
            <wp:wrapSquare wrapText="bothSides"/>
            <wp:docPr id="2083660996"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080CC6">
        <w:rPr>
          <w:lang w:val="lv-LV"/>
        </w:rPr>
        <w:t xml:space="preserve">Sadarbība </w:t>
      </w:r>
      <w:r w:rsidR="00080CC6">
        <w:rPr>
          <w:noProof/>
          <w:lang w:val="lv-LV"/>
        </w:rPr>
        <w:t>b</w:t>
      </w:r>
      <w:r w:rsidR="00B34AE1">
        <w:rPr>
          <w:noProof/>
          <w:lang w:val="lv-LV"/>
        </w:rPr>
        <w:t>ez robežām</w:t>
      </w:r>
    </w:p>
    <w:p w14:paraId="5B86CBB1" w14:textId="77777777" w:rsidR="00B34AE1" w:rsidRDefault="00B34AE1" w:rsidP="00B34AE1">
      <w:pPr>
        <w:rPr>
          <w:lang w:val="lv-LV"/>
        </w:rPr>
      </w:pPr>
    </w:p>
    <w:p w14:paraId="70FC4FF1" w14:textId="77777777" w:rsidR="00F06E6B" w:rsidRPr="00AE17B5" w:rsidRDefault="00F06E6B" w:rsidP="00F06E6B">
      <w:pPr>
        <w:rPr>
          <w:lang w:val="lv-LV"/>
        </w:rPr>
      </w:pPr>
      <w:r w:rsidRPr="00AE17B5">
        <w:rPr>
          <w:lang w:val="lv-LV"/>
        </w:rPr>
        <w:t>Piemērošanas vadlīnijas:</w:t>
      </w:r>
    </w:p>
    <w:p w14:paraId="24BADCC2" w14:textId="7E7A3FF1" w:rsidR="00775E42" w:rsidRPr="00AE17B5" w:rsidRDefault="00D210CA" w:rsidP="00D5520A">
      <w:pPr>
        <w:pStyle w:val="ListParagraph"/>
        <w:numPr>
          <w:ilvl w:val="0"/>
          <w:numId w:val="11"/>
        </w:numPr>
        <w:jc w:val="both"/>
        <w:rPr>
          <w:lang w:val="lv-LV"/>
        </w:rPr>
      </w:pPr>
      <w:r w:rsidRPr="00AE17B5">
        <w:rPr>
          <w:lang w:val="lv-LV"/>
        </w:rPr>
        <w:t>Orientēj</w:t>
      </w:r>
      <w:r w:rsidR="00641027" w:rsidRPr="00AE17B5">
        <w:rPr>
          <w:lang w:val="lv-LV"/>
        </w:rPr>
        <w:t>ieties</w:t>
      </w:r>
      <w:r w:rsidRPr="00AE17B5">
        <w:rPr>
          <w:lang w:val="lv-LV"/>
        </w:rPr>
        <w:t xml:space="preserve"> uz dzīves situācijām. Izstrādājiet pakalpojumus, ņemot vērā lietotāju dzīves apstākļus, piemēram, dzimšanas reģistrāciju vai vārda maiņu, nevis piespiediet lietotājus pielāgoties valsts pārvaldes organizācijai. Skaidri aprakstiet paredzamos vai iespējamos nākamos soļus, lai veicinātu vienotu pieredzi, un izpētiet sasaisti ar citām iestādēm, lai samazinātu datu ievades slogu lietotājiem.</w:t>
      </w:r>
    </w:p>
    <w:p w14:paraId="6F1A22A9" w14:textId="10ABAA8F" w:rsidR="00844C7E" w:rsidRPr="00AE17B5" w:rsidRDefault="00775E42" w:rsidP="00D5520A">
      <w:pPr>
        <w:pStyle w:val="ListParagraph"/>
        <w:numPr>
          <w:ilvl w:val="0"/>
          <w:numId w:val="11"/>
        </w:numPr>
        <w:jc w:val="both"/>
        <w:rPr>
          <w:lang w:val="lv-LV"/>
        </w:rPr>
      </w:pPr>
      <w:r w:rsidRPr="00AE17B5">
        <w:rPr>
          <w:lang w:val="lv-LV"/>
        </w:rPr>
        <w:t xml:space="preserve">Novērtējiet pakalpojumu atbilstību Eiropas publisko pakalpojumu kritērijiem. Veiciet Eiropas publisko pakalpojumu attīstību saskaņā ar Eiropas </w:t>
      </w:r>
      <w:proofErr w:type="spellStart"/>
      <w:r w:rsidRPr="00AE17B5">
        <w:rPr>
          <w:lang w:val="lv-LV"/>
        </w:rPr>
        <w:t>sadarbspējas</w:t>
      </w:r>
      <w:proofErr w:type="spellEnd"/>
      <w:r w:rsidRPr="00AE17B5">
        <w:rPr>
          <w:lang w:val="lv-LV"/>
        </w:rPr>
        <w:t xml:space="preserve"> satvara īstenošanas stratēģijas pamatprincipiem un ieteikumiem.</w:t>
      </w:r>
    </w:p>
    <w:p w14:paraId="31252CCF" w14:textId="3E8D19D7" w:rsidR="008B28FE" w:rsidRPr="00AE17B5" w:rsidRDefault="008B28FE" w:rsidP="00D5520A">
      <w:pPr>
        <w:pStyle w:val="ListParagraph"/>
        <w:numPr>
          <w:ilvl w:val="0"/>
          <w:numId w:val="11"/>
        </w:numPr>
        <w:jc w:val="both"/>
        <w:rPr>
          <w:lang w:val="lv-LV"/>
        </w:rPr>
      </w:pPr>
      <w:r w:rsidRPr="00AE17B5">
        <w:rPr>
          <w:lang w:val="lv-LV"/>
        </w:rPr>
        <w:t xml:space="preserve">Ievērojiet un pildiet saistošās nozares vai darbības jomas </w:t>
      </w:r>
      <w:proofErr w:type="spellStart"/>
      <w:r w:rsidRPr="00AE17B5">
        <w:rPr>
          <w:lang w:val="lv-LV"/>
        </w:rPr>
        <w:t>sadarbspējas</w:t>
      </w:r>
      <w:proofErr w:type="spellEnd"/>
      <w:r w:rsidRPr="00AE17B5">
        <w:rPr>
          <w:lang w:val="lv-LV"/>
        </w:rPr>
        <w:t xml:space="preserve"> vienošanās, atbilstoši kurām attīsta un uztur IKT risinājumus un IKT pakalpojumus.</w:t>
      </w:r>
    </w:p>
    <w:p w14:paraId="0CCD5DD3" w14:textId="14D82A30" w:rsidR="00BE0BC5" w:rsidRPr="00AE17B5" w:rsidRDefault="00844C7E" w:rsidP="00D5520A">
      <w:pPr>
        <w:pStyle w:val="ListParagraph"/>
        <w:numPr>
          <w:ilvl w:val="0"/>
          <w:numId w:val="11"/>
        </w:numPr>
        <w:jc w:val="both"/>
        <w:rPr>
          <w:lang w:val="lv-LV"/>
        </w:rPr>
      </w:pPr>
      <w:r w:rsidRPr="00AE17B5">
        <w:rPr>
          <w:lang w:val="lv-LV"/>
        </w:rPr>
        <w:t xml:space="preserve">Nodrošiniet e-pakalpojumu pieejamību Eiropā plaši izmantotā valodā, Pieņemt lēmumu par daudzvalodības atbalsta apjomu, pamatojoties uz konkrētā risinājuma lietotāju vajadzībām. </w:t>
      </w:r>
    </w:p>
    <w:p w14:paraId="4D956717" w14:textId="77777777" w:rsidR="00BE0BC5" w:rsidRPr="00AE17B5" w:rsidRDefault="00BE0BC5" w:rsidP="00BE0BC5">
      <w:pPr>
        <w:rPr>
          <w:lang w:val="lv-LV"/>
        </w:rPr>
      </w:pPr>
      <w:r w:rsidRPr="00AE17B5">
        <w:rPr>
          <w:lang w:val="lv-LV"/>
        </w:rPr>
        <w:t>Novērtēšanas vadlīnijas:</w:t>
      </w:r>
    </w:p>
    <w:p w14:paraId="55B3DF19" w14:textId="7CDE81A3" w:rsidR="00641027" w:rsidRPr="00AE17B5" w:rsidRDefault="00870468" w:rsidP="00D5520A">
      <w:pPr>
        <w:pStyle w:val="ListParagraph"/>
        <w:numPr>
          <w:ilvl w:val="0"/>
          <w:numId w:val="12"/>
        </w:numPr>
        <w:rPr>
          <w:lang w:val="lv-LV"/>
        </w:rPr>
      </w:pPr>
      <w:r>
        <w:rPr>
          <w:lang w:val="lv-LV"/>
        </w:rPr>
        <w:t>VPK2</w:t>
      </w:r>
      <w:r w:rsidR="001F03C4">
        <w:rPr>
          <w:lang w:val="lv-LV"/>
        </w:rPr>
        <w:t>7</w:t>
      </w:r>
      <w:r>
        <w:rPr>
          <w:lang w:val="lv-LV"/>
        </w:rPr>
        <w:t xml:space="preserve">. </w:t>
      </w:r>
      <w:r w:rsidR="00641027" w:rsidRPr="00AE17B5">
        <w:rPr>
          <w:lang w:val="lv-LV"/>
        </w:rPr>
        <w:t xml:space="preserve">Vai </w:t>
      </w:r>
      <w:proofErr w:type="spellStart"/>
      <w:r w:rsidR="00641027" w:rsidRPr="00AE17B5">
        <w:rPr>
          <w:lang w:val="lv-LV"/>
        </w:rPr>
        <w:t>mērķarhitektūrā</w:t>
      </w:r>
      <w:proofErr w:type="spellEnd"/>
      <w:r w:rsidR="00641027" w:rsidRPr="00AE17B5">
        <w:rPr>
          <w:lang w:val="lv-LV"/>
        </w:rPr>
        <w:t xml:space="preserve"> iekļautie pakalpojumi ir projektēti, ņemot vērā lietotāju dzīves situācijas?</w:t>
      </w:r>
    </w:p>
    <w:p w14:paraId="1FEB4627" w14:textId="7F203FA0" w:rsidR="00157074" w:rsidRPr="00AE17B5" w:rsidRDefault="00870468" w:rsidP="00D5520A">
      <w:pPr>
        <w:pStyle w:val="ListParagraph"/>
        <w:numPr>
          <w:ilvl w:val="0"/>
          <w:numId w:val="12"/>
        </w:numPr>
        <w:rPr>
          <w:lang w:val="lv-LV"/>
        </w:rPr>
      </w:pPr>
      <w:r>
        <w:rPr>
          <w:lang w:val="lv-LV"/>
        </w:rPr>
        <w:t>VPK2</w:t>
      </w:r>
      <w:r w:rsidR="001F03C4">
        <w:rPr>
          <w:lang w:val="lv-LV"/>
        </w:rPr>
        <w:t>8</w:t>
      </w:r>
      <w:r>
        <w:rPr>
          <w:lang w:val="lv-LV"/>
        </w:rPr>
        <w:t xml:space="preserve">. </w:t>
      </w:r>
      <w:r w:rsidR="00157074" w:rsidRPr="00AE17B5">
        <w:rPr>
          <w:lang w:val="lv-LV"/>
        </w:rPr>
        <w:t>Vai jomas e-pakalpojumus paredzēts nodrošināt Eiropā plaši izmantotā valodā?</w:t>
      </w:r>
    </w:p>
    <w:p w14:paraId="47095F2F" w14:textId="77777777" w:rsidR="00BE0BC5" w:rsidRPr="00BE0BC5" w:rsidRDefault="00BE0BC5" w:rsidP="00BE0BC5">
      <w:pPr>
        <w:jc w:val="both"/>
        <w:rPr>
          <w:lang w:val="lv-LV"/>
        </w:rPr>
      </w:pPr>
    </w:p>
    <w:p w14:paraId="3F60BD6F" w14:textId="1335CF3E" w:rsidR="00D2303B" w:rsidRPr="00E40818" w:rsidRDefault="00D2303B" w:rsidP="00E43D18">
      <w:pPr>
        <w:pStyle w:val="Heading2"/>
        <w:rPr>
          <w:rStyle w:val="Heading4Char"/>
          <w:i w:val="0"/>
          <w:iCs w:val="0"/>
          <w:lang w:val="lv-LV"/>
        </w:rPr>
      </w:pPr>
      <w:r>
        <w:rPr>
          <w:lang w:val="lv-LV"/>
        </w:rPr>
        <w:lastRenderedPageBreak/>
        <w:t>P</w:t>
      </w:r>
      <w:r w:rsidR="007E698D">
        <w:rPr>
          <w:lang w:val="lv-LV"/>
        </w:rPr>
        <w:t>8</w:t>
      </w:r>
      <w:r>
        <w:rPr>
          <w:lang w:val="lv-LV"/>
        </w:rPr>
        <w:t xml:space="preserve">. </w:t>
      </w:r>
      <w:r w:rsidRPr="00E2406D">
        <w:rPr>
          <w:noProof/>
          <w:lang w:val="lv-LV"/>
        </w:rPr>
        <mc:AlternateContent>
          <mc:Choice Requires="wps">
            <w:drawing>
              <wp:anchor distT="0" distB="0" distL="114300" distR="114300" simplePos="0" relativeHeight="251658252" behindDoc="0" locked="0" layoutInCell="1" allowOverlap="1" wp14:anchorId="1754F6BC" wp14:editId="318A55C0">
                <wp:simplePos x="0" y="0"/>
                <wp:positionH relativeFrom="column">
                  <wp:posOffset>0</wp:posOffset>
                </wp:positionH>
                <wp:positionV relativeFrom="paragraph">
                  <wp:posOffset>316865</wp:posOffset>
                </wp:positionV>
                <wp:extent cx="1828800" cy="1828800"/>
                <wp:effectExtent l="0" t="0" r="8890" b="10795"/>
                <wp:wrapTopAndBottom/>
                <wp:docPr id="1988111926"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8373263" w14:textId="0D977438" w:rsidR="00D2303B" w:rsidRPr="00F925F5" w:rsidRDefault="00601D05" w:rsidP="00D2303B">
                            <w:pPr>
                              <w:ind w:left="851"/>
                              <w:jc w:val="both"/>
                              <w:rPr>
                                <w:lang w:val="lv-LV" w:bidi="lv-LV"/>
                              </w:rPr>
                            </w:pPr>
                            <w:r w:rsidRPr="00F925F5">
                              <w:rPr>
                                <w:lang w:val="lv-LV" w:bidi="lv-LV"/>
                              </w:rPr>
                              <w:t>Publiskajiem pakalpojumiem un IKT risinājumiem jābūt veidotiem tā, lai tie būtu uzticami, droši un aizsargātu lietotāju privātumu. Drošība un uzticēšanās ir pamats efektīvai valsts pārvaldei, savukārt privātuma ievērošana stiprina lietotāju pārliecību un iesaisti. Radiet risinājumus, kas respektē lietotāju datus un nodrošina, ka informācija tiek aizsargāta pret jebkādiem riskiem.</w:t>
                            </w:r>
                          </w:p>
                          <w:p w14:paraId="5BDDA78C" w14:textId="2D3F2F88" w:rsidR="00F925F5" w:rsidRDefault="00F925F5" w:rsidP="00D2303B">
                            <w:pPr>
                              <w:ind w:left="851"/>
                              <w:jc w:val="both"/>
                              <w:rPr>
                                <w:lang w:val="lv-LV"/>
                              </w:rPr>
                            </w:pPr>
                            <w:r w:rsidRPr="00F925F5">
                              <w:rPr>
                                <w:lang w:val="lv-LV"/>
                              </w:rPr>
                              <w:t>Iedzīvotājiem un uzņēmumiem jābūt pārliecinātiem par to, ka mijiedarbība ar valsts pārvaldes iestādēm notiek drošā un uzticamā vidē, kas pilnībā atbilst normatīvo aktu prasībām. Iestādēm jānodrošina iedzīvotāju privātums un iedzīvotāju un uzņēmumu sniegtās informācijas konfidencialitāte, autentiskums, integritāte un neatsaucamība.</w:t>
                            </w:r>
                          </w:p>
                          <w:p w14:paraId="5B1A6975" w14:textId="28B69D5C" w:rsidR="00C924F5" w:rsidRPr="00F925F5" w:rsidRDefault="00C924F5" w:rsidP="00D2303B">
                            <w:pPr>
                              <w:ind w:left="851"/>
                              <w:jc w:val="both"/>
                              <w:rPr>
                                <w:lang w:val="lv-LV" w:bidi="lv-LV"/>
                              </w:rPr>
                            </w:pPr>
                            <w:r w:rsidRPr="00C924F5">
                              <w:rPr>
                                <w:lang w:val="lv-LV" w:bidi="lv-LV"/>
                              </w:rPr>
                              <w:t>Klientiem ir jājūtas droši, izmantojot jebkuru valsts pārvaldes risinājumu.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3D4B2B5E">
              <v:shape id="_x0000_s1032" style="position:absolute;margin-left:0;margin-top:24.95pt;width:2in;height:2in;z-index:251658252;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uWwIAAAwFAAAOAAAAZHJzL2Uyb0RvYy54bWysVEtv2zAMvg/YfxB0X5xkXZcFdYosRYYB&#10;RVu0HXpWZKk2JouCxMTOfv0o+dGuy2nYRaZEfnx+9MVlWxt2UD5UYHM+m0w5U1ZCUdnnnP943H5Y&#10;cBZQ2EIYsCrnRxX45er9u4vGLdUcSjCF8oyc2LBsXM5LRLfMsiBLVYswAacsKTX4WiBd/XNWeNGQ&#10;99pk8+n0PGvAF86DVCHQ61Wn5KvkX2sl8VbroJCZnFNumE6fzl08s9WFWD574cpK9mmIf8iiFpWl&#10;oKOrK4GC7X31l6u6kh4CaJxIqDPQupIq1UDVzKZvqnkohVOpFmpOcGObwv9zK28OD+7OM2y/QksD&#10;jA1pXFgGeoz1tNrX8UuZMtJTC49j21SLTEbQYr5YTEklSTdcyE/2Anc+4DcFNYtCzj3NJbVLHK4D&#10;dqaDSYxmbHx7ySNJeDSqU94rzaqCIs+Tk0QWtTGeHQSNWUipLH6MlVAGxpJ1hOnKmBE4OwU0mMon&#10;UG8bYSqRaAROTwH/jDgiUlSwOILryoI/5aD4OUbu7Ifqu5pj+djuWio65+fDiHZQHGlyHjpSBye3&#10;FXX3WgS8E55YTBOhzcRbOrSBJufQS5yV4H+deo/2RC7SctbQVuTc0tpyZr5bIt2X2dlZXKJ0Ofv0&#10;eU4X/1qze62x+3oDNI8Z/QGcTGK0RzOI2kP9ROu7jjFJJaykyDnHQdxgt6m0/lKt18mI1sYJvLYP&#10;TkbXsceROY/tk/CupxcSM29g2B6xfMOyzjYig1vvEbZVomDsctfTvvu0colC/e8h7vTre7J6+Ymt&#10;fgM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CO/O8uWwIAAAwFAAAOAAAAAAAAAAAAAAAAAC4CAABkcnMvZTJvRG9jLnhtbFBL&#10;AQItABQABgAIAAAAIQDu75ah2wAAAAcBAAAPAAAAAAAAAAAAAAAAALUEAABkcnMvZG93bnJldi54&#10;bWxQSwUGAAAAAAQABADzAAAAvQUAAAAA&#10;" w14:anchorId="1754F6BC">
                <v:textbox style="mso-fit-shape-to-text:t">
                  <w:txbxContent>
                    <w:p w:rsidRPr="00F925F5" w:rsidR="00D2303B" w:rsidP="00D2303B" w:rsidRDefault="00601D05" w14:paraId="62B57304" w14:textId="0D977438">
                      <w:pPr>
                        <w:ind w:left="851"/>
                        <w:jc w:val="both"/>
                        <w:rPr>
                          <w:lang w:val="lv-LV" w:bidi="lv-LV"/>
                        </w:rPr>
                      </w:pPr>
                      <w:r w:rsidRPr="00F925F5">
                        <w:rPr>
                          <w:lang w:val="lv-LV" w:bidi="lv-LV"/>
                        </w:rPr>
                        <w:t>Publiskajiem pakalpojumiem un IKT risinājumiem jābūt veidotiem tā, lai tie būtu uzticami, droši un aizsargātu lietotāju privātumu. Drošība un uzticēšanās ir pamats efektīvai valsts pārvaldei, savukārt privātuma ievērošana stiprina lietotāju pārliecību un iesaisti. Radiet risinājumus, kas respektē lietotāju datus un nodrošina, ka informācija tiek aizsargāta pret jebkādiem riskiem.</w:t>
                      </w:r>
                    </w:p>
                    <w:p w:rsidR="00F925F5" w:rsidP="00D2303B" w:rsidRDefault="00F925F5" w14:paraId="04B8A0C2" w14:textId="2D3F2F88">
                      <w:pPr>
                        <w:ind w:left="851"/>
                        <w:jc w:val="both"/>
                        <w:rPr>
                          <w:lang w:val="lv-LV"/>
                        </w:rPr>
                      </w:pPr>
                      <w:r w:rsidRPr="00F925F5">
                        <w:rPr>
                          <w:lang w:val="lv-LV"/>
                        </w:rPr>
                        <w:t xml:space="preserve">Iedzīvotājiem un uzņēmumiem jābūt pārliecinātiem par to, ka mijiedarbība ar valsts pārvaldes iestādēm notiek drošā un uzticamā vidē, kas pilnībā atbilst normatīvo aktu prasībām. Iestādēm jānodrošina iedzīvotāju privātums un iedzīvotāju un uzņēmumu sniegtās informācijas konfidencialitāte, autentiskums, integritāte un </w:t>
                      </w:r>
                      <w:r w:rsidRPr="00F925F5">
                        <w:rPr>
                          <w:lang w:val="lv-LV"/>
                        </w:rPr>
                        <w:t>neatsaucamība.</w:t>
                      </w:r>
                    </w:p>
                    <w:p w:rsidRPr="00F925F5" w:rsidR="00C924F5" w:rsidP="00D2303B" w:rsidRDefault="00C924F5" w14:paraId="478F6877" w14:textId="28B69D5C">
                      <w:pPr>
                        <w:ind w:left="851"/>
                        <w:jc w:val="both"/>
                        <w:rPr>
                          <w:lang w:val="lv-LV" w:bidi="lv-LV"/>
                        </w:rPr>
                      </w:pPr>
                      <w:r w:rsidRPr="00C924F5">
                        <w:rPr>
                          <w:lang w:val="lv-LV" w:bidi="lv-LV"/>
                        </w:rPr>
                        <w:t>Klientiem ir jājūtas droši, izmantojot jebkuru valsts pārvaldes risinājumu.</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53" behindDoc="0" locked="0" layoutInCell="1" allowOverlap="1" wp14:anchorId="23087D38" wp14:editId="17B8985A">
            <wp:simplePos x="0" y="0"/>
            <wp:positionH relativeFrom="margin">
              <wp:posOffset>88900</wp:posOffset>
            </wp:positionH>
            <wp:positionV relativeFrom="paragraph">
              <wp:posOffset>450850</wp:posOffset>
            </wp:positionV>
            <wp:extent cx="427990" cy="427990"/>
            <wp:effectExtent l="0" t="0" r="0" b="0"/>
            <wp:wrapSquare wrapText="bothSides"/>
            <wp:docPr id="613814039"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Pr>
          <w:noProof/>
          <w:lang w:val="lv-LV"/>
        </w:rPr>
        <w:t>Uzticamība, drošība un privātums pēc noklusējuma</w:t>
      </w:r>
    </w:p>
    <w:p w14:paraId="7D501FD7" w14:textId="77777777" w:rsidR="00D2303B" w:rsidRDefault="00D2303B" w:rsidP="00D2303B">
      <w:pPr>
        <w:rPr>
          <w:lang w:val="lv-LV"/>
        </w:rPr>
      </w:pPr>
    </w:p>
    <w:p w14:paraId="402B2F06" w14:textId="77777777" w:rsidR="00BA7BA7" w:rsidRPr="00AE17B5" w:rsidRDefault="00BA7BA7" w:rsidP="00BA7BA7">
      <w:pPr>
        <w:rPr>
          <w:lang w:val="lv-LV"/>
        </w:rPr>
      </w:pPr>
      <w:r w:rsidRPr="00AE17B5">
        <w:rPr>
          <w:lang w:val="lv-LV"/>
        </w:rPr>
        <w:t>Piemērošanas vadlīnijas:</w:t>
      </w:r>
    </w:p>
    <w:p w14:paraId="72FF656C" w14:textId="423BB221" w:rsidR="00161793" w:rsidRPr="00161793" w:rsidRDefault="00161793" w:rsidP="00D5520A">
      <w:pPr>
        <w:pStyle w:val="ListParagraph"/>
        <w:numPr>
          <w:ilvl w:val="0"/>
          <w:numId w:val="11"/>
        </w:numPr>
        <w:jc w:val="both"/>
        <w:rPr>
          <w:lang w:val="lv-LV"/>
        </w:rPr>
      </w:pPr>
      <w:r w:rsidRPr="00161793">
        <w:rPr>
          <w:lang w:val="lv-LV"/>
        </w:rPr>
        <w:t xml:space="preserve">Veiciet </w:t>
      </w:r>
      <w:r>
        <w:rPr>
          <w:lang w:val="lv-LV"/>
        </w:rPr>
        <w:t xml:space="preserve">drošības </w:t>
      </w:r>
      <w:r w:rsidRPr="00161793">
        <w:rPr>
          <w:lang w:val="lv-LV"/>
        </w:rPr>
        <w:t>draudu modelēšanu pakalpojuma</w:t>
      </w:r>
      <w:r>
        <w:rPr>
          <w:lang w:val="lv-LV"/>
        </w:rPr>
        <w:t xml:space="preserve"> vai IKT risinājuma</w:t>
      </w:r>
      <w:r w:rsidRPr="00161793">
        <w:rPr>
          <w:lang w:val="lv-LV"/>
        </w:rPr>
        <w:t xml:space="preserve"> dzīves cikla sākumā un pārskatiet to</w:t>
      </w:r>
      <w:r>
        <w:rPr>
          <w:lang w:val="lv-LV"/>
        </w:rPr>
        <w:t xml:space="preserve"> attīstības gaitā. </w:t>
      </w:r>
    </w:p>
    <w:p w14:paraId="4AE2D532" w14:textId="1526D6C5" w:rsidR="00161793" w:rsidRPr="00161793" w:rsidRDefault="00161793" w:rsidP="00D5520A">
      <w:pPr>
        <w:pStyle w:val="ListParagraph"/>
        <w:numPr>
          <w:ilvl w:val="0"/>
          <w:numId w:val="11"/>
        </w:numPr>
        <w:jc w:val="both"/>
        <w:rPr>
          <w:lang w:val="lv-LV"/>
        </w:rPr>
      </w:pPr>
      <w:r w:rsidRPr="00161793">
        <w:rPr>
          <w:lang w:val="lv-LV"/>
        </w:rPr>
        <w:t xml:space="preserve">Piemērojiet </w:t>
      </w:r>
      <w:r>
        <w:rPr>
          <w:lang w:val="lv-LV"/>
        </w:rPr>
        <w:t xml:space="preserve">drošības </w:t>
      </w:r>
      <w:r w:rsidRPr="00161793">
        <w:rPr>
          <w:lang w:val="lv-LV"/>
        </w:rPr>
        <w:t>draudu modelēšanu visām pakalpojuma</w:t>
      </w:r>
      <w:r>
        <w:rPr>
          <w:lang w:val="lv-LV"/>
        </w:rPr>
        <w:t xml:space="preserve"> un IKT risinājuma</w:t>
      </w:r>
      <w:r w:rsidRPr="00161793">
        <w:rPr>
          <w:lang w:val="lv-LV"/>
        </w:rPr>
        <w:t xml:space="preserve"> sastāvdaļām un plūsmām gan no ārējiem, gan iekšējiem draudu radītājiem un izmantojiet atbilstošus mazināšanas pasākumus.</w:t>
      </w:r>
    </w:p>
    <w:p w14:paraId="390CE210" w14:textId="77777777" w:rsidR="00BA7BA7" w:rsidRDefault="00BA7BA7" w:rsidP="00BA7BA7">
      <w:pPr>
        <w:rPr>
          <w:lang w:val="lv-LV"/>
        </w:rPr>
      </w:pPr>
      <w:r w:rsidRPr="00AE17B5">
        <w:rPr>
          <w:lang w:val="lv-LV"/>
        </w:rPr>
        <w:t>Novērtēšanas vadlīnijas:</w:t>
      </w:r>
    </w:p>
    <w:p w14:paraId="754DAE78" w14:textId="125C4994" w:rsidR="00BA7BA7" w:rsidRPr="00A614BF" w:rsidRDefault="00870468" w:rsidP="00D5520A">
      <w:pPr>
        <w:pStyle w:val="ListParagraph"/>
        <w:numPr>
          <w:ilvl w:val="0"/>
          <w:numId w:val="13"/>
        </w:numPr>
        <w:rPr>
          <w:lang w:val="lv-LV"/>
        </w:rPr>
      </w:pPr>
      <w:r>
        <w:rPr>
          <w:lang w:val="lv-LV"/>
        </w:rPr>
        <w:t>VPK2</w:t>
      </w:r>
      <w:r w:rsidR="007E698D">
        <w:rPr>
          <w:lang w:val="lv-LV"/>
        </w:rPr>
        <w:t>9</w:t>
      </w:r>
      <w:r>
        <w:rPr>
          <w:lang w:val="lv-LV"/>
        </w:rPr>
        <w:t xml:space="preserve">. </w:t>
      </w:r>
      <w:r w:rsidR="00A614BF">
        <w:rPr>
          <w:lang w:val="lv-LV"/>
        </w:rPr>
        <w:t xml:space="preserve">Vai </w:t>
      </w:r>
      <w:proofErr w:type="spellStart"/>
      <w:r w:rsidR="00A614BF">
        <w:rPr>
          <w:lang w:val="lv-LV"/>
        </w:rPr>
        <w:t>mērķarhitektūrai</w:t>
      </w:r>
      <w:proofErr w:type="spellEnd"/>
      <w:r w:rsidR="00A614BF">
        <w:rPr>
          <w:lang w:val="lv-LV"/>
        </w:rPr>
        <w:t xml:space="preserve"> ir veikta konceptuāla līmeņa drošības draudu modelēšana un risku novērtējums, ko plānots detalizēt, projektējot konkrētus IKT risinājumus? </w:t>
      </w:r>
    </w:p>
    <w:p w14:paraId="6CE4F3DB" w14:textId="797F7440" w:rsidR="00F925F5" w:rsidRPr="00E40818" w:rsidRDefault="00F925F5" w:rsidP="00E43D18">
      <w:pPr>
        <w:pStyle w:val="Heading2"/>
        <w:rPr>
          <w:rStyle w:val="Heading4Char"/>
          <w:i w:val="0"/>
          <w:iCs w:val="0"/>
          <w:lang w:val="lv-LV"/>
        </w:rPr>
      </w:pPr>
      <w:r>
        <w:rPr>
          <w:lang w:val="lv-LV"/>
        </w:rPr>
        <w:t>P</w:t>
      </w:r>
      <w:r w:rsidR="007E698D">
        <w:rPr>
          <w:lang w:val="lv-LV"/>
        </w:rPr>
        <w:t>9</w:t>
      </w:r>
      <w:r>
        <w:rPr>
          <w:lang w:val="lv-LV"/>
        </w:rPr>
        <w:t>.</w:t>
      </w:r>
      <w:r w:rsidR="00E43D18">
        <w:rPr>
          <w:lang w:val="lv-LV"/>
        </w:rPr>
        <w:t xml:space="preserve"> Plānot</w:t>
      </w:r>
      <w:r>
        <w:rPr>
          <w:lang w:val="lv-LV"/>
        </w:rPr>
        <w:t xml:space="preserve"> </w:t>
      </w:r>
      <w:r w:rsidRPr="00E2406D">
        <w:rPr>
          <w:noProof/>
          <w:lang w:val="lv-LV"/>
        </w:rPr>
        <mc:AlternateContent>
          <mc:Choice Requires="wps">
            <w:drawing>
              <wp:anchor distT="0" distB="0" distL="114300" distR="114300" simplePos="0" relativeHeight="251658254" behindDoc="0" locked="0" layoutInCell="1" allowOverlap="1" wp14:anchorId="17D13C8B" wp14:editId="510C6EDF">
                <wp:simplePos x="0" y="0"/>
                <wp:positionH relativeFrom="column">
                  <wp:posOffset>0</wp:posOffset>
                </wp:positionH>
                <wp:positionV relativeFrom="paragraph">
                  <wp:posOffset>316865</wp:posOffset>
                </wp:positionV>
                <wp:extent cx="1828800" cy="1828800"/>
                <wp:effectExtent l="0" t="0" r="8890" b="10795"/>
                <wp:wrapTopAndBottom/>
                <wp:docPr id="72804536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2A06EB5" w14:textId="3924C0FE" w:rsidR="00F925F5" w:rsidRPr="00A839B6" w:rsidRDefault="00FC7625" w:rsidP="00F925F5">
                            <w:pPr>
                              <w:ind w:left="851"/>
                              <w:jc w:val="both"/>
                              <w:rPr>
                                <w:lang w:val="lv-LV" w:bidi="lv-LV"/>
                              </w:rPr>
                            </w:pPr>
                            <w:r w:rsidRPr="00A839B6">
                              <w:rPr>
                                <w:lang w:val="lv-LV" w:bidi="lv-LV"/>
                              </w:rPr>
                              <w:t>Pakalpojumi un IKT risinājumi tiek veidoti, ievērojot ilgtspējības principus, lai nodrošinātu to ilgtermiņa efektivitāti, minimālu ietekmi uz vidi un pielāgošanos nākotnes vajadzībām. Resursi tiek izmantoti atbildīgi, veicinot tehnoloģiju atkārtotu izmantošanu, energoefektivitāti un atbilstību vides prasībām.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682DCEE1">
              <v:shape id="_x0000_s1033" style="position:absolute;margin-left:0;margin-top:24.95pt;width:2in;height:2in;z-index:251658254;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iyWwIAAAwFAAAOAAAAZHJzL2Uyb0RvYy54bWysVE1v2zAMvQ/YfxB0X+xk3ZoFdYosRYYB&#10;RVs0HXpWZKkxJouCxMTOfv0oOXa6LqdhF5kS+fj56KvrtjZsr3yowBZ8PMo5U1ZCWdmXgv94Wn2Y&#10;chZQ2FIYsKrgBxX49fz9u6vGzdQEtmBK5Rk5sWHWuIJvEd0sy4LcqlqEEThlSanB1wLp6l+y0ouG&#10;vNcmm+T556wBXzoPUoVArzedks+Tf62VxHutg0JmCk65YTp9OjfxzOZXYvbihdtW8piG+IcsalFZ&#10;Cjq4uhEo2M5Xf7mqK+khgMaRhDoDrSupUg1UzTh/U816K5xKtVBzghvaFP6fW3m3X7sHz7D9Ci0N&#10;MDakcWEW6DHW02pfxy9lykhPLTwMbVMtMhlB08l0mpNKkq6/kJ/sBHc+4DcFNYtCwT3NJbVL7G8D&#10;dqa9SYxmbHw75ZEkPBjVKR+VZlVJkSfJSSKLWhrP9oLGLKRUFj/GSigDY8k6wnRlzAAcnwMaTOUT&#10;6GgbYSqRaADm54B/RhwQKSpYHMB1ZcGfc1D+HCJ39n31Xc2xfGw3LRVd8Mt+RBsoDzQ5Dx2pg5Or&#10;irp7KwI+CE8sponQZuI9HdpAU3A4Spxtwf869x7tiVyk5ayhrSi4pbXlzHy3RLov44uLuETpcvHp&#10;ckIX/1qzea2xu3oJNI8x/QGcTGK0R9OL2kP9TOu7iDFJJaykyAXHXlxit6m0/lItFsmI1sYJvLVr&#10;J6Pr2OPInKf2WXh3pBcSM++g3x4xe8OyzjYig1vsEFZVomDsctfTY/dp5RKFjr+HuNOv78nq9BOb&#10;/wY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CyWQiyWwIAAAwFAAAOAAAAAAAAAAAAAAAAAC4CAABkcnMvZTJvRG9jLnhtbFBL&#10;AQItABQABgAIAAAAIQDu75ah2wAAAAcBAAAPAAAAAAAAAAAAAAAAALUEAABkcnMvZG93bnJldi54&#10;bWxQSwUGAAAAAAQABADzAAAAvQUAAAAA&#10;" w14:anchorId="17D13C8B">
                <v:textbox style="mso-fit-shape-to-text:t">
                  <w:txbxContent>
                    <w:p w:rsidRPr="00A839B6" w:rsidR="00F925F5" w:rsidP="00F925F5" w:rsidRDefault="00FC7625" w14:paraId="23FA1A66" w14:textId="3924C0FE">
                      <w:pPr>
                        <w:ind w:left="851"/>
                        <w:jc w:val="both"/>
                        <w:rPr>
                          <w:lang w:val="lv-LV" w:bidi="lv-LV"/>
                        </w:rPr>
                      </w:pPr>
                      <w:r w:rsidRPr="00A839B6">
                        <w:rPr>
                          <w:lang w:val="lv-LV" w:bidi="lv-LV"/>
                        </w:rPr>
                        <w:t>Pakalpojumi un IKT risinājumi tiek veidoti, ievērojot ilgtspējības principus, lai nodrošinātu to ilgtermiņa efektivitāti, minimālu ietekmi uz vidi un pielāgošanos nākotnes vajadzībām. Resursi tiek izmantoti atbildīgi, veicinot tehnoloģiju atkārtotu izmantošanu, energoefektivitāti un atbilstību vides prasībām.</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55" behindDoc="0" locked="0" layoutInCell="1" allowOverlap="1" wp14:anchorId="650651B4" wp14:editId="3E79476C">
            <wp:simplePos x="0" y="0"/>
            <wp:positionH relativeFrom="margin">
              <wp:posOffset>88900</wp:posOffset>
            </wp:positionH>
            <wp:positionV relativeFrom="paragraph">
              <wp:posOffset>450850</wp:posOffset>
            </wp:positionV>
            <wp:extent cx="427990" cy="427990"/>
            <wp:effectExtent l="0" t="0" r="0" b="0"/>
            <wp:wrapSquare wrapText="bothSides"/>
            <wp:docPr id="161490171"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E43D18">
        <w:rPr>
          <w:noProof/>
          <w:lang w:val="lv-LV"/>
        </w:rPr>
        <w:t>il</w:t>
      </w:r>
      <w:r w:rsidR="00FC7625">
        <w:rPr>
          <w:noProof/>
          <w:lang w:val="lv-LV"/>
        </w:rPr>
        <w:t>gtspējī</w:t>
      </w:r>
      <w:r w:rsidR="00E43D18">
        <w:rPr>
          <w:noProof/>
          <w:lang w:val="lv-LV"/>
        </w:rPr>
        <w:t>gi</w:t>
      </w:r>
    </w:p>
    <w:p w14:paraId="6D931801" w14:textId="77777777" w:rsidR="00D2303B" w:rsidRDefault="00D2303B" w:rsidP="00D2303B">
      <w:pPr>
        <w:rPr>
          <w:lang w:val="lv-LV"/>
        </w:rPr>
      </w:pPr>
    </w:p>
    <w:p w14:paraId="58088AE5" w14:textId="77777777" w:rsidR="00263BAE" w:rsidRPr="00AE17B5" w:rsidRDefault="00263BAE" w:rsidP="00263BAE">
      <w:pPr>
        <w:rPr>
          <w:lang w:val="lv-LV"/>
        </w:rPr>
      </w:pPr>
      <w:r w:rsidRPr="00AE17B5">
        <w:rPr>
          <w:lang w:val="lv-LV"/>
        </w:rPr>
        <w:lastRenderedPageBreak/>
        <w:t>Piemērošanas vadlīnijas:</w:t>
      </w:r>
    </w:p>
    <w:p w14:paraId="62A9A9B7" w14:textId="5352D077" w:rsidR="00263BAE" w:rsidRPr="008D19AA" w:rsidRDefault="04C61DFC" w:rsidP="00D5520A">
      <w:pPr>
        <w:pStyle w:val="ListParagraph"/>
        <w:numPr>
          <w:ilvl w:val="0"/>
          <w:numId w:val="11"/>
        </w:numPr>
        <w:jc w:val="both"/>
        <w:rPr>
          <w:lang w:val="lv-LV"/>
        </w:rPr>
      </w:pPr>
      <w:commentRangeStart w:id="17"/>
      <w:commentRangeStart w:id="18"/>
      <w:r w:rsidRPr="3D3736F2">
        <w:rPr>
          <w:lang w:val="lv-LV"/>
        </w:rPr>
        <w:t xml:space="preserve">Plānojiet energoefektīvus risinājumus. Izvēlieties energoefektīvus risinājumus gan aparatūras, gan programmatūras jomā, lai samazinātu enerģijas patēriņu. </w:t>
      </w:r>
      <w:r w:rsidR="000C71E7">
        <w:rPr>
          <w:lang w:val="lv-LV"/>
        </w:rPr>
        <w:t>Izvirziet samērīgas prasības IKT infrastruktūrai (piemēram, RTO, RPO), kas nepieciešama biznesa ne</w:t>
      </w:r>
      <w:r w:rsidR="00B519C2">
        <w:rPr>
          <w:lang w:val="lv-LV"/>
        </w:rPr>
        <w:t>p</w:t>
      </w:r>
      <w:r w:rsidR="000C71E7">
        <w:rPr>
          <w:lang w:val="lv-LV"/>
        </w:rPr>
        <w:t>ā</w:t>
      </w:r>
      <w:r w:rsidR="00B519C2">
        <w:rPr>
          <w:lang w:val="lv-LV"/>
        </w:rPr>
        <w:t>r</w:t>
      </w:r>
      <w:r w:rsidR="000C71E7">
        <w:rPr>
          <w:lang w:val="lv-LV"/>
        </w:rPr>
        <w:t xml:space="preserve">trauktības nodrošināšanai. Optimāli plānojiet IKT infrastruktūras resursus (piemēram, vides). </w:t>
      </w:r>
      <w:r w:rsidRPr="3D3736F2">
        <w:rPr>
          <w:lang w:val="lv-LV"/>
        </w:rPr>
        <w:t xml:space="preserve">Izvērtējiet un izmantojiet </w:t>
      </w:r>
      <w:proofErr w:type="spellStart"/>
      <w:r w:rsidRPr="3D3736F2">
        <w:rPr>
          <w:lang w:val="lv-LV"/>
        </w:rPr>
        <w:t>mākoņpakalpojumu</w:t>
      </w:r>
      <w:proofErr w:type="spellEnd"/>
      <w:r w:rsidRPr="3D3736F2">
        <w:rPr>
          <w:lang w:val="lv-LV"/>
        </w:rPr>
        <w:t xml:space="preserve"> risinājumus, kas atbalsta energoefektīvu datu apstrādi un glabāšanu. Izvērtējiet zaļā iepirkuma piemērošanas iespējas IKT risinājumu iegādes jomā.</w:t>
      </w:r>
      <w:commentRangeEnd w:id="17"/>
      <w:r w:rsidR="00B30A08">
        <w:rPr>
          <w:rStyle w:val="CommentReference"/>
        </w:rPr>
        <w:commentReference w:id="17"/>
      </w:r>
      <w:commentRangeEnd w:id="18"/>
      <w:r w:rsidR="00DE2F12">
        <w:rPr>
          <w:rStyle w:val="CommentReference"/>
        </w:rPr>
        <w:commentReference w:id="18"/>
      </w:r>
    </w:p>
    <w:p w14:paraId="23696757" w14:textId="1948DB23" w:rsidR="00B30A08" w:rsidRPr="008D19AA" w:rsidRDefault="00C20AD0" w:rsidP="00D5520A">
      <w:pPr>
        <w:pStyle w:val="ListParagraph"/>
        <w:numPr>
          <w:ilvl w:val="0"/>
          <w:numId w:val="11"/>
        </w:numPr>
        <w:jc w:val="both"/>
        <w:rPr>
          <w:lang w:val="lv-LV"/>
        </w:rPr>
      </w:pPr>
      <w:r w:rsidRPr="008D19AA">
        <w:rPr>
          <w:lang w:val="lv-LV"/>
        </w:rPr>
        <w:t>Izmantojiet resursus ilgtspējīgi. Izmantojiet resursus atbildīgi, lai samazinātu lieko kapacitāti vai nepietiekamu izmantošanu. Veiciet regulārus novērtējumus, lai identificētu un samazinātu resursu patēriņu, tostarp serveru, tīkla un glabāšanas infrastruktūrā.</w:t>
      </w:r>
    </w:p>
    <w:p w14:paraId="5CEEC481" w14:textId="0F167155" w:rsidR="008D19AA" w:rsidRPr="008D19AA" w:rsidRDefault="008D19AA" w:rsidP="00D5520A">
      <w:pPr>
        <w:pStyle w:val="ListParagraph"/>
        <w:numPr>
          <w:ilvl w:val="0"/>
          <w:numId w:val="11"/>
        </w:numPr>
        <w:jc w:val="both"/>
        <w:rPr>
          <w:lang w:val="lv-LV"/>
        </w:rPr>
      </w:pPr>
      <w:r w:rsidRPr="008D19AA">
        <w:rPr>
          <w:lang w:val="lv-LV"/>
        </w:rPr>
        <w:t xml:space="preserve">Veiciniet “zaļās IT” praksi. Veiciniet un atbalstiet "zaļās IT" principus, piemēram, serveru virtualizāciju, papīra patēriņa samazināšanu un </w:t>
      </w:r>
      <w:proofErr w:type="spellStart"/>
      <w:r w:rsidRPr="008D19AA">
        <w:rPr>
          <w:lang w:val="lv-LV"/>
        </w:rPr>
        <w:t>digitalizāciju</w:t>
      </w:r>
      <w:proofErr w:type="spellEnd"/>
      <w:r w:rsidRPr="008D19AA">
        <w:rPr>
          <w:lang w:val="lv-LV"/>
        </w:rPr>
        <w:t>.</w:t>
      </w:r>
    </w:p>
    <w:p w14:paraId="21E0CE50" w14:textId="10B7AA76" w:rsidR="00263BAE" w:rsidRDefault="00263BAE" w:rsidP="00263BAE">
      <w:pPr>
        <w:rPr>
          <w:lang w:val="lv-LV"/>
        </w:rPr>
      </w:pPr>
      <w:r w:rsidRPr="00C20AD0">
        <w:rPr>
          <w:lang w:val="lv-LV"/>
        </w:rPr>
        <w:t>Novērtēšanas vadlīnijas:</w:t>
      </w:r>
    </w:p>
    <w:p w14:paraId="6CEB7EB1" w14:textId="5508F32E" w:rsidR="008D19AA" w:rsidRDefault="00870468" w:rsidP="00D5520A">
      <w:pPr>
        <w:pStyle w:val="ListParagraph"/>
        <w:numPr>
          <w:ilvl w:val="0"/>
          <w:numId w:val="14"/>
        </w:numPr>
        <w:rPr>
          <w:lang w:val="lv-LV"/>
        </w:rPr>
      </w:pPr>
      <w:r>
        <w:rPr>
          <w:lang w:val="lv-LV"/>
        </w:rPr>
        <w:t>VPK</w:t>
      </w:r>
      <w:r w:rsidR="007E698D">
        <w:rPr>
          <w:lang w:val="lv-LV"/>
        </w:rPr>
        <w:t>30</w:t>
      </w:r>
      <w:r>
        <w:rPr>
          <w:lang w:val="lv-LV"/>
        </w:rPr>
        <w:t xml:space="preserve">. </w:t>
      </w:r>
      <w:r w:rsidR="008D19AA">
        <w:rPr>
          <w:lang w:val="lv-LV"/>
        </w:rPr>
        <w:t xml:space="preserve">Vai ir </w:t>
      </w:r>
      <w:r w:rsidR="00242021">
        <w:rPr>
          <w:lang w:val="lv-LV"/>
        </w:rPr>
        <w:t xml:space="preserve">konceptuāli veiktas aplēses </w:t>
      </w:r>
      <w:r w:rsidR="008D19AA">
        <w:rPr>
          <w:lang w:val="lv-LV"/>
        </w:rPr>
        <w:t>nepieciešam</w:t>
      </w:r>
      <w:r w:rsidR="00242021">
        <w:rPr>
          <w:lang w:val="lv-LV"/>
        </w:rPr>
        <w:t>ai</w:t>
      </w:r>
      <w:r w:rsidR="008D19AA">
        <w:rPr>
          <w:lang w:val="lv-LV"/>
        </w:rPr>
        <w:t xml:space="preserve"> resursu kapacitāt</w:t>
      </w:r>
      <w:r w:rsidR="00242021">
        <w:rPr>
          <w:lang w:val="lv-LV"/>
        </w:rPr>
        <w:t>i</w:t>
      </w:r>
      <w:r w:rsidR="008D19AA">
        <w:rPr>
          <w:lang w:val="lv-LV"/>
        </w:rPr>
        <w:t xml:space="preserve"> </w:t>
      </w:r>
      <w:proofErr w:type="spellStart"/>
      <w:r w:rsidR="008D19AA">
        <w:rPr>
          <w:lang w:val="lv-LV"/>
        </w:rPr>
        <w:t>mērķarhitektūras</w:t>
      </w:r>
      <w:proofErr w:type="spellEnd"/>
      <w:r w:rsidR="008D19AA">
        <w:rPr>
          <w:lang w:val="lv-LV"/>
        </w:rPr>
        <w:t xml:space="preserve"> ieviešanai? </w:t>
      </w:r>
    </w:p>
    <w:p w14:paraId="45EBACFD" w14:textId="53662099" w:rsidR="008D19AA" w:rsidRDefault="00870468" w:rsidP="00D5520A">
      <w:pPr>
        <w:pStyle w:val="ListParagraph"/>
        <w:numPr>
          <w:ilvl w:val="0"/>
          <w:numId w:val="14"/>
        </w:numPr>
        <w:rPr>
          <w:lang w:val="lv-LV"/>
        </w:rPr>
      </w:pPr>
      <w:r>
        <w:rPr>
          <w:lang w:val="lv-LV"/>
        </w:rPr>
        <w:t>VPK</w:t>
      </w:r>
      <w:r w:rsidR="007E698D">
        <w:rPr>
          <w:lang w:val="lv-LV"/>
        </w:rPr>
        <w:t>31</w:t>
      </w:r>
      <w:r>
        <w:rPr>
          <w:lang w:val="lv-LV"/>
        </w:rPr>
        <w:t xml:space="preserve">. </w:t>
      </w:r>
      <w:r w:rsidR="008D19AA">
        <w:rPr>
          <w:lang w:val="lv-LV"/>
        </w:rPr>
        <w:t xml:space="preserve">Vai </w:t>
      </w:r>
      <w:proofErr w:type="spellStart"/>
      <w:r w:rsidR="00022365">
        <w:rPr>
          <w:lang w:val="lv-LV"/>
        </w:rPr>
        <w:t>mērķarhitektūrā</w:t>
      </w:r>
      <w:proofErr w:type="spellEnd"/>
      <w:r w:rsidR="00022365">
        <w:rPr>
          <w:lang w:val="lv-LV"/>
        </w:rPr>
        <w:t xml:space="preserve"> </w:t>
      </w:r>
      <w:r w:rsidR="008D19AA">
        <w:rPr>
          <w:lang w:val="lv-LV"/>
        </w:rPr>
        <w:t xml:space="preserve">paredzēts izmantot </w:t>
      </w:r>
      <w:proofErr w:type="spellStart"/>
      <w:r w:rsidR="008D19AA">
        <w:rPr>
          <w:lang w:val="lv-LV"/>
        </w:rPr>
        <w:t>mākoņdatošanas</w:t>
      </w:r>
      <w:proofErr w:type="spellEnd"/>
      <w:r w:rsidR="008D19AA">
        <w:rPr>
          <w:lang w:val="lv-LV"/>
        </w:rPr>
        <w:t xml:space="preserve"> pakalpojumus ar iespēju iegādāties pieprasījumam atbilstošas jaudas?</w:t>
      </w:r>
    </w:p>
    <w:p w14:paraId="59117D2A" w14:textId="0FFD7536" w:rsidR="008D19AA" w:rsidRPr="008D19AA" w:rsidRDefault="00870468" w:rsidP="00D5520A">
      <w:pPr>
        <w:pStyle w:val="ListParagraph"/>
        <w:numPr>
          <w:ilvl w:val="0"/>
          <w:numId w:val="14"/>
        </w:numPr>
        <w:rPr>
          <w:lang w:val="lv-LV"/>
        </w:rPr>
      </w:pPr>
      <w:r>
        <w:rPr>
          <w:lang w:val="lv-LV"/>
        </w:rPr>
        <w:t>VPK3</w:t>
      </w:r>
      <w:r w:rsidR="007E698D">
        <w:rPr>
          <w:lang w:val="lv-LV"/>
        </w:rPr>
        <w:t>2</w:t>
      </w:r>
      <w:r>
        <w:rPr>
          <w:lang w:val="lv-LV"/>
        </w:rPr>
        <w:t xml:space="preserve">. </w:t>
      </w:r>
      <w:r w:rsidR="008D19AA">
        <w:rPr>
          <w:lang w:val="lv-LV"/>
        </w:rPr>
        <w:t xml:space="preserve">Vai </w:t>
      </w:r>
      <w:proofErr w:type="spellStart"/>
      <w:r w:rsidR="008D19AA">
        <w:rPr>
          <w:lang w:val="lv-LV"/>
        </w:rPr>
        <w:t>mērķarhitektūrā</w:t>
      </w:r>
      <w:proofErr w:type="spellEnd"/>
      <w:r w:rsidR="008D19AA">
        <w:rPr>
          <w:lang w:val="lv-LV"/>
        </w:rPr>
        <w:t xml:space="preserve"> iekļautās iniciatīvas veicina </w:t>
      </w:r>
      <w:r w:rsidR="008D19AA" w:rsidRPr="008D19AA">
        <w:rPr>
          <w:lang w:val="lv-LV"/>
        </w:rPr>
        <w:t>"zaļās IT" principu</w:t>
      </w:r>
      <w:r w:rsidR="008D19AA">
        <w:rPr>
          <w:lang w:val="lv-LV"/>
        </w:rPr>
        <w:t xml:space="preserve"> pielietošanu?</w:t>
      </w:r>
    </w:p>
    <w:p w14:paraId="5995847D" w14:textId="77777777" w:rsidR="00263BAE" w:rsidRPr="00D2303B" w:rsidRDefault="00263BAE" w:rsidP="00D2303B">
      <w:pPr>
        <w:rPr>
          <w:lang w:val="lv-LV"/>
        </w:rPr>
      </w:pPr>
    </w:p>
    <w:p w14:paraId="2B6FF841" w14:textId="200A422C" w:rsidR="00A17B39" w:rsidRPr="00A839B6" w:rsidRDefault="00A17B39" w:rsidP="00E43D18">
      <w:pPr>
        <w:pStyle w:val="Heading2"/>
        <w:rPr>
          <w:rStyle w:val="Heading4Char"/>
          <w:i w:val="0"/>
          <w:iCs w:val="0"/>
          <w:lang w:val="lv-LV"/>
        </w:rPr>
      </w:pPr>
      <w:r>
        <w:rPr>
          <w:lang w:val="lv-LV"/>
        </w:rPr>
        <w:lastRenderedPageBreak/>
        <w:t>P</w:t>
      </w:r>
      <w:r w:rsidR="00E43D18">
        <w:rPr>
          <w:lang w:val="lv-LV"/>
        </w:rPr>
        <w:t>10</w:t>
      </w:r>
      <w:r>
        <w:rPr>
          <w:lang w:val="lv-LV"/>
        </w:rPr>
        <w:t xml:space="preserve">. </w:t>
      </w:r>
      <w:r w:rsidRPr="00E2406D">
        <w:rPr>
          <w:noProof/>
          <w:lang w:val="lv-LV"/>
        </w:rPr>
        <mc:AlternateContent>
          <mc:Choice Requires="wps">
            <w:drawing>
              <wp:anchor distT="0" distB="0" distL="114300" distR="114300" simplePos="0" relativeHeight="251658264" behindDoc="0" locked="0" layoutInCell="1" allowOverlap="1" wp14:anchorId="78EFB0BF" wp14:editId="1E5C907E">
                <wp:simplePos x="0" y="0"/>
                <wp:positionH relativeFrom="column">
                  <wp:posOffset>0</wp:posOffset>
                </wp:positionH>
                <wp:positionV relativeFrom="paragraph">
                  <wp:posOffset>316865</wp:posOffset>
                </wp:positionV>
                <wp:extent cx="1828800" cy="1828800"/>
                <wp:effectExtent l="0" t="0" r="8890" b="10795"/>
                <wp:wrapTopAndBottom/>
                <wp:docPr id="531130177"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0A37482" w14:textId="09E989DB" w:rsidR="00971D87" w:rsidRPr="000E1597" w:rsidRDefault="00411BE4" w:rsidP="00411BE4">
                            <w:pPr>
                              <w:ind w:left="851"/>
                              <w:jc w:val="both"/>
                            </w:pPr>
                            <w:r w:rsidRPr="00411BE4">
                              <w:t>Visi pakalpojumi tiek primāri veidoti un optimizēti digitālajai videi</w:t>
                            </w:r>
                            <w:r>
                              <w:t xml:space="preserve">. </w:t>
                            </w:r>
                            <w:r w:rsidRPr="00411BE4">
                              <w:t>Fiziskie kanāli (klātienes pakalpojumi) tiek uztverti kā papildinājums</w:t>
                            </w:r>
                            <w:r>
                              <w:t xml:space="preserve">. </w:t>
                            </w:r>
                            <w:r w:rsidRPr="00411BE4">
                              <w:t>Pakalpojumi tiek veidoti tā, lai lietotāji varētu viegli un intuitīvi piekļūt tiem digitālajā vidē.</w:t>
                            </w:r>
                          </w:p>
                          <w:p w14:paraId="1F1B08B4" w14:textId="513385DE" w:rsidR="002E6794" w:rsidRPr="002E6794" w:rsidRDefault="002E6794" w:rsidP="002E6794">
                            <w:pPr>
                              <w:ind w:left="851"/>
                              <w:jc w:val="both"/>
                              <w:rPr>
                                <w:lang w:val="lv-LV"/>
                              </w:rPr>
                            </w:pPr>
                            <w:r w:rsidRPr="002E6794">
                              <w:rPr>
                                <w:lang w:val="lv-LV"/>
                              </w:rPr>
                              <w:t>Visi publiskie pakalpojumi, kas iespējami elektroniski, tiek piedāvāti digitāli, izmantojot e-pakalpojumu lietotnes vai e-formas, un ir pieejami valsts pārvaldes vietnēs, piemēram, latvija.gov.lv vai business.gov.lv. Pakalpojumi nedrīkst tikt publicēti, ja tiem nav elektroniskas piekļuves iespējas, izņemot klātienē pieprasāmus pakalpojumus.</w:t>
                            </w:r>
                          </w:p>
                          <w:p w14:paraId="553473E3" w14:textId="53FE5BB8" w:rsidR="002E6794" w:rsidRPr="001B7BB2" w:rsidRDefault="002E6794" w:rsidP="002E6794">
                            <w:pPr>
                              <w:ind w:left="851"/>
                              <w:jc w:val="both"/>
                              <w:rPr>
                                <w:lang w:val="lv-LV"/>
                              </w:rPr>
                            </w:pPr>
                            <w:r w:rsidRPr="002E6794">
                              <w:rPr>
                                <w:lang w:val="lv-LV"/>
                              </w:rPr>
                              <w:t xml:space="preserve">Vienkāršoto elektronisko pakalpojumu pieteikšanai tiek izmantotas universālas e-formas, kas nodrošina iesniegumu nosūtīšanu un statusa uzraudzību.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EFB0BF" id="_x0000_s1035" type="#_x0000_t202" style="position:absolute;margin-left:0;margin-top:24.95pt;width:2in;height:2in;z-index:251658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yWwIAAAwFAAAOAAAAZHJzL2Uyb0RvYy54bWysVEtv2zAMvg/YfxB0X+1k3ZYGdYqsRYcB&#10;RVs0HXpWZKk2JouCxMbOfv0o+dGsy2nYRaZEfnx+9PlF1xi2Uz7UYAs+O8k5U1ZCWdvngv94vP6w&#10;4CygsKUwYFXB9yrwi9X7d+etW6o5VGBK5Rk5sWHZuoJXiG6ZZUFWqhHhBJyypNTgG4F09c9Z6UVL&#10;3huTzfP8c9aCL50HqUKg16teyVfJv9ZK4p3WQSEzBafcMJ0+ndt4ZqtzsXz2wlW1HNIQ/5BFI2pL&#10;QSdXVwIFe/H1X66aWnoIoPFEQpOB1rVUqQaqZpa/qWZTCadSLdSc4KY2hf/nVt7uNu7eM+y+QkcD&#10;jA1pXVgGeoz1dNo38UuZMtJTC/dT21SHTEbQYr5Y5KSSpBsv5Cd7hTsf8JuChkWh4J7mktoldjcB&#10;e9PRJEYzNr695pEk3BvVKx+UZnVJkefJSSKLujSe7QSNWUipLH6MlVAGxpJ1hOnamAk4OwY0mMon&#10;0GAbYSqRaALmx4B/RpwQKSpYnMBNbcEfc1D+nCL39mP1fc2xfOy2HRVd8LNxRFso9zQ5Dz2pg5PX&#10;NXX3RgS8F55YTBOhzcQ7OrSBtuAwSJxV4H8de4/2RC7SctbSVhTc0tpyZr5bIt3Z7PQ0LlG6nH76&#10;MqeLP9RsDzX2pbkEmseM/gBOJjHaoxlF7aF5ovVdx5ikElZS5ILjKF5iv6m0/lKt18mI1sYJvLEb&#10;J6Pr2OPInMfuSXg30AuJmbcwbo9YvmFZbxuRwa1fEK7rRMHY5b6nQ/dp5RKFht9D3OnDe7J6/Ymt&#10;fgM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Det6ByWwIAAAwFAAAOAAAAAAAAAAAAAAAAAC4CAABkcnMvZTJvRG9jLnhtbFBL&#10;AQItABQABgAIAAAAIQDu75ah2wAAAAcBAAAPAAAAAAAAAAAAAAAAALUEAABkcnMvZG93bnJldi54&#10;bWxQSwUGAAAAAAQABADzAAAAvQUAAAAA&#10;" fillcolor="white [3201]" strokecolor="#196b24 [3206]" strokeweight="1pt">
                <v:textbox style="mso-fit-shape-to-text:t">
                  <w:txbxContent>
                    <w:p w14:paraId="40A37482" w14:textId="09E989DB" w:rsidR="00971D87" w:rsidRPr="000E1597" w:rsidRDefault="00411BE4" w:rsidP="00411BE4">
                      <w:pPr>
                        <w:ind w:left="851"/>
                        <w:jc w:val="both"/>
                      </w:pPr>
                      <w:r w:rsidRPr="00411BE4">
                        <w:t>Visi pakalpojumi tiek primāri veidoti un optimizēti digitālajai videi</w:t>
                      </w:r>
                      <w:r>
                        <w:t xml:space="preserve">. </w:t>
                      </w:r>
                      <w:r w:rsidRPr="00411BE4">
                        <w:t>Fiziskie kanāli (klātienes pakalpojumi) tiek uztverti kā papildinājums</w:t>
                      </w:r>
                      <w:r>
                        <w:t xml:space="preserve">. </w:t>
                      </w:r>
                      <w:r w:rsidRPr="00411BE4">
                        <w:t>Pakalpojumi tiek veidoti tā, lai lietotāji varētu viegli un intuitīvi piekļūt tiem digitālajā vidē.</w:t>
                      </w:r>
                    </w:p>
                    <w:p w14:paraId="1F1B08B4" w14:textId="513385DE" w:rsidR="002E6794" w:rsidRPr="002E6794" w:rsidRDefault="002E6794" w:rsidP="002E6794">
                      <w:pPr>
                        <w:ind w:left="851"/>
                        <w:jc w:val="both"/>
                        <w:rPr>
                          <w:lang w:val="lv-LV"/>
                        </w:rPr>
                      </w:pPr>
                      <w:r w:rsidRPr="002E6794">
                        <w:rPr>
                          <w:lang w:val="lv-LV"/>
                        </w:rPr>
                        <w:t>Visi publiskie pakalpojumi, kas iespējami elektroniski, tiek piedāvāti digitāli, izmantojot e-pakalpojumu lietotnes vai e-formas, un ir pieejami valsts pārvaldes vietnēs, piemēram, latvija.gov.lv vai business.gov.lv. Pakalpojumi nedrīkst tikt publicēti, ja tiem nav elektroniskas piekļuves iespējas, izņemot klātienē pieprasāmus pakalpojumus.</w:t>
                      </w:r>
                    </w:p>
                    <w:p w14:paraId="553473E3" w14:textId="53FE5BB8" w:rsidR="002E6794" w:rsidRPr="001B7BB2" w:rsidRDefault="002E6794" w:rsidP="002E6794">
                      <w:pPr>
                        <w:ind w:left="851"/>
                        <w:jc w:val="both"/>
                        <w:rPr>
                          <w:lang w:val="lv-LV"/>
                        </w:rPr>
                      </w:pPr>
                      <w:r w:rsidRPr="002E6794">
                        <w:rPr>
                          <w:lang w:val="lv-LV"/>
                        </w:rPr>
                        <w:t xml:space="preserve">Vienkāršoto elektronisko pakalpojumu pieteikšanai tiek izmantotas universālas e-formas, kas nodrošina iesniegumu nosūtīšanu un statusa uzraudzību. </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65" behindDoc="0" locked="0" layoutInCell="1" allowOverlap="1" wp14:anchorId="601FE40C" wp14:editId="427C9BFE">
            <wp:simplePos x="0" y="0"/>
            <wp:positionH relativeFrom="margin">
              <wp:posOffset>88900</wp:posOffset>
            </wp:positionH>
            <wp:positionV relativeFrom="paragraph">
              <wp:posOffset>450850</wp:posOffset>
            </wp:positionV>
            <wp:extent cx="427990" cy="427990"/>
            <wp:effectExtent l="0" t="0" r="0" b="0"/>
            <wp:wrapSquare wrapText="bothSides"/>
            <wp:docPr id="1292937698"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9968F2">
        <w:rPr>
          <w:lang w:val="lv-LV"/>
        </w:rPr>
        <w:t>Digitālie pakalpojumi kā primāri</w:t>
      </w:r>
      <w:r w:rsidR="001B7BB2">
        <w:rPr>
          <w:lang w:val="lv-LV"/>
        </w:rPr>
        <w:t>e</w:t>
      </w:r>
      <w:r w:rsidR="009968F2">
        <w:rPr>
          <w:lang w:val="lv-LV"/>
        </w:rPr>
        <w:t xml:space="preserve"> </w:t>
      </w:r>
      <w:r w:rsidR="009968F2" w:rsidRPr="00A839B6">
        <w:rPr>
          <w:i/>
          <w:iCs/>
          <w:lang w:val="lv-LV"/>
        </w:rPr>
        <w:t>(</w:t>
      </w:r>
      <w:proofErr w:type="spellStart"/>
      <w:r w:rsidR="009968F2" w:rsidRPr="00A839B6">
        <w:rPr>
          <w:i/>
          <w:iCs/>
          <w:lang w:val="lv-LV"/>
        </w:rPr>
        <w:t>Digital</w:t>
      </w:r>
      <w:proofErr w:type="spellEnd"/>
      <w:r w:rsidR="009968F2" w:rsidRPr="00A839B6">
        <w:rPr>
          <w:i/>
          <w:iCs/>
          <w:lang w:val="lv-LV"/>
        </w:rPr>
        <w:t xml:space="preserve"> First)</w:t>
      </w:r>
    </w:p>
    <w:p w14:paraId="01939CE0" w14:textId="491F39BF" w:rsidR="00A17B39" w:rsidRDefault="00A17B39" w:rsidP="00A17B39">
      <w:pPr>
        <w:rPr>
          <w:lang w:val="lv-LV"/>
        </w:rPr>
      </w:pPr>
    </w:p>
    <w:p w14:paraId="7BEEBC40" w14:textId="77777777" w:rsidR="00786003" w:rsidRPr="00AE17B5" w:rsidRDefault="5E752E58" w:rsidP="00786003">
      <w:pPr>
        <w:rPr>
          <w:lang w:val="lv-LV"/>
        </w:rPr>
      </w:pPr>
      <w:commentRangeStart w:id="19"/>
      <w:commentRangeStart w:id="20"/>
      <w:commentRangeStart w:id="21"/>
      <w:r w:rsidRPr="3D3736F2">
        <w:rPr>
          <w:lang w:val="lv-LV"/>
        </w:rPr>
        <w:t>Piemērošanas vadlīnijas:</w:t>
      </w:r>
      <w:commentRangeEnd w:id="19"/>
      <w:r w:rsidR="00786003">
        <w:rPr>
          <w:rStyle w:val="CommentReference"/>
        </w:rPr>
        <w:commentReference w:id="19"/>
      </w:r>
      <w:commentRangeEnd w:id="20"/>
      <w:r w:rsidR="00786003">
        <w:rPr>
          <w:rStyle w:val="CommentReference"/>
        </w:rPr>
        <w:commentReference w:id="20"/>
      </w:r>
      <w:commentRangeEnd w:id="21"/>
      <w:r w:rsidR="004A0ED9">
        <w:rPr>
          <w:rStyle w:val="CommentReference"/>
        </w:rPr>
        <w:commentReference w:id="21"/>
      </w:r>
    </w:p>
    <w:p w14:paraId="5A1D6E33" w14:textId="19FCE57F" w:rsidR="00F670DC" w:rsidRPr="00791818" w:rsidRDefault="00554C02" w:rsidP="00F670DC">
      <w:pPr>
        <w:pStyle w:val="ListParagraph"/>
        <w:numPr>
          <w:ilvl w:val="0"/>
          <w:numId w:val="11"/>
        </w:numPr>
        <w:jc w:val="both"/>
        <w:rPr>
          <w:lang w:val="lv-LV"/>
        </w:rPr>
      </w:pPr>
      <w:proofErr w:type="spellStart"/>
      <w:r w:rsidRPr="00791818">
        <w:rPr>
          <w:lang w:val="lv-LV"/>
        </w:rPr>
        <w:t>Prioritizējiet</w:t>
      </w:r>
      <w:proofErr w:type="spellEnd"/>
      <w:r w:rsidRPr="00791818">
        <w:rPr>
          <w:lang w:val="lv-LV"/>
        </w:rPr>
        <w:t xml:space="preserve"> visu publisko pakalpojumu </w:t>
      </w:r>
      <w:proofErr w:type="spellStart"/>
      <w:r w:rsidRPr="00791818">
        <w:rPr>
          <w:lang w:val="lv-LV"/>
        </w:rPr>
        <w:t>digitalizāciju</w:t>
      </w:r>
      <w:proofErr w:type="spellEnd"/>
      <w:r w:rsidRPr="00791818">
        <w:rPr>
          <w:lang w:val="lv-LV"/>
        </w:rPr>
        <w:t xml:space="preserve">. </w:t>
      </w:r>
      <w:r w:rsidR="00F670DC" w:rsidRPr="00791818">
        <w:rPr>
          <w:lang w:val="lv-LV"/>
        </w:rPr>
        <w:t>Nodrošiniet, ka visi publiskie pakalpojumi, kuru piedāvājums un piegāde iespējama elektroniski,  ir pieejami un tiek sniegti elektroniski e-pakalpojumu lietotnes veidā vai izmantojot e-formu: iedzīvotāji un uzņēmēji var pieprasīt jebkuru publisko pakalpojumu elektroniski, sameklējot to latvija.gov.lv, business.gov.lv vai citā valsts pārvaldes vietnē (pakalpojumu katalogā)</w:t>
      </w:r>
      <w:r w:rsidR="00945E38" w:rsidRPr="00791818">
        <w:rPr>
          <w:lang w:val="lv-LV"/>
        </w:rPr>
        <w:t>.</w:t>
      </w:r>
    </w:p>
    <w:p w14:paraId="223E730D" w14:textId="77777777" w:rsidR="00E079CE" w:rsidRPr="00791818" w:rsidRDefault="00E079CE" w:rsidP="00E079CE">
      <w:pPr>
        <w:pStyle w:val="ListParagraph"/>
        <w:numPr>
          <w:ilvl w:val="0"/>
          <w:numId w:val="11"/>
        </w:numPr>
        <w:jc w:val="both"/>
        <w:rPr>
          <w:lang w:val="lv-LV"/>
        </w:rPr>
      </w:pPr>
      <w:r w:rsidRPr="00791818">
        <w:rPr>
          <w:lang w:val="lv-LV"/>
        </w:rPr>
        <w:t>Institūcija nevar publicēt publisko pakalpojumu iestāžu un tematiskajās vietnēs (t.sk. Latvija.gov.lv, business.gov.lv), ja pakalpojumam nav pieejama e-pakalpojuma lietotne vai e-forma (VDAA e-formu reģenerators), izņemot gadījumus, ja pakalpojums pēc būtības ir tikai klātienē pieprasāms un sniedzams;</w:t>
      </w:r>
    </w:p>
    <w:p w14:paraId="0509E739" w14:textId="06C367E2" w:rsidR="00791818" w:rsidRPr="00791818" w:rsidRDefault="00E079CE" w:rsidP="00791818">
      <w:pPr>
        <w:pStyle w:val="ListParagraph"/>
        <w:numPr>
          <w:ilvl w:val="0"/>
          <w:numId w:val="11"/>
        </w:numPr>
        <w:jc w:val="both"/>
        <w:rPr>
          <w:lang w:val="lv-LV"/>
        </w:rPr>
      </w:pPr>
      <w:r w:rsidRPr="00791818">
        <w:rPr>
          <w:lang w:val="lv-LV"/>
        </w:rPr>
        <w:t>Pakalpojumi, kuriem nav izveidota e-pakalpojumu lietotne, ir pieejami elektroniski, izmantojot e-formu pakalpojumu elektroniskai pieteikšanai un rezultātu saņemšanai (vienkāršotie e-pakalpojumi)</w:t>
      </w:r>
      <w:r w:rsidR="00791818" w:rsidRPr="00791818">
        <w:rPr>
          <w:lang w:val="lv-LV"/>
        </w:rPr>
        <w:t>. Vienkāršoto e-pakalpojumu ieviešanai izmantojiet Valsts datu apmaiņas aģentūras (VDAA) nodrošināto e-formu ģeneratoru, kas atvieglo risinājuma izstrādi un uzturēšanu.</w:t>
      </w:r>
    </w:p>
    <w:p w14:paraId="2621B146" w14:textId="2E4C3B8F" w:rsidR="00945E38" w:rsidRPr="00791818" w:rsidRDefault="00D77E65" w:rsidP="00791818">
      <w:pPr>
        <w:pStyle w:val="ListParagraph"/>
        <w:numPr>
          <w:ilvl w:val="0"/>
          <w:numId w:val="11"/>
        </w:numPr>
        <w:jc w:val="both"/>
        <w:rPr>
          <w:lang w:val="lv-LV"/>
        </w:rPr>
      </w:pPr>
      <w:r w:rsidRPr="00D77E65">
        <w:t>E-</w:t>
      </w:r>
      <w:proofErr w:type="spellStart"/>
      <w:r w:rsidRPr="00D77E65">
        <w:t>pakalpojumu</w:t>
      </w:r>
      <w:proofErr w:type="spellEnd"/>
      <w:r w:rsidRPr="00D77E65">
        <w:t xml:space="preserve"> </w:t>
      </w:r>
      <w:proofErr w:type="spellStart"/>
      <w:r w:rsidRPr="00D77E65">
        <w:t>lietotnes</w:t>
      </w:r>
      <w:proofErr w:type="spellEnd"/>
      <w:r w:rsidRPr="00D77E65">
        <w:t xml:space="preserve"> </w:t>
      </w:r>
      <w:proofErr w:type="spellStart"/>
      <w:r w:rsidRPr="00D77E65">
        <w:t>tiek</w:t>
      </w:r>
      <w:proofErr w:type="spellEnd"/>
      <w:r w:rsidRPr="00D77E65">
        <w:t xml:space="preserve"> </w:t>
      </w:r>
      <w:proofErr w:type="spellStart"/>
      <w:r w:rsidRPr="00D77E65">
        <w:t>izmantotas</w:t>
      </w:r>
      <w:proofErr w:type="spellEnd"/>
      <w:r w:rsidRPr="00D77E65">
        <w:t xml:space="preserve"> </w:t>
      </w:r>
      <w:proofErr w:type="spellStart"/>
      <w:r w:rsidRPr="00D77E65">
        <w:t>gadījumos</w:t>
      </w:r>
      <w:proofErr w:type="spellEnd"/>
      <w:r w:rsidRPr="00D77E65">
        <w:t xml:space="preserve">, </w:t>
      </w:r>
      <w:proofErr w:type="spellStart"/>
      <w:r w:rsidRPr="00D77E65">
        <w:t>kad</w:t>
      </w:r>
      <w:proofErr w:type="spellEnd"/>
      <w:r w:rsidRPr="00D77E65">
        <w:t xml:space="preserve"> </w:t>
      </w:r>
      <w:proofErr w:type="spellStart"/>
      <w:r w:rsidRPr="00D77E65">
        <w:t>paredzama</w:t>
      </w:r>
      <w:proofErr w:type="spellEnd"/>
      <w:r w:rsidRPr="00D77E65">
        <w:t xml:space="preserve"> </w:t>
      </w:r>
      <w:proofErr w:type="spellStart"/>
      <w:r w:rsidRPr="00D77E65">
        <w:t>plaša</w:t>
      </w:r>
      <w:proofErr w:type="spellEnd"/>
      <w:r w:rsidRPr="00D77E65">
        <w:t xml:space="preserve"> to </w:t>
      </w:r>
      <w:proofErr w:type="spellStart"/>
      <w:r w:rsidRPr="00D77E65">
        <w:t>izmantošana</w:t>
      </w:r>
      <w:proofErr w:type="spellEnd"/>
      <w:r w:rsidRPr="00D77E65">
        <w:t xml:space="preserve">, </w:t>
      </w:r>
      <w:proofErr w:type="spellStart"/>
      <w:r w:rsidRPr="00D77E65">
        <w:t>aptverot</w:t>
      </w:r>
      <w:proofErr w:type="spellEnd"/>
      <w:r w:rsidRPr="00D77E65">
        <w:t xml:space="preserve"> </w:t>
      </w:r>
      <w:proofErr w:type="spellStart"/>
      <w:r w:rsidRPr="00D77E65">
        <w:t>lielāko</w:t>
      </w:r>
      <w:proofErr w:type="spellEnd"/>
      <w:r w:rsidRPr="00D77E65">
        <w:t xml:space="preserve"> </w:t>
      </w:r>
      <w:proofErr w:type="spellStart"/>
      <w:r w:rsidRPr="00D77E65">
        <w:t>daļu</w:t>
      </w:r>
      <w:proofErr w:type="spellEnd"/>
      <w:r w:rsidRPr="00D77E65">
        <w:t xml:space="preserve"> </w:t>
      </w:r>
      <w:proofErr w:type="spellStart"/>
      <w:r w:rsidRPr="00D77E65">
        <w:t>iedzīvotāju</w:t>
      </w:r>
      <w:proofErr w:type="spellEnd"/>
      <w:r w:rsidRPr="00D77E65">
        <w:t xml:space="preserve"> un </w:t>
      </w:r>
      <w:proofErr w:type="spellStart"/>
      <w:r w:rsidRPr="00D77E65">
        <w:t>uzņēmumu</w:t>
      </w:r>
      <w:proofErr w:type="spellEnd"/>
      <w:r w:rsidRPr="00D77E65">
        <w:t xml:space="preserve">. </w:t>
      </w:r>
      <w:proofErr w:type="spellStart"/>
      <w:r w:rsidRPr="00D77E65">
        <w:t>Ieguldījumi</w:t>
      </w:r>
      <w:proofErr w:type="spellEnd"/>
      <w:r w:rsidRPr="00D77E65">
        <w:t xml:space="preserve"> </w:t>
      </w:r>
      <w:proofErr w:type="spellStart"/>
      <w:r w:rsidRPr="00D77E65">
        <w:t>šādu</w:t>
      </w:r>
      <w:proofErr w:type="spellEnd"/>
      <w:r w:rsidRPr="00D77E65">
        <w:t xml:space="preserve"> </w:t>
      </w:r>
      <w:proofErr w:type="spellStart"/>
      <w:r w:rsidRPr="00D77E65">
        <w:t>lietotņu</w:t>
      </w:r>
      <w:proofErr w:type="spellEnd"/>
      <w:r w:rsidRPr="00D77E65">
        <w:t xml:space="preserve"> </w:t>
      </w:r>
      <w:proofErr w:type="spellStart"/>
      <w:r w:rsidRPr="00D77E65">
        <w:t>izstrādē</w:t>
      </w:r>
      <w:proofErr w:type="spellEnd"/>
      <w:r w:rsidRPr="00D77E65">
        <w:t xml:space="preserve"> </w:t>
      </w:r>
      <w:proofErr w:type="spellStart"/>
      <w:r w:rsidRPr="00D77E65">
        <w:t>ir</w:t>
      </w:r>
      <w:proofErr w:type="spellEnd"/>
      <w:r w:rsidRPr="00D77E65">
        <w:t xml:space="preserve"> </w:t>
      </w:r>
      <w:proofErr w:type="spellStart"/>
      <w:r w:rsidRPr="00D77E65">
        <w:t>jāplāno</w:t>
      </w:r>
      <w:proofErr w:type="spellEnd"/>
      <w:r w:rsidRPr="00D77E65">
        <w:t xml:space="preserve"> </w:t>
      </w:r>
      <w:proofErr w:type="spellStart"/>
      <w:r w:rsidRPr="00D77E65">
        <w:t>samērīgi</w:t>
      </w:r>
      <w:proofErr w:type="spellEnd"/>
      <w:r w:rsidRPr="00D77E65">
        <w:t xml:space="preserve"> </w:t>
      </w:r>
      <w:proofErr w:type="spellStart"/>
      <w:r w:rsidRPr="00D77E65">
        <w:t>ar</w:t>
      </w:r>
      <w:proofErr w:type="spellEnd"/>
      <w:r w:rsidRPr="00D77E65">
        <w:t xml:space="preserve"> </w:t>
      </w:r>
      <w:proofErr w:type="spellStart"/>
      <w:r w:rsidRPr="00D77E65">
        <w:t>sagaidāmo</w:t>
      </w:r>
      <w:proofErr w:type="spellEnd"/>
      <w:r w:rsidRPr="00D77E65">
        <w:t xml:space="preserve"> </w:t>
      </w:r>
      <w:proofErr w:type="spellStart"/>
      <w:r w:rsidRPr="00D77E65">
        <w:t>lietošanas</w:t>
      </w:r>
      <w:proofErr w:type="spellEnd"/>
      <w:r w:rsidRPr="00D77E65">
        <w:t xml:space="preserve"> </w:t>
      </w:r>
      <w:proofErr w:type="spellStart"/>
      <w:r w:rsidRPr="00D77E65">
        <w:t>apjomu</w:t>
      </w:r>
      <w:proofErr w:type="spellEnd"/>
      <w:r w:rsidRPr="00D77E65">
        <w:t xml:space="preserve">, </w:t>
      </w:r>
      <w:proofErr w:type="spellStart"/>
      <w:r w:rsidRPr="00D77E65">
        <w:t>izvairoties</w:t>
      </w:r>
      <w:proofErr w:type="spellEnd"/>
      <w:r w:rsidRPr="00D77E65">
        <w:t xml:space="preserve"> no </w:t>
      </w:r>
      <w:proofErr w:type="spellStart"/>
      <w:r w:rsidRPr="00D77E65">
        <w:t>sarežģītu</w:t>
      </w:r>
      <w:proofErr w:type="spellEnd"/>
      <w:r w:rsidRPr="00D77E65">
        <w:t xml:space="preserve"> </w:t>
      </w:r>
      <w:proofErr w:type="spellStart"/>
      <w:r w:rsidRPr="00D77E65">
        <w:t>risinājumu</w:t>
      </w:r>
      <w:proofErr w:type="spellEnd"/>
      <w:r w:rsidRPr="00D77E65">
        <w:t xml:space="preserve"> </w:t>
      </w:r>
      <w:proofErr w:type="spellStart"/>
      <w:r w:rsidRPr="00D77E65">
        <w:t>izstrādes</w:t>
      </w:r>
      <w:proofErr w:type="spellEnd"/>
      <w:r w:rsidRPr="00D77E65">
        <w:t xml:space="preserve"> </w:t>
      </w:r>
      <w:proofErr w:type="spellStart"/>
      <w:r w:rsidRPr="00D77E65">
        <w:t>pakalpojumiem</w:t>
      </w:r>
      <w:proofErr w:type="spellEnd"/>
      <w:r w:rsidRPr="00D77E65">
        <w:t xml:space="preserve">, </w:t>
      </w:r>
      <w:proofErr w:type="spellStart"/>
      <w:r w:rsidRPr="00D77E65">
        <w:t>kuriem</w:t>
      </w:r>
      <w:proofErr w:type="spellEnd"/>
      <w:r w:rsidRPr="00D77E65">
        <w:t xml:space="preserve"> </w:t>
      </w:r>
      <w:proofErr w:type="spellStart"/>
      <w:r w:rsidRPr="00D77E65">
        <w:t>ir</w:t>
      </w:r>
      <w:proofErr w:type="spellEnd"/>
      <w:r w:rsidRPr="00D77E65">
        <w:t xml:space="preserve"> </w:t>
      </w:r>
      <w:proofErr w:type="spellStart"/>
      <w:r w:rsidRPr="00D77E65">
        <w:t>mazs</w:t>
      </w:r>
      <w:proofErr w:type="spellEnd"/>
      <w:r w:rsidRPr="00D77E65">
        <w:t xml:space="preserve"> </w:t>
      </w:r>
      <w:proofErr w:type="spellStart"/>
      <w:r w:rsidRPr="00D77E65">
        <w:t>lietotāju</w:t>
      </w:r>
      <w:proofErr w:type="spellEnd"/>
      <w:r w:rsidRPr="00D77E65">
        <w:t xml:space="preserve"> </w:t>
      </w:r>
      <w:proofErr w:type="spellStart"/>
      <w:r w:rsidRPr="00D77E65">
        <w:t>skaits</w:t>
      </w:r>
      <w:proofErr w:type="spellEnd"/>
      <w:r w:rsidRPr="00D77E65">
        <w:t>.</w:t>
      </w:r>
    </w:p>
    <w:p w14:paraId="037C7FAF" w14:textId="77777777" w:rsidR="00786003" w:rsidRDefault="00786003" w:rsidP="00786003">
      <w:pPr>
        <w:rPr>
          <w:lang w:val="lv-LV"/>
        </w:rPr>
      </w:pPr>
      <w:r w:rsidRPr="00C20AD0">
        <w:rPr>
          <w:lang w:val="lv-LV"/>
        </w:rPr>
        <w:lastRenderedPageBreak/>
        <w:t>Novērtēšanas vadlīnijas:</w:t>
      </w:r>
    </w:p>
    <w:p w14:paraId="553D9229" w14:textId="0114C27D" w:rsidR="003F75C0" w:rsidRPr="00F67CD8" w:rsidRDefault="00870468" w:rsidP="003F75C0">
      <w:pPr>
        <w:pStyle w:val="ListParagraph"/>
        <w:numPr>
          <w:ilvl w:val="0"/>
          <w:numId w:val="11"/>
        </w:numPr>
        <w:rPr>
          <w:lang w:val="lv-LV"/>
        </w:rPr>
      </w:pPr>
      <w:r>
        <w:rPr>
          <w:lang w:val="lv-LV"/>
        </w:rPr>
        <w:t>VPK3</w:t>
      </w:r>
      <w:r w:rsidR="007E698D">
        <w:rPr>
          <w:lang w:val="lv-LV"/>
        </w:rPr>
        <w:t>3</w:t>
      </w:r>
      <w:r>
        <w:rPr>
          <w:lang w:val="lv-LV"/>
        </w:rPr>
        <w:t xml:space="preserve">. </w:t>
      </w:r>
      <w:r w:rsidR="003F75C0" w:rsidRPr="00F67CD8">
        <w:rPr>
          <w:lang w:val="lv-LV"/>
        </w:rPr>
        <w:t xml:space="preserve">Vai visi jomas publiskie pakalpojumi, kuru piedāvājums un piegāde ir iespējama elektroniski, </w:t>
      </w:r>
      <w:proofErr w:type="spellStart"/>
      <w:r w:rsidR="007E5035" w:rsidRPr="00F67CD8">
        <w:rPr>
          <w:lang w:val="lv-LV"/>
        </w:rPr>
        <w:t>mērķarhitektūrā</w:t>
      </w:r>
      <w:proofErr w:type="spellEnd"/>
      <w:r w:rsidR="007E5035" w:rsidRPr="00F67CD8">
        <w:rPr>
          <w:lang w:val="lv-LV"/>
        </w:rPr>
        <w:t xml:space="preserve"> </w:t>
      </w:r>
      <w:r w:rsidR="003F75C0" w:rsidRPr="00F67CD8">
        <w:rPr>
          <w:lang w:val="lv-LV"/>
        </w:rPr>
        <w:t>ir pieejami digitāli?</w:t>
      </w:r>
    </w:p>
    <w:p w14:paraId="62E011E2" w14:textId="1475D9E7" w:rsidR="00024B16" w:rsidRPr="00F67CD8" w:rsidRDefault="00870468" w:rsidP="003F75C0">
      <w:pPr>
        <w:pStyle w:val="ListParagraph"/>
        <w:numPr>
          <w:ilvl w:val="0"/>
          <w:numId w:val="11"/>
        </w:numPr>
        <w:rPr>
          <w:lang w:val="lv-LV"/>
        </w:rPr>
      </w:pPr>
      <w:r>
        <w:rPr>
          <w:lang w:val="lv-LV"/>
        </w:rPr>
        <w:t>VPK3</w:t>
      </w:r>
      <w:r w:rsidR="007E698D">
        <w:rPr>
          <w:lang w:val="lv-LV"/>
        </w:rPr>
        <w:t>4</w:t>
      </w:r>
      <w:r>
        <w:rPr>
          <w:lang w:val="lv-LV"/>
        </w:rPr>
        <w:t xml:space="preserve">. </w:t>
      </w:r>
      <w:r w:rsidR="003F75C0" w:rsidRPr="00F67CD8">
        <w:rPr>
          <w:lang w:val="lv-LV"/>
        </w:rPr>
        <w:t xml:space="preserve">Vai </w:t>
      </w:r>
      <w:proofErr w:type="spellStart"/>
      <w:r w:rsidR="007E5035" w:rsidRPr="00F67CD8">
        <w:rPr>
          <w:lang w:val="lv-LV"/>
        </w:rPr>
        <w:t>mērķarhitektūrā</w:t>
      </w:r>
      <w:proofErr w:type="spellEnd"/>
      <w:r w:rsidR="007E5035" w:rsidRPr="00F67CD8">
        <w:rPr>
          <w:lang w:val="lv-LV"/>
        </w:rPr>
        <w:t xml:space="preserve"> </w:t>
      </w:r>
      <w:r w:rsidR="003F75C0" w:rsidRPr="00F67CD8">
        <w:rPr>
          <w:lang w:val="lv-LV"/>
        </w:rPr>
        <w:t>pakalpojumi ir pieejami caur latvija.gov.lv, business.gov.lv vai citām valsts pārvaldes vietnēm?</w:t>
      </w:r>
    </w:p>
    <w:p w14:paraId="098D0D8A" w14:textId="08353802" w:rsidR="0039427D" w:rsidRDefault="00870468" w:rsidP="001C4F27">
      <w:pPr>
        <w:pStyle w:val="ListParagraph"/>
        <w:numPr>
          <w:ilvl w:val="0"/>
          <w:numId w:val="11"/>
        </w:numPr>
        <w:rPr>
          <w:lang w:val="lv-LV"/>
        </w:rPr>
      </w:pPr>
      <w:r w:rsidRPr="0039427D">
        <w:rPr>
          <w:lang w:val="lv-LV"/>
        </w:rPr>
        <w:t>VPK3</w:t>
      </w:r>
      <w:r w:rsidR="007E698D">
        <w:rPr>
          <w:lang w:val="lv-LV"/>
        </w:rPr>
        <w:t>5</w:t>
      </w:r>
      <w:r w:rsidRPr="0039427D">
        <w:rPr>
          <w:lang w:val="lv-LV"/>
        </w:rPr>
        <w:t xml:space="preserve">. </w:t>
      </w:r>
      <w:r w:rsidR="0039427D" w:rsidRPr="0039427D">
        <w:rPr>
          <w:lang w:val="lv-LV"/>
        </w:rPr>
        <w:t xml:space="preserve">Vai vienkāršotajiem e-pakalpojumiem </w:t>
      </w:r>
      <w:proofErr w:type="spellStart"/>
      <w:r w:rsidR="0039427D" w:rsidRPr="0039427D">
        <w:rPr>
          <w:lang w:val="lv-LV"/>
        </w:rPr>
        <w:t>mērķarhitektūrā</w:t>
      </w:r>
      <w:proofErr w:type="spellEnd"/>
      <w:r w:rsidR="0039427D" w:rsidRPr="0039427D">
        <w:rPr>
          <w:lang w:val="lv-LV"/>
        </w:rPr>
        <w:t xml:space="preserve"> plānots izmantot VDAA e-formu ģenerators, lai nodrošinātu efektīvu ieviešanu un uzturēšanu?</w:t>
      </w:r>
    </w:p>
    <w:p w14:paraId="76B43F56" w14:textId="7CB24F78" w:rsidR="00786003" w:rsidRPr="0039427D" w:rsidRDefault="00870468" w:rsidP="001C4F27">
      <w:pPr>
        <w:pStyle w:val="ListParagraph"/>
        <w:numPr>
          <w:ilvl w:val="0"/>
          <w:numId w:val="11"/>
        </w:numPr>
        <w:rPr>
          <w:lang w:val="lv-LV"/>
        </w:rPr>
      </w:pPr>
      <w:r w:rsidRPr="0039427D">
        <w:rPr>
          <w:lang w:val="lv-LV"/>
        </w:rPr>
        <w:t>VPK3</w:t>
      </w:r>
      <w:r w:rsidR="007E698D">
        <w:rPr>
          <w:lang w:val="lv-LV"/>
        </w:rPr>
        <w:t>6</w:t>
      </w:r>
      <w:r w:rsidRPr="0039427D">
        <w:rPr>
          <w:lang w:val="lv-LV"/>
        </w:rPr>
        <w:t xml:space="preserve">. </w:t>
      </w:r>
      <w:r w:rsidR="00574A62" w:rsidRPr="00574A62">
        <w:rPr>
          <w:lang w:val="lv-LV"/>
        </w:rPr>
        <w:t xml:space="preserve">Vai </w:t>
      </w:r>
      <w:proofErr w:type="spellStart"/>
      <w:r w:rsidR="00574A62" w:rsidRPr="00574A62">
        <w:rPr>
          <w:lang w:val="lv-LV"/>
        </w:rPr>
        <w:t>mērķarhitektūrā</w:t>
      </w:r>
      <w:proofErr w:type="spellEnd"/>
      <w:r w:rsidR="00574A62" w:rsidRPr="00574A62">
        <w:rPr>
          <w:lang w:val="lv-LV"/>
        </w:rPr>
        <w:t xml:space="preserve"> e-pakalpojumu lietotnes tiek plānotas tikai gadījumos, kad paredzama plaša to izmantošana, aptverot lielāko daļu iedzīvotāju un uzņēmumu?</w:t>
      </w:r>
    </w:p>
    <w:p w14:paraId="6F2CAE73" w14:textId="4C74A853" w:rsidR="005C70A7" w:rsidRPr="004929EC" w:rsidRDefault="002204BB" w:rsidP="00E43D18">
      <w:pPr>
        <w:pStyle w:val="Heading2"/>
        <w:rPr>
          <w:rStyle w:val="Heading4Char"/>
          <w:i w:val="0"/>
          <w:iCs w:val="0"/>
          <w:lang w:val="lv-LV"/>
        </w:rPr>
      </w:pPr>
      <w:r w:rsidRPr="00E2406D">
        <w:rPr>
          <w:rFonts w:ascii="Times New Roman" w:hAnsi="Times New Roman" w:cs="Times New Roman"/>
          <w:noProof/>
          <w:sz w:val="22"/>
          <w:szCs w:val="22"/>
          <w:lang w:val="lv-LV"/>
        </w:rPr>
        <w:drawing>
          <wp:anchor distT="0" distB="0" distL="114300" distR="114300" simplePos="0" relativeHeight="251658267" behindDoc="0" locked="0" layoutInCell="1" allowOverlap="1" wp14:anchorId="7FA097DB" wp14:editId="62A7E4A6">
            <wp:simplePos x="0" y="0"/>
            <wp:positionH relativeFrom="margin">
              <wp:posOffset>88900</wp:posOffset>
            </wp:positionH>
            <wp:positionV relativeFrom="paragraph">
              <wp:posOffset>673100</wp:posOffset>
            </wp:positionV>
            <wp:extent cx="427990" cy="427990"/>
            <wp:effectExtent l="0" t="0" r="0" b="0"/>
            <wp:wrapSquare wrapText="bothSides"/>
            <wp:docPr id="1274645747"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Pr="00E2406D">
        <w:rPr>
          <w:noProof/>
          <w:lang w:val="lv-LV"/>
        </w:rPr>
        <mc:AlternateContent>
          <mc:Choice Requires="wps">
            <w:drawing>
              <wp:anchor distT="0" distB="0" distL="114300" distR="114300" simplePos="0" relativeHeight="251658266" behindDoc="0" locked="0" layoutInCell="1" allowOverlap="1" wp14:anchorId="7638B9AE" wp14:editId="7455AF2E">
                <wp:simplePos x="0" y="0"/>
                <wp:positionH relativeFrom="column">
                  <wp:posOffset>0</wp:posOffset>
                </wp:positionH>
                <wp:positionV relativeFrom="paragraph">
                  <wp:posOffset>583565</wp:posOffset>
                </wp:positionV>
                <wp:extent cx="1828800" cy="1828800"/>
                <wp:effectExtent l="0" t="0" r="8890" b="10795"/>
                <wp:wrapTopAndBottom/>
                <wp:docPr id="71299836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3B21077" w14:textId="57DD18F5" w:rsidR="005C70A7" w:rsidRPr="00760727" w:rsidRDefault="00C46321" w:rsidP="005C70A7">
                            <w:pPr>
                              <w:ind w:left="851"/>
                              <w:jc w:val="both"/>
                              <w:rPr>
                                <w:lang w:val="lv-LV"/>
                              </w:rPr>
                            </w:pPr>
                            <w:r w:rsidRPr="00760727">
                              <w:rPr>
                                <w:lang w:val="lv-LV"/>
                              </w:rPr>
                              <w:t>Atsevišķi centralizēti pakalpojumu informācijas portāli iedzīvotājiem un uzņēmējiem ar definētu lietotāja darba vietu, kas sniedz informāciju par pakalpojumiem un nodrošina to ērtu meklēšanu.</w:t>
                            </w:r>
                          </w:p>
                          <w:p w14:paraId="36DFD04C" w14:textId="0E57156E" w:rsidR="00760727" w:rsidRPr="00760727" w:rsidRDefault="00760727" w:rsidP="005C70A7">
                            <w:pPr>
                              <w:ind w:left="851"/>
                              <w:jc w:val="both"/>
                              <w:rPr>
                                <w:lang w:val="lv-LV"/>
                              </w:rPr>
                            </w:pPr>
                            <w:r w:rsidRPr="00760727">
                              <w:rPr>
                                <w:lang w:val="lv-LV"/>
                              </w:rPr>
                              <w:t>Dažādu e-pakalpojumu piegādes platformu izmantošana un attīstība atbilstoši vienotām tehniskām prasībām.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21319E7A">
              <v:shape id="_x0000_s1036" style="position:absolute;margin-left:0;margin-top:45.95pt;width:2in;height:2in;z-index:251658266;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vYWQIAAA0FAAAOAAAAZHJzL2Uyb0RvYy54bWysVE2P2jAQvVfqf7B8LwFKW4oIK8qKqhLa&#10;XZWt9mwcG6I6HsseSOiv79iBQLecql6csWfefL7J9K6pDDsoH0qwOR/0+pwpK6Eo7TbnP56X78ac&#10;BRS2EAasyvlRBX43e/tmWruJGsIOTKE8Iyc2TGqX8x2im2RZkDtVidADpywpNfhKIF39Niu8qMl7&#10;ZbJhv/8xq8EXzoNUIdDrfavks+RfayXxUeugkJmcU26YTp/OTTyz2VRMtl64XSlPaYh/yKISpaWg&#10;nat7gYLtffmXq6qUHgJo7EmoMtC6lCrVQNUM+q+qWe+EU6kWak5wXZvC/3MrHw5r9+QZNl+goQHG&#10;htQuTAI9xnoa7av4pUwZ6amFx65tqkEmI2g8HI/7pJKkO1/IT3aBOx/wq4KKRSHnnuaS2iUOq4Ct&#10;6dkkRjM2vl3ySBIejWqV35VmZUGRh8lJIotaGM8OgsYspFQW38dKKANjyTrCdGlMBxzcAhpM5RPo&#10;ZBthKpGoA/ZvAf+M2CFSVLDYgavSgr/loPjZRW7tz9W3Ncfysdk0VDQ1OJE2Pm2gONLoPLSsDk4u&#10;S2rvSgR8Ep5oTCOh1cRHOrSBOudwkjjbgf916z3aE7tIy1lNa5FzS3vLmflmiXWfB6NR3KJ0GX34&#10;NKSLv9ZsrjV2Xy2ABjKgX4CTSYz2aM6i9lC90P7OY0xSCSspcs7xLC6wXVXaf6nm82REe+MEruza&#10;yeg6NjlS57l5Ed6d+IVEzQc4r4+YvKJZaxuRwc33CMsycfDS01P7aecSh07/h7jU1/dkdfmLzX4D&#10;AAD//wMAUEsDBBQABgAIAAAAIQBjLvGr2wAAAAcBAAAPAAAAZHJzL2Rvd25yZXYueG1sTI9NT8Mw&#10;DIbvSPyHyEi7sXQrgqY0nQbSxpkxcc4a94M1TtVkW8evx5zgaL+vHj8uVpPrxRnH0HnSsJgnIJAq&#10;bztqNOw/NvcZiBANWdN7Qg1XDLAqb28Kk1t/oXc872IjGEIhNxraGIdcylC16EyY+wGJs9qPzkQe&#10;x0ba0VwY7nq5TJJH6UxHfKE1A762WB13J6ch/XxLazvV3fYhScMLrvfq++uo9exuWj+DiDjFvzL8&#10;6rM6lOx08CeyQfQa+JGoQS0UCE6XWcaLA6OflAJZFvK/f/kDAAD//wMAUEsBAi0AFAAGAAgAAAAh&#10;ALaDOJL+AAAA4QEAABMAAAAAAAAAAAAAAAAAAAAAAFtDb250ZW50X1R5cGVzXS54bWxQSwECLQAU&#10;AAYACAAAACEAOP0h/9YAAACUAQAACwAAAAAAAAAAAAAAAAAvAQAAX3JlbHMvLnJlbHNQSwECLQAU&#10;AAYACAAAACEAdImL2FkCAAANBQAADgAAAAAAAAAAAAAAAAAuAgAAZHJzL2Uyb0RvYy54bWxQSwEC&#10;LQAUAAYACAAAACEAYy7xq9sAAAAHAQAADwAAAAAAAAAAAAAAAACzBAAAZHJzL2Rvd25yZXYueG1s&#10;UEsFBgAAAAAEAAQA8wAAALsFAAAAAA==&#10;" w14:anchorId="7638B9AE">
                <v:textbox style="mso-fit-shape-to-text:t">
                  <w:txbxContent>
                    <w:p w:rsidRPr="00760727" w:rsidR="005C70A7" w:rsidP="005C70A7" w:rsidRDefault="00C46321" w14:paraId="5F1C5A4F" w14:textId="57DD18F5">
                      <w:pPr>
                        <w:ind w:left="851"/>
                        <w:jc w:val="both"/>
                        <w:rPr>
                          <w:lang w:val="lv-LV"/>
                        </w:rPr>
                      </w:pPr>
                      <w:r w:rsidRPr="00760727">
                        <w:rPr>
                          <w:lang w:val="lv-LV"/>
                        </w:rPr>
                        <w:t>Atsevišķi centralizēti pakalpojumu informācijas portāli iedzīvotājiem un uzņēmējiem ar definētu lietotāja darba vietu, kas sniedz informāciju par pakalpojumiem un nodrošina to ērtu meklēšanu.</w:t>
                      </w:r>
                    </w:p>
                    <w:p w:rsidRPr="00760727" w:rsidR="00760727" w:rsidP="005C70A7" w:rsidRDefault="00760727" w14:paraId="0A09E565" w14:textId="0E57156E">
                      <w:pPr>
                        <w:ind w:left="851"/>
                        <w:jc w:val="both"/>
                        <w:rPr>
                          <w:lang w:val="lv-LV"/>
                        </w:rPr>
                      </w:pPr>
                      <w:r w:rsidRPr="00760727">
                        <w:rPr>
                          <w:lang w:val="lv-LV"/>
                        </w:rPr>
                        <w:t>Dažādu e-pakalpojumu piegādes platformu izmantošana un attīstība atbilstoši vienotām tehniskām prasībām.</w:t>
                      </w:r>
                    </w:p>
                  </w:txbxContent>
                </v:textbox>
                <w10:wrap type="topAndBottom"/>
              </v:shape>
            </w:pict>
          </mc:Fallback>
        </mc:AlternateContent>
      </w:r>
      <w:r w:rsidR="005C70A7">
        <w:rPr>
          <w:lang w:val="lv-LV"/>
        </w:rPr>
        <w:t>P</w:t>
      </w:r>
      <w:r w:rsidR="00E43D18">
        <w:rPr>
          <w:lang w:val="lv-LV"/>
        </w:rPr>
        <w:t>11</w:t>
      </w:r>
      <w:r w:rsidR="005C70A7">
        <w:rPr>
          <w:lang w:val="lv-LV"/>
        </w:rPr>
        <w:t xml:space="preserve">. </w:t>
      </w:r>
      <w:r w:rsidR="00760727">
        <w:rPr>
          <w:lang w:val="lv-LV"/>
        </w:rPr>
        <w:t>Centralizēta pakalpojumu meklēšana</w:t>
      </w:r>
      <w:r w:rsidR="00C46321">
        <w:rPr>
          <w:lang w:val="lv-LV"/>
        </w:rPr>
        <w:t>, decentralizēta</w:t>
      </w:r>
      <w:r>
        <w:rPr>
          <w:lang w:val="lv-LV"/>
        </w:rPr>
        <w:t xml:space="preserve"> piedāvāšana un</w:t>
      </w:r>
      <w:r w:rsidR="00C46321">
        <w:rPr>
          <w:lang w:val="lv-LV"/>
        </w:rPr>
        <w:t xml:space="preserve"> izvietošana</w:t>
      </w:r>
    </w:p>
    <w:p w14:paraId="637C16FB" w14:textId="77777777" w:rsidR="00F67CD8" w:rsidRDefault="00F67CD8" w:rsidP="00F67CD8">
      <w:pPr>
        <w:rPr>
          <w:lang w:val="lv-LV"/>
        </w:rPr>
      </w:pPr>
    </w:p>
    <w:p w14:paraId="665AEDB6" w14:textId="330F0D40" w:rsidR="00F67CD8" w:rsidRPr="00AE17B5" w:rsidRDefault="1384C479" w:rsidP="00F67CD8">
      <w:pPr>
        <w:rPr>
          <w:lang w:val="lv-LV"/>
        </w:rPr>
      </w:pPr>
      <w:commentRangeStart w:id="22"/>
      <w:r w:rsidRPr="3D3736F2">
        <w:rPr>
          <w:lang w:val="lv-LV"/>
        </w:rPr>
        <w:t>Piemērošanas vadlīnijas:</w:t>
      </w:r>
      <w:commentRangeEnd w:id="22"/>
      <w:r w:rsidR="00F67CD8">
        <w:rPr>
          <w:rStyle w:val="CommentReference"/>
        </w:rPr>
        <w:commentReference w:id="22"/>
      </w:r>
    </w:p>
    <w:p w14:paraId="55B4EF77" w14:textId="6C984DC7" w:rsidR="00F67CD8" w:rsidRPr="004571A3" w:rsidRDefault="00D73806" w:rsidP="00F67CD8">
      <w:pPr>
        <w:pStyle w:val="ListParagraph"/>
        <w:numPr>
          <w:ilvl w:val="0"/>
          <w:numId w:val="11"/>
        </w:numPr>
        <w:jc w:val="both"/>
        <w:rPr>
          <w:lang w:val="lv-LV"/>
        </w:rPr>
      </w:pPr>
      <w:r w:rsidRPr="004571A3">
        <w:rPr>
          <w:lang w:val="lv-LV"/>
        </w:rPr>
        <w:t>Nodrošiniet, ka vienots centralizēts pakalpojumu reģistrs ir pamats vienotai pakalpojumu sniegšanai un primārais informācijas avots par publiskajiem pakalpojumiem</w:t>
      </w:r>
      <w:r w:rsidR="006F25D2" w:rsidRPr="004571A3">
        <w:rPr>
          <w:lang w:val="lv-LV"/>
        </w:rPr>
        <w:t>:</w:t>
      </w:r>
    </w:p>
    <w:p w14:paraId="313BC802" w14:textId="77777777" w:rsidR="006F25D2" w:rsidRPr="004571A3" w:rsidRDefault="006F25D2" w:rsidP="006F25D2">
      <w:pPr>
        <w:pStyle w:val="ListParagraph"/>
        <w:numPr>
          <w:ilvl w:val="1"/>
          <w:numId w:val="11"/>
        </w:numPr>
        <w:spacing w:line="247" w:lineRule="auto"/>
        <w:jc w:val="both"/>
        <w:rPr>
          <w:lang w:val="lv-LV"/>
        </w:rPr>
      </w:pPr>
      <w:r w:rsidRPr="004571A3">
        <w:rPr>
          <w:lang w:val="lv-LV"/>
        </w:rPr>
        <w:t>Valsts vienotais reģistrs ir valstī centralizēts, koplietošanas reģistrs, kas ir primārais (galvenais) informācijas avots saistībā ar tajā reģistrētajiem objektiem (tostarp visi pakalpojumu katalogu publicētāji informāciju par pakalpojumiem – pakalpojumu aprakstus, iegūst no Valsts vienotā reģistra);</w:t>
      </w:r>
    </w:p>
    <w:p w14:paraId="5D74CA12" w14:textId="77777777" w:rsidR="006F25D2" w:rsidRPr="004571A3" w:rsidRDefault="006F25D2" w:rsidP="006F25D2">
      <w:pPr>
        <w:pStyle w:val="ListParagraph"/>
        <w:numPr>
          <w:ilvl w:val="1"/>
          <w:numId w:val="11"/>
        </w:numPr>
        <w:spacing w:line="247" w:lineRule="auto"/>
        <w:jc w:val="both"/>
        <w:rPr>
          <w:lang w:val="lv-LV"/>
        </w:rPr>
      </w:pPr>
      <w:r w:rsidRPr="004571A3">
        <w:rPr>
          <w:rFonts w:eastAsia="Times New Roman" w:cs="Times New Roman"/>
          <w:lang w:val="lv-LV"/>
        </w:rPr>
        <w:t>Iestāžu un tematiskajās vietnēs informācija par pieejamajiem publiskajiem pakalpojumiem tiek publicēta kā pakalpojumu piedāvājumi, kas var atšķirties no Pakalpojumu reģistra pakalpojumiem (piemēram, līdzīgi pakalpojumi var tikt grupēti kā viens pakalpojumu piedāvājums), taču pakalpojumu piedāvājumi veidojas un kartējas ar Pakalpojumu reģistra pakalpojumiem;</w:t>
      </w:r>
    </w:p>
    <w:p w14:paraId="6478EA1B" w14:textId="372693DD" w:rsidR="006F25D2" w:rsidRPr="004571A3" w:rsidRDefault="006F25D2" w:rsidP="006F25D2">
      <w:pPr>
        <w:pStyle w:val="ListParagraph"/>
        <w:numPr>
          <w:ilvl w:val="1"/>
          <w:numId w:val="11"/>
        </w:numPr>
        <w:spacing w:line="247" w:lineRule="auto"/>
        <w:jc w:val="both"/>
        <w:rPr>
          <w:lang w:val="lv-LV"/>
        </w:rPr>
      </w:pPr>
      <w:r w:rsidRPr="004571A3">
        <w:rPr>
          <w:lang w:val="lv-LV"/>
        </w:rPr>
        <w:t>Vienoto reģistru nodrošina VIRSIS</w:t>
      </w:r>
      <w:r w:rsidR="00097898" w:rsidRPr="004571A3">
        <w:rPr>
          <w:lang w:val="lv-LV"/>
        </w:rPr>
        <w:t xml:space="preserve"> (nodrošina VDAA). </w:t>
      </w:r>
    </w:p>
    <w:p w14:paraId="3D8B2E69" w14:textId="747678C6" w:rsidR="000D3EDC" w:rsidRPr="004571A3" w:rsidRDefault="000D3EDC" w:rsidP="000D3EDC">
      <w:pPr>
        <w:pStyle w:val="ListParagraph"/>
        <w:numPr>
          <w:ilvl w:val="0"/>
          <w:numId w:val="11"/>
        </w:numPr>
        <w:rPr>
          <w:lang w:val="lv-LV"/>
        </w:rPr>
      </w:pPr>
      <w:r w:rsidRPr="004571A3">
        <w:rPr>
          <w:lang w:val="lv-LV"/>
        </w:rPr>
        <w:lastRenderedPageBreak/>
        <w:t xml:space="preserve">Nodrošiniet, ka pakalpojumi tiek piedāvāti pakalpojumu katalogos </w:t>
      </w:r>
      <w:r w:rsidR="00E43E9B" w:rsidRPr="004571A3">
        <w:rPr>
          <w:lang w:val="lv-LV"/>
        </w:rPr>
        <w:t>(i</w:t>
      </w:r>
      <w:r w:rsidRPr="004571A3">
        <w:rPr>
          <w:lang w:val="lv-LV"/>
        </w:rPr>
        <w:t xml:space="preserve">edzīvotājiem – Latvija.gov.lv; </w:t>
      </w:r>
      <w:r w:rsidR="00E43E9B" w:rsidRPr="004571A3">
        <w:rPr>
          <w:lang w:val="lv-LV"/>
        </w:rPr>
        <w:t>u</w:t>
      </w:r>
      <w:r w:rsidRPr="004571A3">
        <w:rPr>
          <w:lang w:val="lv-LV"/>
        </w:rPr>
        <w:t xml:space="preserve">zņēmējiem – business.gov.lv; </w:t>
      </w:r>
      <w:r w:rsidR="00E43E9B" w:rsidRPr="004571A3">
        <w:rPr>
          <w:lang w:val="lv-LV"/>
        </w:rPr>
        <w:t>i</w:t>
      </w:r>
      <w:r w:rsidRPr="004571A3">
        <w:rPr>
          <w:lang w:val="lv-LV"/>
        </w:rPr>
        <w:t>estādēm - virsis.gov.lv):</w:t>
      </w:r>
    </w:p>
    <w:p w14:paraId="1F803B21" w14:textId="77777777" w:rsidR="000D3EDC" w:rsidRPr="000D3EDC" w:rsidRDefault="000D3EDC" w:rsidP="000D3EDC">
      <w:pPr>
        <w:pStyle w:val="ListParagraph"/>
        <w:numPr>
          <w:ilvl w:val="1"/>
          <w:numId w:val="11"/>
        </w:numPr>
        <w:rPr>
          <w:lang w:val="lv-LV"/>
        </w:rPr>
      </w:pPr>
      <w:r w:rsidRPr="000D3EDC">
        <w:rPr>
          <w:lang w:val="lv-LV"/>
        </w:rPr>
        <w:t>Pakalpojumu katalogs var tikt izvietots iestāžu tīmekļvietnēs, gan arī iestāžu pašapkalpošanās tīmekļvietnēs, kā arī mobilajās lietotnēs, sociālo tīklu kontus u.c..</w:t>
      </w:r>
    </w:p>
    <w:p w14:paraId="15691152" w14:textId="77777777" w:rsidR="000D3EDC" w:rsidRPr="000D3EDC" w:rsidRDefault="000D3EDC" w:rsidP="000D3EDC">
      <w:pPr>
        <w:pStyle w:val="ListParagraph"/>
        <w:numPr>
          <w:ilvl w:val="1"/>
          <w:numId w:val="11"/>
        </w:numPr>
        <w:rPr>
          <w:lang w:val="lv-LV"/>
        </w:rPr>
      </w:pPr>
      <w:r w:rsidRPr="000D3EDC">
        <w:rPr>
          <w:lang w:val="lv-LV"/>
        </w:rPr>
        <w:t>Tāpat to var izvietot arī privātā sektora pārvaldītos resursos un sociālos tīklos.</w:t>
      </w:r>
    </w:p>
    <w:p w14:paraId="78034A06" w14:textId="4C19694D" w:rsidR="006F25D2" w:rsidRPr="004571A3" w:rsidRDefault="007236EE" w:rsidP="006F25D2">
      <w:pPr>
        <w:pStyle w:val="ListParagraph"/>
        <w:numPr>
          <w:ilvl w:val="0"/>
          <w:numId w:val="11"/>
        </w:numPr>
        <w:jc w:val="both"/>
        <w:rPr>
          <w:lang w:val="lv-LV"/>
        </w:rPr>
      </w:pPr>
      <w:r w:rsidRPr="004571A3">
        <w:rPr>
          <w:lang w:val="lv-LV"/>
        </w:rPr>
        <w:t>Paredziet dažādu e-pakalpojumu piegādes platformu izmantošanu un attīstību atbilstoši vienotām tehniskām prasībām:</w:t>
      </w:r>
    </w:p>
    <w:p w14:paraId="51A0FE63" w14:textId="77777777" w:rsidR="008F4E63" w:rsidRPr="004571A3" w:rsidRDefault="008F4E63" w:rsidP="008F4E63">
      <w:pPr>
        <w:pStyle w:val="ListParagraph"/>
        <w:numPr>
          <w:ilvl w:val="1"/>
          <w:numId w:val="11"/>
        </w:numPr>
        <w:jc w:val="both"/>
        <w:rPr>
          <w:lang w:val="lv-LV"/>
        </w:rPr>
      </w:pPr>
      <w:r w:rsidRPr="004571A3">
        <w:rPr>
          <w:lang w:val="lv-LV"/>
        </w:rPr>
        <w:t>E-pakalpojumu piegāde tiek nodrošināta gan caur centralizēto platformu latvija.gov.lv, gan caur atsevišķu iestāžu veidotām e-pakalpojumu piegādes platformām un informācijas sistēmām, piemēram, VID EDS, Uzņēmumu reģistrs (UR), business.gov.lv un LAD platformu.</w:t>
      </w:r>
    </w:p>
    <w:p w14:paraId="284BF0B6" w14:textId="77777777" w:rsidR="008F4E63" w:rsidRPr="004571A3" w:rsidRDefault="008F4E63" w:rsidP="008F4E63">
      <w:pPr>
        <w:pStyle w:val="ListParagraph"/>
        <w:numPr>
          <w:ilvl w:val="1"/>
          <w:numId w:val="11"/>
        </w:numPr>
        <w:jc w:val="both"/>
        <w:rPr>
          <w:lang w:val="lv-LV"/>
        </w:rPr>
      </w:pPr>
      <w:r w:rsidRPr="004571A3">
        <w:rPr>
          <w:lang w:val="lv-LV"/>
        </w:rPr>
        <w:t>Visas platformas tiek veidotas atbilstoši vienotām tehniskām prasībām, nodrošinot to savietojamību ar pakalpojumu informācijas portāliem, kā arī savstarpēju integrāciju, lai veicinātu vienotu un efektīvu piegādes sistēmu.</w:t>
      </w:r>
    </w:p>
    <w:p w14:paraId="6E853EF4" w14:textId="33324598" w:rsidR="007236EE" w:rsidRPr="004571A3" w:rsidRDefault="008F4E63" w:rsidP="00213689">
      <w:pPr>
        <w:pStyle w:val="ListParagraph"/>
        <w:numPr>
          <w:ilvl w:val="1"/>
          <w:numId w:val="11"/>
        </w:numPr>
        <w:jc w:val="both"/>
        <w:rPr>
          <w:lang w:val="lv-LV"/>
        </w:rPr>
      </w:pPr>
      <w:r w:rsidRPr="004571A3">
        <w:rPr>
          <w:lang w:val="lv-LV"/>
        </w:rPr>
        <w:t>Iestādes izvēlas piemērotāko e-pakalpojumu piegādes platformu, ņemot vērā</w:t>
      </w:r>
      <w:r w:rsidR="00213689" w:rsidRPr="004571A3">
        <w:rPr>
          <w:lang w:val="lv-LV"/>
        </w:rPr>
        <w:t xml:space="preserve"> p</w:t>
      </w:r>
      <w:r w:rsidRPr="004571A3">
        <w:rPr>
          <w:lang w:val="lv-LV"/>
        </w:rPr>
        <w:t>akalpojumu sarežģītību un sasaisti ar iestādes pamatdarbības sistēmām</w:t>
      </w:r>
      <w:r w:rsidR="00213689" w:rsidRPr="004571A3">
        <w:rPr>
          <w:lang w:val="lv-LV"/>
        </w:rPr>
        <w:t xml:space="preserve"> un p</w:t>
      </w:r>
      <w:r w:rsidRPr="004571A3">
        <w:rPr>
          <w:lang w:val="lv-LV"/>
        </w:rPr>
        <w:t>akalpojumu apjomu un sagaidāmo lietotāju gadījumu skaitu.</w:t>
      </w:r>
    </w:p>
    <w:p w14:paraId="384261BC" w14:textId="74CFC328" w:rsidR="002D34E5" w:rsidRPr="004571A3" w:rsidRDefault="002D34E5" w:rsidP="002D34E5">
      <w:pPr>
        <w:pStyle w:val="ListParagraph"/>
        <w:numPr>
          <w:ilvl w:val="0"/>
          <w:numId w:val="11"/>
        </w:numPr>
        <w:rPr>
          <w:lang w:val="lv-LV"/>
        </w:rPr>
      </w:pPr>
      <w:r w:rsidRPr="004571A3">
        <w:rPr>
          <w:lang w:val="lv-LV"/>
        </w:rPr>
        <w:t xml:space="preserve">Nodrošiniet vienotās pieteikšanās izmantošana (SSO), </w:t>
      </w:r>
      <w:r w:rsidR="00F61E80" w:rsidRPr="004571A3">
        <w:rPr>
          <w:lang w:val="lv-LV"/>
        </w:rPr>
        <w:t>piekļuvei</w:t>
      </w:r>
      <w:r w:rsidRPr="004571A3">
        <w:rPr>
          <w:lang w:val="lv-LV"/>
        </w:rPr>
        <w:t xml:space="preserve"> e-pakalpojumu piegādes platformām bez atkārtotas pieteikšanās</w:t>
      </w:r>
    </w:p>
    <w:p w14:paraId="65AC357F" w14:textId="77777777" w:rsidR="002D34E5" w:rsidRPr="002D34E5" w:rsidRDefault="002D34E5" w:rsidP="00F61E80">
      <w:pPr>
        <w:pStyle w:val="ListParagraph"/>
        <w:numPr>
          <w:ilvl w:val="1"/>
          <w:numId w:val="11"/>
        </w:numPr>
        <w:rPr>
          <w:lang w:val="lv-LV"/>
        </w:rPr>
      </w:pPr>
      <w:r w:rsidRPr="002D34E5">
        <w:rPr>
          <w:lang w:val="lv-LV"/>
        </w:rPr>
        <w:t>Iespēja bez atkārtotas pieteikšanās pārslēgties starp valsts pārvaldes e-pakalpojumu piegādes platformām/ risinājumiem (</w:t>
      </w:r>
      <w:proofErr w:type="spellStart"/>
      <w:r w:rsidRPr="002D34E5">
        <w:rPr>
          <w:i/>
          <w:lang w:val="lv-LV"/>
        </w:rPr>
        <w:t>Single</w:t>
      </w:r>
      <w:proofErr w:type="spellEnd"/>
      <w:r w:rsidRPr="002D34E5">
        <w:rPr>
          <w:i/>
          <w:lang w:val="lv-LV"/>
        </w:rPr>
        <w:t xml:space="preserve"> </w:t>
      </w:r>
      <w:proofErr w:type="spellStart"/>
      <w:r w:rsidRPr="002D34E5">
        <w:rPr>
          <w:i/>
          <w:lang w:val="lv-LV"/>
        </w:rPr>
        <w:t>Sign</w:t>
      </w:r>
      <w:proofErr w:type="spellEnd"/>
      <w:r w:rsidRPr="002D34E5">
        <w:rPr>
          <w:i/>
          <w:lang w:val="lv-LV"/>
        </w:rPr>
        <w:t xml:space="preserve"> </w:t>
      </w:r>
      <w:proofErr w:type="spellStart"/>
      <w:r w:rsidRPr="002D34E5">
        <w:rPr>
          <w:i/>
          <w:lang w:val="lv-LV"/>
        </w:rPr>
        <w:t>On</w:t>
      </w:r>
      <w:proofErr w:type="spellEnd"/>
      <w:r w:rsidRPr="002D34E5">
        <w:rPr>
          <w:i/>
          <w:lang w:val="lv-LV"/>
        </w:rPr>
        <w:t xml:space="preserve"> – SSO</w:t>
      </w:r>
      <w:r w:rsidRPr="002D34E5">
        <w:rPr>
          <w:lang w:val="lv-LV"/>
        </w:rPr>
        <w:t>), izmantojot centralizēti izsniegtu sesijas talonu;</w:t>
      </w:r>
    </w:p>
    <w:p w14:paraId="1A8D3EED" w14:textId="77777777" w:rsidR="002D34E5" w:rsidRPr="002D34E5" w:rsidRDefault="002D34E5" w:rsidP="00F61E80">
      <w:pPr>
        <w:pStyle w:val="ListParagraph"/>
        <w:numPr>
          <w:ilvl w:val="1"/>
          <w:numId w:val="11"/>
        </w:numPr>
        <w:rPr>
          <w:lang w:val="lv-LV"/>
        </w:rPr>
      </w:pPr>
      <w:r w:rsidRPr="002D34E5">
        <w:rPr>
          <w:lang w:val="lv-LV"/>
        </w:rPr>
        <w:t>Iespēja sesijas parametros noteikt arī lietotāja lomu (fiziska persona vai konkrētas juridiskas personas pārstāvis);</w:t>
      </w:r>
    </w:p>
    <w:p w14:paraId="37B3D241" w14:textId="77777777" w:rsidR="002D34E5" w:rsidRPr="002D34E5" w:rsidRDefault="002D34E5" w:rsidP="00F61E80">
      <w:pPr>
        <w:pStyle w:val="ListParagraph"/>
        <w:numPr>
          <w:ilvl w:val="1"/>
          <w:numId w:val="11"/>
        </w:numPr>
        <w:rPr>
          <w:lang w:val="lv-LV"/>
        </w:rPr>
      </w:pPr>
      <w:r w:rsidRPr="002D34E5">
        <w:rPr>
          <w:lang w:val="lv-LV"/>
        </w:rPr>
        <w:t>Tas tiek nodrošināts izmantojot esošo VDAA VPM moduli;</w:t>
      </w:r>
    </w:p>
    <w:p w14:paraId="0895DE62" w14:textId="77777777" w:rsidR="002D34E5" w:rsidRPr="002D34E5" w:rsidRDefault="002D34E5" w:rsidP="00F61E80">
      <w:pPr>
        <w:pStyle w:val="ListParagraph"/>
        <w:numPr>
          <w:ilvl w:val="1"/>
          <w:numId w:val="11"/>
        </w:numPr>
        <w:rPr>
          <w:lang w:val="lv-LV"/>
        </w:rPr>
      </w:pPr>
      <w:r w:rsidRPr="002D34E5">
        <w:rPr>
          <w:lang w:val="lv-LV"/>
        </w:rPr>
        <w:t xml:space="preserve">Lietotājam pašapkalpošanās tīmekļvietnē ir pieejama vienota rīkjosla (līdzīgi Google </w:t>
      </w:r>
      <w:proofErr w:type="spellStart"/>
      <w:r w:rsidRPr="002D34E5">
        <w:rPr>
          <w:lang w:val="lv-LV"/>
        </w:rPr>
        <w:t>Apps</w:t>
      </w:r>
      <w:proofErr w:type="spellEnd"/>
      <w:r w:rsidRPr="002D34E5">
        <w:rPr>
          <w:lang w:val="lv-LV"/>
        </w:rPr>
        <w:t xml:space="preserve"> vai Microsoft 365), kas pēc pieteikšanās ļauj lietotājam ērti atvērt dažādas sistēmas un pārslēgties starp tām.</w:t>
      </w:r>
    </w:p>
    <w:p w14:paraId="63609BC6" w14:textId="1D04EE09" w:rsidR="005F51B4" w:rsidRPr="004571A3" w:rsidRDefault="005F51B4" w:rsidP="002442E8">
      <w:pPr>
        <w:pStyle w:val="ListParagraph"/>
        <w:numPr>
          <w:ilvl w:val="0"/>
          <w:numId w:val="24"/>
        </w:numPr>
        <w:spacing w:line="247" w:lineRule="auto"/>
        <w:rPr>
          <w:lang w:val="lv-LV"/>
        </w:rPr>
      </w:pPr>
      <w:r w:rsidRPr="004571A3">
        <w:rPr>
          <w:lang w:val="lv-LV"/>
        </w:rPr>
        <w:t>Nodrošiniet, ka lietotāja darba vietā var piekļūt pats lietotājs vai lietotāja pilnvarota persona.</w:t>
      </w:r>
    </w:p>
    <w:p w14:paraId="0C44E99A" w14:textId="77777777" w:rsidR="005F51B4" w:rsidRPr="004571A3" w:rsidRDefault="005F51B4" w:rsidP="005F51B4">
      <w:pPr>
        <w:pStyle w:val="ListParagraph"/>
        <w:numPr>
          <w:ilvl w:val="1"/>
          <w:numId w:val="23"/>
        </w:numPr>
        <w:spacing w:line="247" w:lineRule="auto"/>
        <w:rPr>
          <w:lang w:val="lv-LV"/>
        </w:rPr>
      </w:pPr>
      <w:r w:rsidRPr="004571A3">
        <w:rPr>
          <w:lang w:val="lv-LV"/>
        </w:rPr>
        <w:t>Pakalpojuma pieprasījumu veikt un lietotni izpildīt pats vai pilnvarotā persona.</w:t>
      </w:r>
    </w:p>
    <w:p w14:paraId="50C557B6" w14:textId="2FCDC3CC" w:rsidR="008B23F8" w:rsidRPr="00A078B8" w:rsidRDefault="005F51B4" w:rsidP="00A078B8">
      <w:pPr>
        <w:pStyle w:val="ListParagraph"/>
        <w:numPr>
          <w:ilvl w:val="1"/>
          <w:numId w:val="23"/>
        </w:numPr>
        <w:spacing w:line="247" w:lineRule="auto"/>
        <w:rPr>
          <w:lang w:val="lv-LV"/>
        </w:rPr>
      </w:pPr>
      <w:r w:rsidRPr="00C27E83">
        <w:rPr>
          <w:lang w:val="lv-LV"/>
        </w:rPr>
        <w:t xml:space="preserve">Tiek nodrošināta integrācijas iespēja ar VPVKAC IS (īstenots VDAA e-pakalpojuma ietvarā). </w:t>
      </w:r>
    </w:p>
    <w:p w14:paraId="19537BA1" w14:textId="77777777" w:rsidR="00F67CD8" w:rsidRPr="0060250A" w:rsidRDefault="00F67CD8" w:rsidP="00F67CD8">
      <w:pPr>
        <w:rPr>
          <w:lang w:val="lv-LV"/>
        </w:rPr>
      </w:pPr>
      <w:r w:rsidRPr="0060250A">
        <w:rPr>
          <w:lang w:val="lv-LV"/>
        </w:rPr>
        <w:t>Novērtēšanas vadlīnijas:</w:t>
      </w:r>
    </w:p>
    <w:p w14:paraId="59F09ED1" w14:textId="35A0CF7A" w:rsidR="003D76C1" w:rsidRPr="004571A3" w:rsidRDefault="00870468" w:rsidP="003D76C1">
      <w:pPr>
        <w:pStyle w:val="ListParagraph"/>
        <w:numPr>
          <w:ilvl w:val="0"/>
          <w:numId w:val="24"/>
        </w:numPr>
        <w:rPr>
          <w:lang w:val="lv-LV"/>
        </w:rPr>
      </w:pPr>
      <w:r w:rsidRPr="004571A3">
        <w:rPr>
          <w:lang w:val="lv-LV"/>
        </w:rPr>
        <w:lastRenderedPageBreak/>
        <w:t>VPK</w:t>
      </w:r>
      <w:r w:rsidR="00A44CF0">
        <w:rPr>
          <w:lang w:val="lv-LV"/>
        </w:rPr>
        <w:t>3</w:t>
      </w:r>
      <w:r w:rsidR="007E698D">
        <w:rPr>
          <w:lang w:val="lv-LV"/>
        </w:rPr>
        <w:t>7</w:t>
      </w:r>
      <w:r w:rsidRPr="004571A3">
        <w:rPr>
          <w:lang w:val="lv-LV"/>
        </w:rPr>
        <w:t xml:space="preserve">. </w:t>
      </w:r>
      <w:r w:rsidR="003D76C1" w:rsidRPr="004571A3">
        <w:rPr>
          <w:lang w:val="lv-LV"/>
        </w:rPr>
        <w:t xml:space="preserve">Vai </w:t>
      </w:r>
      <w:proofErr w:type="spellStart"/>
      <w:r w:rsidR="003D76C1" w:rsidRPr="004571A3">
        <w:rPr>
          <w:lang w:val="lv-LV"/>
        </w:rPr>
        <w:t>mērķarhitektūrā</w:t>
      </w:r>
      <w:proofErr w:type="spellEnd"/>
      <w:r w:rsidR="003D76C1" w:rsidRPr="004571A3">
        <w:rPr>
          <w:lang w:val="lv-LV"/>
        </w:rPr>
        <w:t xml:space="preserve"> ir paredzēta </w:t>
      </w:r>
      <w:r w:rsidR="00FC259A">
        <w:rPr>
          <w:lang w:val="lv-LV"/>
        </w:rPr>
        <w:t>p</w:t>
      </w:r>
      <w:r w:rsidR="003D76C1" w:rsidRPr="004571A3">
        <w:rPr>
          <w:lang w:val="lv-LV"/>
        </w:rPr>
        <w:t>akalpojumu piedāvāšana vienotos katalogos (iedzīvotājiem: latvija.gov.lv, uzņēmējiem: business.gov.lv, iestādēm: virsis.gov.lv)?</w:t>
      </w:r>
    </w:p>
    <w:p w14:paraId="302F622B" w14:textId="55706683" w:rsidR="00F06D92" w:rsidRPr="004571A3" w:rsidRDefault="00870468" w:rsidP="008A28AD">
      <w:pPr>
        <w:pStyle w:val="ListParagraph"/>
        <w:numPr>
          <w:ilvl w:val="0"/>
          <w:numId w:val="24"/>
        </w:numPr>
        <w:rPr>
          <w:lang w:val="lv-LV"/>
        </w:rPr>
      </w:pPr>
      <w:r w:rsidRPr="004571A3">
        <w:rPr>
          <w:lang w:val="lv-LV"/>
        </w:rPr>
        <w:t>VPK</w:t>
      </w:r>
      <w:r w:rsidR="007E698D">
        <w:rPr>
          <w:lang w:val="lv-LV"/>
        </w:rPr>
        <w:t>38</w:t>
      </w:r>
      <w:r w:rsidRPr="004571A3">
        <w:rPr>
          <w:lang w:val="lv-LV"/>
        </w:rPr>
        <w:t xml:space="preserve">. </w:t>
      </w:r>
      <w:r w:rsidR="00177679" w:rsidRPr="004571A3">
        <w:rPr>
          <w:lang w:val="lv-LV"/>
        </w:rPr>
        <w:t xml:space="preserve">Vai e-pakalpojumu piegāde </w:t>
      </w:r>
      <w:proofErr w:type="spellStart"/>
      <w:r w:rsidR="00177679" w:rsidRPr="004571A3">
        <w:rPr>
          <w:lang w:val="lv-LV"/>
        </w:rPr>
        <w:t>mērķarhitektūrā</w:t>
      </w:r>
      <w:proofErr w:type="spellEnd"/>
      <w:r w:rsidR="00177679" w:rsidRPr="004571A3">
        <w:rPr>
          <w:lang w:val="lv-LV"/>
        </w:rPr>
        <w:t xml:space="preserve"> nodrošināta gan caur centralizēto platformu latvija.gov.lv, gan caur specifiskām iestāžu platformām, piemēram, VID EDS, UR, business.gov.lv, LAD?</w:t>
      </w:r>
    </w:p>
    <w:p w14:paraId="0330A6B5" w14:textId="72A313AA" w:rsidR="00510133" w:rsidRPr="00510133" w:rsidRDefault="00870468" w:rsidP="00510133">
      <w:pPr>
        <w:pStyle w:val="ListParagraph"/>
        <w:numPr>
          <w:ilvl w:val="0"/>
          <w:numId w:val="24"/>
        </w:numPr>
        <w:rPr>
          <w:lang w:val="lv-LV"/>
        </w:rPr>
      </w:pPr>
      <w:r w:rsidRPr="004571A3">
        <w:rPr>
          <w:lang w:val="lv-LV"/>
        </w:rPr>
        <w:t>VPK</w:t>
      </w:r>
      <w:r w:rsidR="007E698D">
        <w:rPr>
          <w:lang w:val="lv-LV"/>
        </w:rPr>
        <w:t>39</w:t>
      </w:r>
      <w:r w:rsidRPr="004571A3">
        <w:rPr>
          <w:lang w:val="lv-LV"/>
        </w:rPr>
        <w:t xml:space="preserve">. </w:t>
      </w:r>
      <w:r w:rsidR="00510133" w:rsidRPr="00510133">
        <w:rPr>
          <w:lang w:val="lv-LV"/>
        </w:rPr>
        <w:t>Vai</w:t>
      </w:r>
      <w:r w:rsidR="00510133" w:rsidRPr="004571A3">
        <w:rPr>
          <w:lang w:val="lv-LV"/>
        </w:rPr>
        <w:t xml:space="preserve"> jomas </w:t>
      </w:r>
      <w:proofErr w:type="spellStart"/>
      <w:r w:rsidR="00510133" w:rsidRPr="004571A3">
        <w:rPr>
          <w:lang w:val="lv-LV"/>
        </w:rPr>
        <w:t>mērķarhitektūrā</w:t>
      </w:r>
      <w:proofErr w:type="spellEnd"/>
      <w:r w:rsidR="00510133" w:rsidRPr="004571A3">
        <w:rPr>
          <w:lang w:val="lv-LV"/>
        </w:rPr>
        <w:t xml:space="preserve"> definētās pakalpojumu</w:t>
      </w:r>
      <w:r w:rsidR="00510133" w:rsidRPr="00510133">
        <w:rPr>
          <w:lang w:val="lv-LV"/>
        </w:rPr>
        <w:t xml:space="preserve"> platformas atbil</w:t>
      </w:r>
      <w:r w:rsidR="00D10162" w:rsidRPr="004571A3">
        <w:rPr>
          <w:lang w:val="lv-LV"/>
        </w:rPr>
        <w:t>dīs</w:t>
      </w:r>
      <w:r w:rsidR="00510133" w:rsidRPr="00510133">
        <w:rPr>
          <w:lang w:val="lv-LV"/>
        </w:rPr>
        <w:t xml:space="preserve"> vienotām tehniskām prasībām un </w:t>
      </w:r>
      <w:r w:rsidR="00D10162" w:rsidRPr="004571A3">
        <w:rPr>
          <w:lang w:val="lv-LV"/>
        </w:rPr>
        <w:t>tiks nodrošināta</w:t>
      </w:r>
      <w:r w:rsidR="00510133" w:rsidRPr="00510133">
        <w:rPr>
          <w:lang w:val="lv-LV"/>
        </w:rPr>
        <w:t xml:space="preserve"> savietojamību ar pakalpojumu informācijas portāliem?</w:t>
      </w:r>
    </w:p>
    <w:p w14:paraId="1B1B503B" w14:textId="0F34E880" w:rsidR="00177679" w:rsidRPr="004571A3" w:rsidRDefault="00870468" w:rsidP="00510133">
      <w:pPr>
        <w:pStyle w:val="ListParagraph"/>
        <w:numPr>
          <w:ilvl w:val="0"/>
          <w:numId w:val="24"/>
        </w:numPr>
        <w:rPr>
          <w:lang w:val="lv-LV"/>
        </w:rPr>
      </w:pPr>
      <w:r w:rsidRPr="004571A3">
        <w:rPr>
          <w:lang w:val="lv-LV"/>
        </w:rPr>
        <w:t>VPK4</w:t>
      </w:r>
      <w:r w:rsidR="007E698D">
        <w:rPr>
          <w:lang w:val="lv-LV"/>
        </w:rPr>
        <w:t>0</w:t>
      </w:r>
      <w:r w:rsidRPr="004571A3">
        <w:rPr>
          <w:lang w:val="lv-LV"/>
        </w:rPr>
        <w:t xml:space="preserve">. </w:t>
      </w:r>
      <w:r w:rsidR="00510133" w:rsidRPr="004571A3">
        <w:rPr>
          <w:lang w:val="lv-LV"/>
        </w:rPr>
        <w:t xml:space="preserve">Vai </w:t>
      </w:r>
      <w:r w:rsidR="00D10162" w:rsidRPr="004571A3">
        <w:rPr>
          <w:lang w:val="lv-LV"/>
        </w:rPr>
        <w:t xml:space="preserve">Pakalpojumu  </w:t>
      </w:r>
      <w:r w:rsidR="00510133" w:rsidRPr="004571A3">
        <w:rPr>
          <w:lang w:val="lv-LV"/>
        </w:rPr>
        <w:t xml:space="preserve">platformas </w:t>
      </w:r>
      <w:r w:rsidR="00D10162" w:rsidRPr="004571A3">
        <w:rPr>
          <w:lang w:val="lv-LV"/>
        </w:rPr>
        <w:t>paredzēt</w:t>
      </w:r>
      <w:r w:rsidR="004A0ED9">
        <w:rPr>
          <w:lang w:val="lv-LV"/>
        </w:rPr>
        <w:t>s</w:t>
      </w:r>
      <w:r w:rsidR="00510133" w:rsidRPr="004571A3">
        <w:rPr>
          <w:lang w:val="lv-LV"/>
        </w:rPr>
        <w:t xml:space="preserve"> savstarpēji integrēt</w:t>
      </w:r>
      <w:r w:rsidR="00D10162" w:rsidRPr="004571A3">
        <w:rPr>
          <w:lang w:val="lv-LV"/>
        </w:rPr>
        <w:t xml:space="preserve">, </w:t>
      </w:r>
      <w:r w:rsidR="00510133" w:rsidRPr="004571A3">
        <w:rPr>
          <w:lang w:val="lv-LV"/>
        </w:rPr>
        <w:t>lai veicinātu efektīvu un vienotu piegādes sistēmu?</w:t>
      </w:r>
    </w:p>
    <w:p w14:paraId="77BBAC8D" w14:textId="7BC82A59" w:rsidR="00161245" w:rsidRPr="004571A3" w:rsidRDefault="00870468" w:rsidP="00510133">
      <w:pPr>
        <w:pStyle w:val="ListParagraph"/>
        <w:numPr>
          <w:ilvl w:val="0"/>
          <w:numId w:val="24"/>
        </w:numPr>
        <w:rPr>
          <w:lang w:val="lv-LV"/>
        </w:rPr>
      </w:pPr>
      <w:r w:rsidRPr="004571A3">
        <w:rPr>
          <w:lang w:val="lv-LV"/>
        </w:rPr>
        <w:t>VPK4</w:t>
      </w:r>
      <w:r w:rsidR="007E698D">
        <w:rPr>
          <w:lang w:val="lv-LV"/>
        </w:rPr>
        <w:t>1</w:t>
      </w:r>
      <w:r w:rsidRPr="004571A3">
        <w:rPr>
          <w:lang w:val="lv-LV"/>
        </w:rPr>
        <w:t xml:space="preserve">. </w:t>
      </w:r>
      <w:r w:rsidR="00161245" w:rsidRPr="004571A3">
        <w:rPr>
          <w:lang w:val="lv-LV"/>
        </w:rPr>
        <w:t xml:space="preserve">Vai </w:t>
      </w:r>
      <w:proofErr w:type="spellStart"/>
      <w:r w:rsidR="00161245" w:rsidRPr="004571A3">
        <w:rPr>
          <w:lang w:val="lv-LV"/>
        </w:rPr>
        <w:t>mērķarhitektūrā</w:t>
      </w:r>
      <w:proofErr w:type="spellEnd"/>
      <w:r w:rsidR="00161245" w:rsidRPr="004571A3">
        <w:rPr>
          <w:lang w:val="lv-LV"/>
        </w:rPr>
        <w:t xml:space="preserve"> paredzēts nodrošināt vienoto pieteikšanos (SSO)</w:t>
      </w:r>
      <w:r w:rsidR="00045775" w:rsidRPr="004571A3">
        <w:rPr>
          <w:lang w:val="lv-LV"/>
        </w:rPr>
        <w:t xml:space="preserve"> ar iespēju bez atkārtotas pieteikšanās pārslēgties starp valsts pārvaldes e-pakalpojumu platformām, izmantojot centralizēti izsniegtu sesijas talonu?</w:t>
      </w:r>
    </w:p>
    <w:p w14:paraId="0EDAFB83" w14:textId="490D8CD8" w:rsidR="0060250A" w:rsidRPr="004571A3" w:rsidRDefault="00870468" w:rsidP="00510133">
      <w:pPr>
        <w:pStyle w:val="ListParagraph"/>
        <w:numPr>
          <w:ilvl w:val="0"/>
          <w:numId w:val="24"/>
        </w:numPr>
        <w:rPr>
          <w:lang w:val="lv-LV"/>
        </w:rPr>
        <w:sectPr w:rsidR="0060250A" w:rsidRPr="004571A3">
          <w:pgSz w:w="12240" w:h="15840"/>
          <w:pgMar w:top="1440" w:right="1440" w:bottom="1440" w:left="1440" w:header="720" w:footer="720" w:gutter="0"/>
          <w:cols w:space="720"/>
          <w:docGrid w:linePitch="360"/>
        </w:sectPr>
      </w:pPr>
      <w:r w:rsidRPr="004571A3">
        <w:rPr>
          <w:lang w:val="lv-LV"/>
        </w:rPr>
        <w:t>VPK4</w:t>
      </w:r>
      <w:r w:rsidR="007E698D">
        <w:rPr>
          <w:lang w:val="lv-LV"/>
        </w:rPr>
        <w:t>2</w:t>
      </w:r>
      <w:r w:rsidRPr="004571A3">
        <w:rPr>
          <w:lang w:val="lv-LV"/>
        </w:rPr>
        <w:t xml:space="preserve">. </w:t>
      </w:r>
      <w:r w:rsidR="0060250A" w:rsidRPr="004571A3">
        <w:rPr>
          <w:lang w:val="lv-LV"/>
        </w:rPr>
        <w:t xml:space="preserve">Vai </w:t>
      </w:r>
      <w:proofErr w:type="spellStart"/>
      <w:r w:rsidR="0060250A" w:rsidRPr="004571A3">
        <w:rPr>
          <w:lang w:val="lv-LV"/>
        </w:rPr>
        <w:t>mērķarhitektūrā</w:t>
      </w:r>
      <w:proofErr w:type="spellEnd"/>
      <w:r w:rsidR="0060250A" w:rsidRPr="004571A3">
        <w:rPr>
          <w:lang w:val="lv-LV"/>
        </w:rPr>
        <w:t xml:space="preserve"> paredzēts nodrošināt, ka pakalpojuma pieprasījumu var veikt pats lietotājs vai viņa pilnvarota persona?</w:t>
      </w:r>
    </w:p>
    <w:p w14:paraId="510336C9" w14:textId="4C7535DC" w:rsidR="00137A2C" w:rsidRDefault="00137A2C" w:rsidP="00D5520A">
      <w:pPr>
        <w:pStyle w:val="Heading1"/>
        <w:numPr>
          <w:ilvl w:val="0"/>
          <w:numId w:val="4"/>
        </w:numPr>
        <w:rPr>
          <w:lang w:val="lv-LV"/>
        </w:rPr>
      </w:pPr>
      <w:r>
        <w:rPr>
          <w:lang w:val="lv-LV"/>
        </w:rPr>
        <w:lastRenderedPageBreak/>
        <w:t>Semantiskie principi</w:t>
      </w:r>
    </w:p>
    <w:p w14:paraId="36A69914" w14:textId="0EC488FA" w:rsidR="004929EC" w:rsidRPr="004929EC" w:rsidRDefault="00137A2C" w:rsidP="00372307">
      <w:pPr>
        <w:pStyle w:val="Heading2"/>
        <w:rPr>
          <w:rStyle w:val="Heading4Char"/>
          <w:i w:val="0"/>
          <w:iCs w:val="0"/>
          <w:lang w:val="lv-LV"/>
        </w:rPr>
      </w:pPr>
      <w:r>
        <w:rPr>
          <w:lang w:val="lv-LV"/>
        </w:rPr>
        <w:t xml:space="preserve">SP1. </w:t>
      </w:r>
      <w:r w:rsidR="00E24404">
        <w:rPr>
          <w:lang w:val="lv-LV"/>
        </w:rPr>
        <w:t>Uztvert datus kā vērtību</w:t>
      </w:r>
      <w:r w:rsidR="004929EC" w:rsidRPr="00E2406D">
        <w:rPr>
          <w:noProof/>
          <w:lang w:val="lv-LV"/>
        </w:rPr>
        <mc:AlternateContent>
          <mc:Choice Requires="wps">
            <w:drawing>
              <wp:anchor distT="0" distB="0" distL="114300" distR="114300" simplePos="0" relativeHeight="251658256" behindDoc="0" locked="0" layoutInCell="1" allowOverlap="1" wp14:anchorId="2F56C63E" wp14:editId="2F000AA5">
                <wp:simplePos x="0" y="0"/>
                <wp:positionH relativeFrom="column">
                  <wp:posOffset>0</wp:posOffset>
                </wp:positionH>
                <wp:positionV relativeFrom="paragraph">
                  <wp:posOffset>316865</wp:posOffset>
                </wp:positionV>
                <wp:extent cx="1828800" cy="1828800"/>
                <wp:effectExtent l="0" t="0" r="8890" b="10795"/>
                <wp:wrapTopAndBottom/>
                <wp:docPr id="100681470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8CEE748" w14:textId="4887A5F9" w:rsidR="004929EC" w:rsidRPr="00746A4A" w:rsidRDefault="00746A4A" w:rsidP="004929EC">
                            <w:pPr>
                              <w:ind w:left="851"/>
                              <w:jc w:val="both"/>
                              <w:rPr>
                                <w:lang w:val="lv-LV"/>
                              </w:rPr>
                            </w:pPr>
                            <w:r w:rsidRPr="00746A4A">
                              <w:rPr>
                                <w:lang w:val="lv-LV"/>
                              </w:rPr>
                              <w:t>Dati tiek uzskatīti par stratēģisku un ilgtspējīgu resursu, kas jāizvērtē un jāizmanto, lai radītu vērtību sabiedrībai, veicinātu efektivitāti valsts pārvaldē un atbalstītu inovācijas. Publiskā sektora dati jāuzglabā, jāapstrādā un jāanalizē tā, lai tie būtu uzticami, pieejami un atkārtoti izmantojami, vienlaikus ievērojot datu aizsardzības un privātuma prasības.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5549D6BB">
              <v:shape id="_x0000_s1037" style="position:absolute;margin-left:0;margin-top:24.95pt;width:2in;height:2in;z-index:251658256;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xEWgIAAA0FAAAOAAAAZHJzL2Uyb0RvYy54bWysVE2P2jAQvVfqf7B8LwFKW4oIK8qKqhLa&#10;XZWt9mwcG6I6HsseSOiv79iBQLecql6csWfefLyZyfSuqQw7KB9KsDkf9PqcKSuhKO025z+el+/G&#10;nAUUthAGrMr5UQV+N3v7Zlq7iRrCDkyhPCMnNkxql/MdoptkWZA7VYnQA6csKTX4SiBd/TYrvKjJ&#10;e2WyYb//MavBF86DVCHQ632r5LPkX2sl8VHroJCZnFNumE6fzk08s9lUTLZeuF0pT2mIf8iiEqWl&#10;oJ2re4GC7X35l6uqlB4CaOxJqDLQupQq1UDVDPqvqlnvhFOpFiInuI6m8P/cyofD2j15hs0XaKiB&#10;kZDahUmgx1hPo30Vv5QpIz1ReOxoUw0yGUHj4XjcJ5Uk3flCfrIL3PmAXxVULAo599SXRJc4rAK2&#10;pmeTGM3Y+HbJI0l4NKpVflealQVFHiYnaVjUwnh2ENRmIaWy+D5WQhkYS9YRpktjOuDgFtBgKp9A&#10;J9sIU2mIOmD/FvDPiB0iRQWLHbgqLfhbDoqfXeTW/lx9W3MsH5tNQ0UTwV2PNlAcqXUe2qkOTi5L&#10;onclAj4JT2NMLaHVxEc6tIE653CSONuB/3XrPdrTdJGWs5rWIueW9pYz883S1H0ejEZxi9Jl9OHT&#10;kC7+WrO51th9tQBqyIB+AU4mMdqjOYvaQ/VC+zuPMUklrKTIOcezuMB2VWn/pZrPkxHtjRO4smsn&#10;o+tIchyd5+ZFeHeaL6TRfIDz+ojJqzFrbSMyuPkeYVmmGYw0t5ye6KedSzN0+j/Epb6+J6vLX2z2&#10;GwAA//8DAFBLAwQUAAYACAAAACEA7u+WodsAAAAHAQAADwAAAGRycy9kb3ducmV2LnhtbEyPTU/D&#10;MAyG70j8h8hI3FjKOkFb6k4DCTgzJs5Z436wxqmabCv8eswJjvb76vHjcj27QZ1oCr1nhNtFAoq4&#10;9rbnFmH3/nyTgQrRsDWDZ0L4ogDr6vKiNIX1Z36j0za2SiAcCoPQxTgWWoe6I2fCwo/EkjV+cibK&#10;OLXaTuYscDfoZZLcaWd6lgudGempo/qwPTqE9OM1bezc9C+rJA2PtNnl358HxOurefMAKtIc/8rw&#10;qy/qUInT3h/ZBjUgyCMRYZXnoCRdZpks9oJO73PQVan/+1c/AAAA//8DAFBLAQItABQABgAIAAAA&#10;IQC2gziS/gAAAOEBAAATAAAAAAAAAAAAAAAAAAAAAABbQ29udGVudF9UeXBlc10ueG1sUEsBAi0A&#10;FAAGAAgAAAAhADj9If/WAAAAlAEAAAsAAAAAAAAAAAAAAAAALwEAAF9yZWxzLy5yZWxzUEsBAi0A&#10;FAAGAAgAAAAhAEgsbERaAgAADQUAAA4AAAAAAAAAAAAAAAAALgIAAGRycy9lMm9Eb2MueG1sUEsB&#10;Ai0AFAAGAAgAAAAhAO7vlqHbAAAABwEAAA8AAAAAAAAAAAAAAAAAtAQAAGRycy9kb3ducmV2Lnht&#10;bFBLBQYAAAAABAAEAPMAAAC8BQAAAAA=&#10;" w14:anchorId="2F56C63E">
                <v:textbox style="mso-fit-shape-to-text:t">
                  <w:txbxContent>
                    <w:p w:rsidRPr="00746A4A" w:rsidR="004929EC" w:rsidP="004929EC" w:rsidRDefault="00746A4A" w14:paraId="61ACB74C" w14:textId="4887A5F9">
                      <w:pPr>
                        <w:ind w:left="851"/>
                        <w:jc w:val="both"/>
                        <w:rPr>
                          <w:lang w:val="lv-LV"/>
                        </w:rPr>
                      </w:pPr>
                      <w:r w:rsidRPr="00746A4A">
                        <w:rPr>
                          <w:lang w:val="lv-LV"/>
                        </w:rPr>
                        <w:t>Dati tiek uzskatīti par stratēģisku un ilgtspējīgu resursu, kas jāizvērtē un jāizmanto, lai radītu vērtību sabiedrībai, veicinātu efektivitāti valsts pārvaldē un atbalstītu inovācijas. Publiskā sektora dati jāuzglabā, jāapstrādā un jāanalizē tā, lai tie būtu uzticami, pieejami un atkārtoti izmantojami, vienlaikus ievērojot datu aizsardzības un privātuma prasības.</w:t>
                      </w:r>
                    </w:p>
                  </w:txbxContent>
                </v:textbox>
                <w10:wrap type="topAndBottom"/>
              </v:shape>
            </w:pict>
          </mc:Fallback>
        </mc:AlternateContent>
      </w:r>
      <w:r w:rsidR="004929EC" w:rsidRPr="00E2406D">
        <w:rPr>
          <w:rFonts w:ascii="Times New Roman" w:hAnsi="Times New Roman" w:cs="Times New Roman"/>
          <w:noProof/>
          <w:sz w:val="22"/>
          <w:szCs w:val="22"/>
          <w:lang w:val="lv-LV"/>
        </w:rPr>
        <w:drawing>
          <wp:anchor distT="0" distB="0" distL="114300" distR="114300" simplePos="0" relativeHeight="251658257" behindDoc="0" locked="0" layoutInCell="1" allowOverlap="1" wp14:anchorId="2FA538C7" wp14:editId="70800627">
            <wp:simplePos x="0" y="0"/>
            <wp:positionH relativeFrom="margin">
              <wp:posOffset>88900</wp:posOffset>
            </wp:positionH>
            <wp:positionV relativeFrom="paragraph">
              <wp:posOffset>450850</wp:posOffset>
            </wp:positionV>
            <wp:extent cx="427990" cy="427990"/>
            <wp:effectExtent l="0" t="0" r="0" b="0"/>
            <wp:wrapSquare wrapText="bothSides"/>
            <wp:docPr id="1190658004"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p>
    <w:p w14:paraId="33EC972A" w14:textId="77777777" w:rsidR="00AA21F5" w:rsidRDefault="00AA21F5" w:rsidP="001B7BB2">
      <w:pPr>
        <w:rPr>
          <w:lang w:val="lv-LV"/>
        </w:rPr>
      </w:pPr>
    </w:p>
    <w:p w14:paraId="03F9D33C" w14:textId="77777777" w:rsidR="00502D87" w:rsidRPr="00AE17B5" w:rsidRDefault="00502D87" w:rsidP="00502D87">
      <w:pPr>
        <w:rPr>
          <w:lang w:val="lv-LV"/>
        </w:rPr>
      </w:pPr>
      <w:r w:rsidRPr="00AE17B5">
        <w:rPr>
          <w:lang w:val="lv-LV"/>
        </w:rPr>
        <w:t>Piemērošanas vadlīnijas:</w:t>
      </w:r>
    </w:p>
    <w:p w14:paraId="27DC34E9" w14:textId="6A3AC7CE" w:rsidR="00502D87" w:rsidRDefault="00DA5E8E" w:rsidP="00DA5E8E">
      <w:pPr>
        <w:pStyle w:val="ListParagraph"/>
        <w:numPr>
          <w:ilvl w:val="0"/>
          <w:numId w:val="11"/>
        </w:numPr>
        <w:jc w:val="both"/>
        <w:rPr>
          <w:lang w:val="lv-LV"/>
        </w:rPr>
      </w:pPr>
      <w:r w:rsidRPr="00307FF9">
        <w:rPr>
          <w:lang w:val="lv-LV"/>
        </w:rPr>
        <w:t>Definējiet datus kā stratēģisku vērtību. Nodrošiniet, ka dati tiek izmantoti, lai pieņemtu uz pierādījumiem balstītus lēmumus, uzlabotu pakalpojumu kvalitāti un efektivitāti.</w:t>
      </w:r>
    </w:p>
    <w:p w14:paraId="09779D9A" w14:textId="650339E2" w:rsidR="004C3CB2" w:rsidRPr="004C3CB2" w:rsidRDefault="004C3CB2" w:rsidP="004C3CB2">
      <w:pPr>
        <w:pStyle w:val="ListParagraph"/>
        <w:numPr>
          <w:ilvl w:val="0"/>
          <w:numId w:val="11"/>
        </w:numPr>
        <w:jc w:val="both"/>
        <w:rPr>
          <w:bCs/>
          <w:lang w:val="lv-LV"/>
        </w:rPr>
      </w:pPr>
      <w:r w:rsidRPr="004C3CB2">
        <w:rPr>
          <w:bCs/>
          <w:lang w:val="lv-LV"/>
        </w:rPr>
        <w:t xml:space="preserve">Nodrošiniet datu izmantošanu lēmumu pieņemšanai. </w:t>
      </w:r>
      <w:bookmarkStart w:id="23" w:name="_Hlk184377859"/>
      <w:r w:rsidRPr="004C3CB2">
        <w:rPr>
          <w:bCs/>
          <w:lang w:val="lv-LV"/>
        </w:rPr>
        <w:t>Valsts pārvaldes datiem jābūt mašīnlasāmiem un aprakstītiem strukturētā veidā, tādējādi veicinot datos balstītu lēmumu pieņemšanu valsts pārvaldē, jaunu saistīto procesu un pakalpojumu izveidi, vienlaikus nodrošinot, ka ar šiem datiem, bez palīdzības var strādāt arī citu nozaru speciālisti.</w:t>
      </w:r>
      <w:bookmarkEnd w:id="23"/>
    </w:p>
    <w:p w14:paraId="6FCC6120" w14:textId="74F500EA" w:rsidR="001406C7" w:rsidRPr="001406C7" w:rsidRDefault="002841D7" w:rsidP="001406C7">
      <w:pPr>
        <w:pStyle w:val="ListParagraph"/>
        <w:numPr>
          <w:ilvl w:val="0"/>
          <w:numId w:val="11"/>
        </w:numPr>
        <w:rPr>
          <w:lang w:val="lv-LV"/>
        </w:rPr>
      </w:pPr>
      <w:r>
        <w:rPr>
          <w:lang w:val="lv-LV"/>
        </w:rPr>
        <w:t>Nodrošiniet, ka v</w:t>
      </w:r>
      <w:r w:rsidR="001406C7" w:rsidRPr="00BA6357">
        <w:rPr>
          <w:lang w:val="lv-LV"/>
        </w:rPr>
        <w:t>alsts pārvaldes rīcībā esoš</w:t>
      </w:r>
      <w:r>
        <w:rPr>
          <w:lang w:val="lv-LV"/>
        </w:rPr>
        <w:t>ie</w:t>
      </w:r>
      <w:r w:rsidR="001406C7" w:rsidRPr="00BA6357">
        <w:rPr>
          <w:lang w:val="lv-LV"/>
        </w:rPr>
        <w:t xml:space="preserve"> dati/informācijas resursi </w:t>
      </w:r>
      <w:r>
        <w:rPr>
          <w:lang w:val="lv-LV"/>
        </w:rPr>
        <w:t xml:space="preserve">ir </w:t>
      </w:r>
      <w:r w:rsidR="001406C7" w:rsidRPr="00BA6357">
        <w:rPr>
          <w:lang w:val="lv-LV"/>
        </w:rPr>
        <w:t>sasaistīt</w:t>
      </w:r>
      <w:r>
        <w:rPr>
          <w:lang w:val="lv-LV"/>
        </w:rPr>
        <w:t>i</w:t>
      </w:r>
      <w:r w:rsidR="001406C7" w:rsidRPr="00BA6357">
        <w:rPr>
          <w:lang w:val="lv-LV"/>
        </w:rPr>
        <w:t>, tādējādi veicinot datos balstītu lēmumu un procesu iedzīvināšanu valsts pārvaldē. Papildus iepriekš minētajam datu sasaiste nodrošina visus priekšnosacījumus, lai veidotu komplicētu un viegli pārvaldāmu datu arhitektūru.</w:t>
      </w:r>
    </w:p>
    <w:p w14:paraId="30FB421C" w14:textId="52397068" w:rsidR="00F8133E" w:rsidRDefault="00F8133E" w:rsidP="00DA5E8E">
      <w:pPr>
        <w:pStyle w:val="ListParagraph"/>
        <w:numPr>
          <w:ilvl w:val="0"/>
          <w:numId w:val="11"/>
        </w:numPr>
        <w:jc w:val="both"/>
        <w:rPr>
          <w:lang w:val="lv-LV"/>
        </w:rPr>
      </w:pPr>
      <w:r w:rsidRPr="00307FF9">
        <w:rPr>
          <w:lang w:val="lv-LV"/>
        </w:rPr>
        <w:t>Identificējiet un veiciniet datu izmantošanas iespējas, kas palīdz radīt sabiedrisko vērtību, piemēram, uzlabojot piekļuvi pakalpojumiem vai veicinot sabiedrības informētību</w:t>
      </w:r>
      <w:r w:rsidR="0079379D" w:rsidRPr="00307FF9">
        <w:rPr>
          <w:lang w:val="lv-LV"/>
        </w:rPr>
        <w:t>.</w:t>
      </w:r>
    </w:p>
    <w:p w14:paraId="6A53329D" w14:textId="5D0D265B" w:rsidR="0079379D" w:rsidRPr="0079379D" w:rsidRDefault="0079379D" w:rsidP="0079379D">
      <w:pPr>
        <w:pStyle w:val="ListParagraph"/>
        <w:numPr>
          <w:ilvl w:val="0"/>
          <w:numId w:val="11"/>
        </w:numPr>
        <w:jc w:val="both"/>
        <w:rPr>
          <w:lang w:val="lv-LV"/>
        </w:rPr>
      </w:pPr>
      <w:r w:rsidRPr="00307FF9">
        <w:rPr>
          <w:lang w:val="lv-LV"/>
        </w:rPr>
        <w:t>Piemērojiet</w:t>
      </w:r>
      <w:r w:rsidRPr="0079379D">
        <w:rPr>
          <w:lang w:val="lv-LV"/>
        </w:rPr>
        <w:t xml:space="preserve"> vienotus standartus datu glabāšanai, apstrādei un analīzei, lai nodrošinātu datu kvalitāti, uzticamību un konsekvenci.</w:t>
      </w:r>
    </w:p>
    <w:p w14:paraId="346580CE" w14:textId="13EAD1AE" w:rsidR="0079379D" w:rsidRPr="00307FF9" w:rsidRDefault="0079379D" w:rsidP="0079379D">
      <w:pPr>
        <w:pStyle w:val="ListParagraph"/>
        <w:numPr>
          <w:ilvl w:val="0"/>
          <w:numId w:val="11"/>
        </w:numPr>
        <w:jc w:val="both"/>
        <w:rPr>
          <w:lang w:val="lv-LV"/>
        </w:rPr>
      </w:pPr>
      <w:r w:rsidRPr="00307FF9">
        <w:rPr>
          <w:lang w:val="lv-LV"/>
        </w:rPr>
        <w:t>Izstrādājiet un ieviesiet procedūras datu kvalitātes uzraudzībai, lai identificētu un novērstu kļūdas vai neatbilstības.</w:t>
      </w:r>
    </w:p>
    <w:p w14:paraId="45E6A423" w14:textId="77777777" w:rsidR="00502D87" w:rsidRDefault="00502D87" w:rsidP="00502D87">
      <w:pPr>
        <w:rPr>
          <w:lang w:val="lv-LV"/>
        </w:rPr>
      </w:pPr>
      <w:r w:rsidRPr="00C20AD0">
        <w:rPr>
          <w:lang w:val="lv-LV"/>
        </w:rPr>
        <w:t>Novērtēšanas vadlīnijas:</w:t>
      </w:r>
    </w:p>
    <w:p w14:paraId="36D66987" w14:textId="1340A3B8" w:rsidR="00672499" w:rsidRDefault="00870468" w:rsidP="00672499">
      <w:pPr>
        <w:pStyle w:val="ListParagraph"/>
        <w:numPr>
          <w:ilvl w:val="0"/>
          <w:numId w:val="26"/>
        </w:numPr>
        <w:rPr>
          <w:lang w:val="lv-LV"/>
        </w:rPr>
      </w:pPr>
      <w:r>
        <w:rPr>
          <w:lang w:val="lv-LV"/>
        </w:rPr>
        <w:t>SPK</w:t>
      </w:r>
      <w:r w:rsidR="006A3A44">
        <w:rPr>
          <w:lang w:val="lv-LV"/>
        </w:rPr>
        <w:t>1</w:t>
      </w:r>
      <w:r>
        <w:rPr>
          <w:lang w:val="lv-LV"/>
        </w:rPr>
        <w:t xml:space="preserve">. </w:t>
      </w:r>
      <w:r w:rsidR="00672499" w:rsidRPr="00672499">
        <w:rPr>
          <w:lang w:val="lv-LV"/>
        </w:rPr>
        <w:t>Vai</w:t>
      </w:r>
      <w:r w:rsidR="001260E6">
        <w:rPr>
          <w:lang w:val="lv-LV"/>
        </w:rPr>
        <w:t xml:space="preserve">, plānojot un ieviešot </w:t>
      </w:r>
      <w:proofErr w:type="spellStart"/>
      <w:r w:rsidR="001260E6">
        <w:rPr>
          <w:lang w:val="lv-LV"/>
        </w:rPr>
        <w:t>mērķarhitektūru</w:t>
      </w:r>
      <w:proofErr w:type="spellEnd"/>
      <w:r w:rsidR="001260E6">
        <w:rPr>
          <w:lang w:val="lv-LV"/>
        </w:rPr>
        <w:t>,</w:t>
      </w:r>
      <w:r w:rsidR="00672499" w:rsidRPr="00672499">
        <w:rPr>
          <w:lang w:val="lv-LV"/>
        </w:rPr>
        <w:t xml:space="preserve"> dati tiek identificēti un definēti kā stratēģiska vērtība?</w:t>
      </w:r>
    </w:p>
    <w:p w14:paraId="17E26CF2" w14:textId="69436148" w:rsidR="00FC0A51" w:rsidRPr="00FC0A51" w:rsidRDefault="703556A7" w:rsidP="00FC0A51">
      <w:pPr>
        <w:pStyle w:val="ListParagraph"/>
        <w:numPr>
          <w:ilvl w:val="0"/>
          <w:numId w:val="26"/>
        </w:numPr>
        <w:rPr>
          <w:lang w:val="lv-LV"/>
        </w:rPr>
      </w:pPr>
      <w:commentRangeStart w:id="24"/>
      <w:r w:rsidRPr="3D3736F2">
        <w:rPr>
          <w:lang w:val="lv-LV"/>
        </w:rPr>
        <w:lastRenderedPageBreak/>
        <w:t>SPK</w:t>
      </w:r>
      <w:r w:rsidR="7025F67C" w:rsidRPr="3D3736F2">
        <w:rPr>
          <w:lang w:val="lv-LV"/>
        </w:rPr>
        <w:t>2</w:t>
      </w:r>
      <w:r w:rsidRPr="3D3736F2">
        <w:rPr>
          <w:lang w:val="lv-LV"/>
        </w:rPr>
        <w:t xml:space="preserve">. </w:t>
      </w:r>
      <w:r w:rsidR="34B47F94" w:rsidRPr="3D3736F2">
        <w:rPr>
          <w:lang w:val="lv-LV"/>
        </w:rPr>
        <w:t xml:space="preserve">Vai </w:t>
      </w:r>
      <w:proofErr w:type="spellStart"/>
      <w:r w:rsidR="6EAE934A" w:rsidRPr="3D3736F2">
        <w:rPr>
          <w:lang w:val="lv-LV"/>
        </w:rPr>
        <w:t>mērķarhitektūras</w:t>
      </w:r>
      <w:proofErr w:type="spellEnd"/>
      <w:r w:rsidR="6EAE934A" w:rsidRPr="3D3736F2">
        <w:rPr>
          <w:lang w:val="lv-LV"/>
        </w:rPr>
        <w:t xml:space="preserve"> ieviešanā paredzēts </w:t>
      </w:r>
      <w:r w:rsidR="34B47F94" w:rsidRPr="3D3736F2">
        <w:rPr>
          <w:lang w:val="lv-LV"/>
        </w:rPr>
        <w:t>dat</w:t>
      </w:r>
      <w:r w:rsidR="6EAE934A" w:rsidRPr="3D3736F2">
        <w:rPr>
          <w:lang w:val="lv-LV"/>
        </w:rPr>
        <w:t>us</w:t>
      </w:r>
      <w:r w:rsidR="34B47F94" w:rsidRPr="3D3736F2">
        <w:rPr>
          <w:lang w:val="lv-LV"/>
        </w:rPr>
        <w:t xml:space="preserve"> ir strukturēt un aprakstīt un </w:t>
      </w:r>
      <w:r w:rsidR="6EAE934A" w:rsidRPr="3D3736F2">
        <w:rPr>
          <w:lang w:val="lv-LV"/>
        </w:rPr>
        <w:t xml:space="preserve">padarīt pieejamus </w:t>
      </w:r>
      <w:r w:rsidR="34B47F94" w:rsidRPr="3D3736F2">
        <w:rPr>
          <w:lang w:val="lv-LV"/>
        </w:rPr>
        <w:t>mašīnlasāmā formā, lai veicinātu to vieglu izmantošanu analītikā un lēmumu pieņemšanā?</w:t>
      </w:r>
      <w:commentRangeEnd w:id="24"/>
      <w:r w:rsidR="00870468">
        <w:rPr>
          <w:rStyle w:val="CommentReference"/>
        </w:rPr>
        <w:commentReference w:id="24"/>
      </w:r>
    </w:p>
    <w:p w14:paraId="2D3C78FA" w14:textId="08DA23AA" w:rsidR="00502D87" w:rsidRDefault="00870468" w:rsidP="001B7BB2">
      <w:pPr>
        <w:pStyle w:val="ListParagraph"/>
        <w:numPr>
          <w:ilvl w:val="0"/>
          <w:numId w:val="26"/>
        </w:numPr>
        <w:rPr>
          <w:lang w:val="lv-LV"/>
        </w:rPr>
      </w:pPr>
      <w:r>
        <w:rPr>
          <w:lang w:val="lv-LV"/>
        </w:rPr>
        <w:t xml:space="preserve">SPK3. </w:t>
      </w:r>
      <w:r w:rsidR="00672499" w:rsidRPr="00DC74FD">
        <w:rPr>
          <w:lang w:val="lv-LV"/>
        </w:rPr>
        <w:t xml:space="preserve">Vai </w:t>
      </w:r>
      <w:proofErr w:type="spellStart"/>
      <w:r w:rsidR="000A7683">
        <w:rPr>
          <w:lang w:val="lv-LV"/>
        </w:rPr>
        <w:t>mērķarhitektūrā</w:t>
      </w:r>
      <w:proofErr w:type="spellEnd"/>
      <w:r w:rsidR="000A7683">
        <w:rPr>
          <w:lang w:val="lv-LV"/>
        </w:rPr>
        <w:t xml:space="preserve"> paredzēts paplašināt datu analītiku un </w:t>
      </w:r>
      <w:r w:rsidR="00672499" w:rsidRPr="00DC74FD">
        <w:rPr>
          <w:lang w:val="lv-LV"/>
        </w:rPr>
        <w:t>dat</w:t>
      </w:r>
      <w:r w:rsidR="000A7683">
        <w:rPr>
          <w:lang w:val="lv-LV"/>
        </w:rPr>
        <w:t>us</w:t>
      </w:r>
      <w:r w:rsidR="00672499" w:rsidRPr="00DC74FD">
        <w:rPr>
          <w:lang w:val="lv-LV"/>
        </w:rPr>
        <w:t xml:space="preserve"> aktīvi izmantoti pierādījumos balstītu lēmumu pieņemšanai?</w:t>
      </w:r>
    </w:p>
    <w:p w14:paraId="04DB25E7" w14:textId="3DEAE433" w:rsidR="00787374" w:rsidRPr="00787374" w:rsidRDefault="00787374" w:rsidP="00787374">
      <w:pPr>
        <w:pStyle w:val="ListParagraph"/>
        <w:numPr>
          <w:ilvl w:val="0"/>
          <w:numId w:val="26"/>
        </w:numPr>
        <w:rPr>
          <w:lang w:val="lv-LV"/>
        </w:rPr>
      </w:pPr>
      <w:r>
        <w:rPr>
          <w:lang w:val="lv-LV"/>
        </w:rPr>
        <w:t>SPK</w:t>
      </w:r>
      <w:r w:rsidR="0009249A">
        <w:rPr>
          <w:lang w:val="lv-LV"/>
        </w:rPr>
        <w:t>4</w:t>
      </w:r>
      <w:r>
        <w:rPr>
          <w:lang w:val="lv-LV"/>
        </w:rPr>
        <w:t xml:space="preserve">. </w:t>
      </w:r>
      <w:r w:rsidRPr="00787374">
        <w:rPr>
          <w:lang w:val="lv-LV"/>
        </w:rPr>
        <w:t xml:space="preserve">Vai </w:t>
      </w:r>
      <w:proofErr w:type="spellStart"/>
      <w:r>
        <w:rPr>
          <w:lang w:val="lv-LV"/>
        </w:rPr>
        <w:t>mērķarhitektūras</w:t>
      </w:r>
      <w:proofErr w:type="spellEnd"/>
      <w:r>
        <w:rPr>
          <w:lang w:val="lv-LV"/>
        </w:rPr>
        <w:t xml:space="preserve"> ieviešanas</w:t>
      </w:r>
      <w:r w:rsidRPr="00787374">
        <w:rPr>
          <w:lang w:val="lv-LV"/>
        </w:rPr>
        <w:t xml:space="preserve"> ietvaros plānots īstenot aktivitātes, lai pilnveidotu </w:t>
      </w:r>
      <w:r>
        <w:rPr>
          <w:lang w:val="lv-LV"/>
        </w:rPr>
        <w:t xml:space="preserve">jomas </w:t>
      </w:r>
      <w:r w:rsidRPr="00787374">
        <w:rPr>
          <w:lang w:val="lv-LV"/>
        </w:rPr>
        <w:t>esošo datu kvalitāti (uzskaitījumu un ar datu apstrādi saistītos procesus)?</w:t>
      </w:r>
    </w:p>
    <w:p w14:paraId="18610299" w14:textId="05DAB6ED" w:rsidR="008E3886" w:rsidRPr="001B7BB2" w:rsidRDefault="00E24404" w:rsidP="00372307">
      <w:pPr>
        <w:pStyle w:val="Heading2"/>
        <w:rPr>
          <w:rStyle w:val="Heading4Char"/>
          <w:i w:val="0"/>
          <w:iCs w:val="0"/>
          <w:lang w:val="lv-LV"/>
        </w:rPr>
      </w:pPr>
      <w:r>
        <w:rPr>
          <w:lang w:val="lv-LV"/>
        </w:rPr>
        <w:t>SP</w:t>
      </w:r>
      <w:r w:rsidR="001B7BB2">
        <w:rPr>
          <w:lang w:val="lv-LV"/>
        </w:rPr>
        <w:t>2</w:t>
      </w:r>
      <w:r>
        <w:rPr>
          <w:lang w:val="lv-LV"/>
        </w:rPr>
        <w:t>. Prasīt tikai vienreiz un minimāli</w:t>
      </w:r>
      <w:r w:rsidR="008E3886" w:rsidRPr="00E2406D">
        <w:rPr>
          <w:noProof/>
          <w:lang w:val="lv-LV"/>
        </w:rPr>
        <mc:AlternateContent>
          <mc:Choice Requires="wps">
            <w:drawing>
              <wp:anchor distT="0" distB="0" distL="114300" distR="114300" simplePos="0" relativeHeight="251658258" behindDoc="0" locked="0" layoutInCell="1" allowOverlap="1" wp14:anchorId="5CAD6998" wp14:editId="03B8C709">
                <wp:simplePos x="0" y="0"/>
                <wp:positionH relativeFrom="column">
                  <wp:posOffset>0</wp:posOffset>
                </wp:positionH>
                <wp:positionV relativeFrom="paragraph">
                  <wp:posOffset>316865</wp:posOffset>
                </wp:positionV>
                <wp:extent cx="1828800" cy="1828800"/>
                <wp:effectExtent l="0" t="0" r="8890" b="10795"/>
                <wp:wrapTopAndBottom/>
                <wp:docPr id="3840387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D511E29" w14:textId="597E2A06" w:rsidR="008E3886" w:rsidRPr="0037070B" w:rsidRDefault="0037070B" w:rsidP="008E3886">
                            <w:pPr>
                              <w:ind w:left="851"/>
                              <w:jc w:val="both"/>
                              <w:rPr>
                                <w:lang w:val="lv-LV"/>
                              </w:rPr>
                            </w:pPr>
                            <w:r w:rsidRPr="0037070B">
                              <w:rPr>
                                <w:lang w:val="lv-LV"/>
                              </w:rPr>
                              <w:t>Publiskie pakalpojumi tiek veidoti tā, lai iedzīvotājiem un uzņēmumiem būtu nepieciešams iesniegt informāciju tikai vienu reizi. Jebkura papildu informācija tiek pieprasīta tikai tad, ja tā nav pieejama citos avotos. Prasītā informācija tiek samazināta līdz minimumam, ņemot vērā nepieciešamību pēc efektivitātes un lietotāju ērtībām.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30DD67D9">
              <v:shape id="_x0000_s1038" style="position:absolute;margin-left:0;margin-top:24.95pt;width:2in;height:2in;z-index:251658258;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U6XAIAAA0FAAAOAAAAZHJzL2Uyb0RvYy54bWysVE1v2zAMvQ/YfxB0X+xk3ZYFcYqsRYYB&#10;QVssHXpWZKkxJouCxMTOfv0oOXazLqdhF5kS+fjxSHp+3daGHZQPFdiCj0c5Z8pKKCv7XPAfj6t3&#10;U84CClsKA1YV/KgCv168fTNv3ExNYAemVJ6RExtmjSv4DtHNsizInapFGIFTlpQafC2Qrv45K71o&#10;yHttskmef8wa8KXzIFUI9HrbKfki+ddaSbzXOihkpuCUG6bTp3Mbz2wxF7NnL9yukqc0xD9kUYvK&#10;UtDB1a1Awfa++stVXUkPATSOJNQZaF1JlWqgasb5q2o2O+FUqoXICW6gKfw/t/LusHEPnmH7BVpq&#10;YCSkcWEW6DHW02pfxy9lykhPFB4H2lSLTEbQdDKd5qSSpOsv5Cd7gTsf8KuCmkWh4J76kugSh3XA&#10;zrQ3idGMjW8veSQJj0Z1yu9Ks6qkyJPkJA2LujGeHQS1WUipLL6PlVAGxpJ1hOnKmAE4vgQ0mMon&#10;0Mk2wlQaogGYXwL+GXFApKhgcQDXlQV/yUH5c4jc2ffVdzXH8rHdtlQ0ETzpe7SF8kit89BNdXBy&#10;VRG9axHwQXgaY2oJrSbe06ENNAWHk8TZDvyvS+/RnqaLtJw1tBYFt7S3nJlvlqbu8/jqKm5Rulx9&#10;+DShiz/XbM81dl/fADVkTL8AJ5MY7dH0ovZQP9H+LmNMUgkrKXLBsRdvsFtV2n+plstkRHvjBK7t&#10;xsnoOpIcR+exfRLeneYLaTTvoF8fMXs1Zp1tRAa33COsqjSDkeaO0xP9tHNphk7/h7jU5/dk9fIX&#10;W/wGAAD//wMAUEsDBBQABgAIAAAAIQDu75ah2wAAAAcBAAAPAAAAZHJzL2Rvd25yZXYueG1sTI9N&#10;T8MwDIbvSPyHyEjcWMo6QVvqTgMJODMmzlnjfrDGqZpsK/x6zAmO9vvq8eNyPbtBnWgKvWeE20UC&#10;irj2tucWYff+fJOBCtGwNYNnQviiAOvq8qI0hfVnfqPTNrZKIBwKg9DFOBZah7ojZ8LCj8SSNX5y&#10;Jso4tdpO5ixwN+hlktxpZ3qWC50Z6amj+rA9OoT04zVt7Nz0L6skDY+02eXfnwfE66t58wAq0hz/&#10;yvCrL+pQidPeH9kGNSDIIxFhleegJF1mmSz2gk7vc9BVqf/7Vz8AAAD//wMAUEsBAi0AFAAGAAgA&#10;AAAhALaDOJL+AAAA4QEAABMAAAAAAAAAAAAAAAAAAAAAAFtDb250ZW50X1R5cGVzXS54bWxQSwEC&#10;LQAUAAYACAAAACEAOP0h/9YAAACUAQAACwAAAAAAAAAAAAAAAAAvAQAAX3JlbHMvLnJlbHNQSwEC&#10;LQAUAAYACAAAACEATcU1OlwCAAANBQAADgAAAAAAAAAAAAAAAAAuAgAAZHJzL2Uyb0RvYy54bWxQ&#10;SwECLQAUAAYACAAAACEA7u+WodsAAAAHAQAADwAAAAAAAAAAAAAAAAC2BAAAZHJzL2Rvd25yZXYu&#10;eG1sUEsFBgAAAAAEAAQA8wAAAL4FAAAAAA==&#10;" w14:anchorId="5CAD6998">
                <v:textbox style="mso-fit-shape-to-text:t">
                  <w:txbxContent>
                    <w:p w:rsidRPr="0037070B" w:rsidR="008E3886" w:rsidP="008E3886" w:rsidRDefault="0037070B" w14:paraId="57F0525B" w14:textId="597E2A06">
                      <w:pPr>
                        <w:ind w:left="851"/>
                        <w:jc w:val="both"/>
                        <w:rPr>
                          <w:lang w:val="lv-LV"/>
                        </w:rPr>
                      </w:pPr>
                      <w:r w:rsidRPr="0037070B">
                        <w:rPr>
                          <w:lang w:val="lv-LV"/>
                        </w:rPr>
                        <w:t>Publiskie pakalpojumi tiek veidoti tā, lai iedzīvotājiem un uzņēmumiem būtu nepieciešams iesniegt informāciju tikai vienu reizi. Jebkura papildu informācija tiek pieprasīta tikai tad, ja tā nav pieejama citos avotos. Prasītā informācija tiek samazināta līdz minimumam, ņemot vērā nepieciešamību pēc efektivitātes un lietotāju ērtībām.</w:t>
                      </w:r>
                    </w:p>
                  </w:txbxContent>
                </v:textbox>
                <w10:wrap type="topAndBottom"/>
              </v:shape>
            </w:pict>
          </mc:Fallback>
        </mc:AlternateContent>
      </w:r>
      <w:r w:rsidR="008E3886" w:rsidRPr="00E2406D">
        <w:rPr>
          <w:rFonts w:ascii="Times New Roman" w:hAnsi="Times New Roman" w:cs="Times New Roman"/>
          <w:noProof/>
          <w:sz w:val="22"/>
          <w:szCs w:val="22"/>
          <w:lang w:val="lv-LV"/>
        </w:rPr>
        <w:drawing>
          <wp:anchor distT="0" distB="0" distL="114300" distR="114300" simplePos="0" relativeHeight="251658259" behindDoc="0" locked="0" layoutInCell="1" allowOverlap="1" wp14:anchorId="62B85D70" wp14:editId="55E5823B">
            <wp:simplePos x="0" y="0"/>
            <wp:positionH relativeFrom="margin">
              <wp:posOffset>88900</wp:posOffset>
            </wp:positionH>
            <wp:positionV relativeFrom="paragraph">
              <wp:posOffset>450850</wp:posOffset>
            </wp:positionV>
            <wp:extent cx="427990" cy="427990"/>
            <wp:effectExtent l="0" t="0" r="0" b="0"/>
            <wp:wrapSquare wrapText="bothSides"/>
            <wp:docPr id="50305883"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1B7BB2">
        <w:rPr>
          <w:lang w:val="lv-LV"/>
        </w:rPr>
        <w:t xml:space="preserve"> </w:t>
      </w:r>
      <w:r w:rsidR="001B7BB2" w:rsidRPr="001B7BB2">
        <w:rPr>
          <w:i/>
          <w:iCs/>
          <w:lang w:val="lv-LV"/>
        </w:rPr>
        <w:t>(</w:t>
      </w:r>
      <w:proofErr w:type="spellStart"/>
      <w:r w:rsidR="001B7BB2" w:rsidRPr="001B7BB2">
        <w:rPr>
          <w:i/>
          <w:iCs/>
          <w:lang w:val="lv-LV"/>
        </w:rPr>
        <w:t>Once</w:t>
      </w:r>
      <w:proofErr w:type="spellEnd"/>
      <w:r w:rsidR="001B7BB2" w:rsidRPr="001B7BB2">
        <w:rPr>
          <w:i/>
          <w:iCs/>
          <w:lang w:val="lv-LV"/>
        </w:rPr>
        <w:t xml:space="preserve"> </w:t>
      </w:r>
      <w:proofErr w:type="spellStart"/>
      <w:r w:rsidR="001B7BB2" w:rsidRPr="001B7BB2">
        <w:rPr>
          <w:i/>
          <w:iCs/>
          <w:lang w:val="lv-LV"/>
        </w:rPr>
        <w:t>Only</w:t>
      </w:r>
      <w:proofErr w:type="spellEnd"/>
      <w:r w:rsidR="001B7BB2" w:rsidRPr="001B7BB2">
        <w:rPr>
          <w:i/>
          <w:iCs/>
          <w:lang w:val="lv-LV"/>
        </w:rPr>
        <w:t>)</w:t>
      </w:r>
    </w:p>
    <w:p w14:paraId="2248D86F" w14:textId="77777777" w:rsidR="008E3886" w:rsidRDefault="008E3886" w:rsidP="008E3886">
      <w:pPr>
        <w:rPr>
          <w:lang w:val="lv-LV"/>
        </w:rPr>
      </w:pPr>
    </w:p>
    <w:p w14:paraId="11DD6108" w14:textId="77777777" w:rsidR="00502D87" w:rsidRPr="00AE17B5" w:rsidRDefault="00502D87" w:rsidP="00502D87">
      <w:pPr>
        <w:rPr>
          <w:lang w:val="lv-LV"/>
        </w:rPr>
      </w:pPr>
      <w:r w:rsidRPr="00AE17B5">
        <w:rPr>
          <w:lang w:val="lv-LV"/>
        </w:rPr>
        <w:t>Piemērošanas vadlīnijas:</w:t>
      </w:r>
    </w:p>
    <w:p w14:paraId="74E025C7" w14:textId="61DAB27C" w:rsidR="00502D87" w:rsidRDefault="00BC4349" w:rsidP="00EC5731">
      <w:pPr>
        <w:pStyle w:val="ListParagraph"/>
        <w:numPr>
          <w:ilvl w:val="0"/>
          <w:numId w:val="11"/>
        </w:numPr>
        <w:rPr>
          <w:lang w:val="lv-LV"/>
        </w:rPr>
      </w:pPr>
      <w:r>
        <w:rPr>
          <w:lang w:val="lv-LV"/>
        </w:rPr>
        <w:t>Nodrošiniet IKT r</w:t>
      </w:r>
      <w:r w:rsidRPr="00313B76">
        <w:rPr>
          <w:lang w:val="lv-LV"/>
        </w:rPr>
        <w:t>isinājumos iespēj</w:t>
      </w:r>
      <w:r>
        <w:rPr>
          <w:lang w:val="lv-LV"/>
        </w:rPr>
        <w:t>u</w:t>
      </w:r>
      <w:r w:rsidRPr="00313B76">
        <w:rPr>
          <w:lang w:val="lv-LV"/>
        </w:rPr>
        <w:t xml:space="preserve"> integrēt klientu datus no visām saistītām sistēmām</w:t>
      </w:r>
      <w:r w:rsidR="00EC5731">
        <w:rPr>
          <w:lang w:val="lv-LV"/>
        </w:rPr>
        <w:t xml:space="preserve">. </w:t>
      </w:r>
      <w:r w:rsidRPr="00EC5731">
        <w:rPr>
          <w:lang w:val="lv-LV"/>
        </w:rPr>
        <w:t>Valsts pārvaldes iestādes var, izmantot dažādās informācijas sistēmās apstrādātos datus neatkarīgi no to izmantotajām dažādajām datu iegūšanas metodēm (formātiem, semantikas un standartiem).</w:t>
      </w:r>
    </w:p>
    <w:p w14:paraId="38A8C727" w14:textId="48D46485" w:rsidR="00EC5731" w:rsidRPr="00EC5731" w:rsidRDefault="00EC5731" w:rsidP="00EC5731">
      <w:pPr>
        <w:pStyle w:val="ListParagraph"/>
        <w:numPr>
          <w:ilvl w:val="0"/>
          <w:numId w:val="11"/>
        </w:numPr>
        <w:rPr>
          <w:lang w:val="lv-LV"/>
        </w:rPr>
      </w:pPr>
      <w:r>
        <w:rPr>
          <w:lang w:val="lv-LV"/>
        </w:rPr>
        <w:t xml:space="preserve">Prasiet klientam tikai minimāli nepieciešamo informāciju. </w:t>
      </w:r>
    </w:p>
    <w:p w14:paraId="56163422" w14:textId="77777777" w:rsidR="00502D87" w:rsidRDefault="00502D87" w:rsidP="00502D87">
      <w:pPr>
        <w:rPr>
          <w:lang w:val="lv-LV"/>
        </w:rPr>
      </w:pPr>
      <w:r w:rsidRPr="00C20AD0">
        <w:rPr>
          <w:lang w:val="lv-LV"/>
        </w:rPr>
        <w:t>Novērtēšanas vadlīnijas:</w:t>
      </w:r>
    </w:p>
    <w:p w14:paraId="15E2AE47" w14:textId="52365B1A" w:rsidR="00744F60" w:rsidRPr="00C50134" w:rsidRDefault="00870468" w:rsidP="00744F60">
      <w:pPr>
        <w:pStyle w:val="ListParagraph"/>
        <w:numPr>
          <w:ilvl w:val="0"/>
          <w:numId w:val="28"/>
        </w:numPr>
        <w:rPr>
          <w:lang w:val="lv-LV"/>
        </w:rPr>
      </w:pPr>
      <w:r>
        <w:rPr>
          <w:lang w:val="lv-LV"/>
        </w:rPr>
        <w:t>SPK</w:t>
      </w:r>
      <w:r w:rsidR="00195E22">
        <w:rPr>
          <w:lang w:val="lv-LV"/>
        </w:rPr>
        <w:t>5</w:t>
      </w:r>
      <w:r>
        <w:rPr>
          <w:lang w:val="lv-LV"/>
        </w:rPr>
        <w:t xml:space="preserve">. </w:t>
      </w:r>
      <w:r w:rsidR="00744F60">
        <w:rPr>
          <w:lang w:val="lv-LV"/>
        </w:rPr>
        <w:t xml:space="preserve">Vai </w:t>
      </w:r>
      <w:proofErr w:type="spellStart"/>
      <w:r w:rsidR="00744F60">
        <w:rPr>
          <w:lang w:val="lv-LV"/>
        </w:rPr>
        <w:t>mērķ</w:t>
      </w:r>
      <w:r w:rsidR="00D8738F">
        <w:rPr>
          <w:lang w:val="lv-LV"/>
        </w:rPr>
        <w:t>arhitektūrā</w:t>
      </w:r>
      <w:proofErr w:type="spellEnd"/>
      <w:r w:rsidR="00D8738F">
        <w:rPr>
          <w:lang w:val="lv-LV"/>
        </w:rPr>
        <w:t xml:space="preserve"> tiek paredzēta </w:t>
      </w:r>
      <w:r w:rsidR="0019725C">
        <w:rPr>
          <w:lang w:val="lv-LV"/>
        </w:rPr>
        <w:t xml:space="preserve">klientu datu </w:t>
      </w:r>
      <w:proofErr w:type="spellStart"/>
      <w:r w:rsidR="0019725C" w:rsidRPr="0019725C">
        <w:t>integrē</w:t>
      </w:r>
      <w:r w:rsidR="0019725C">
        <w:t>šana</w:t>
      </w:r>
      <w:proofErr w:type="spellEnd"/>
      <w:r w:rsidR="0019725C" w:rsidRPr="0019725C">
        <w:t xml:space="preserve"> no </w:t>
      </w:r>
      <w:proofErr w:type="spellStart"/>
      <w:r w:rsidR="0019725C" w:rsidRPr="0019725C">
        <w:t>visām</w:t>
      </w:r>
      <w:proofErr w:type="spellEnd"/>
      <w:r w:rsidR="0019725C" w:rsidRPr="0019725C">
        <w:t xml:space="preserve"> </w:t>
      </w:r>
      <w:proofErr w:type="spellStart"/>
      <w:r w:rsidR="0019725C" w:rsidRPr="0019725C">
        <w:t>saistītajām</w:t>
      </w:r>
      <w:proofErr w:type="spellEnd"/>
      <w:r w:rsidR="0019725C" w:rsidRPr="0019725C">
        <w:t xml:space="preserve"> </w:t>
      </w:r>
      <w:proofErr w:type="spellStart"/>
      <w:r w:rsidR="0019725C" w:rsidRPr="0019725C">
        <w:t>sistēmām</w:t>
      </w:r>
      <w:proofErr w:type="spellEnd"/>
      <w:r w:rsidR="005B4BA9">
        <w:t xml:space="preserve">, </w:t>
      </w:r>
      <w:proofErr w:type="spellStart"/>
      <w:r w:rsidR="005B4BA9">
        <w:t>lai</w:t>
      </w:r>
      <w:proofErr w:type="spellEnd"/>
      <w:r w:rsidR="005B4BA9">
        <w:t xml:space="preserve"> </w:t>
      </w:r>
      <w:proofErr w:type="spellStart"/>
      <w:r w:rsidR="005B4BA9">
        <w:t>nodrošinātu</w:t>
      </w:r>
      <w:proofErr w:type="spellEnd"/>
      <w:r w:rsidR="005B4BA9">
        <w:t xml:space="preserve"> </w:t>
      </w:r>
      <w:proofErr w:type="spellStart"/>
      <w:r w:rsidR="005B4BA9">
        <w:t>vienreizes</w:t>
      </w:r>
      <w:proofErr w:type="spellEnd"/>
      <w:r w:rsidR="005B4BA9">
        <w:t xml:space="preserve"> </w:t>
      </w:r>
      <w:proofErr w:type="spellStart"/>
      <w:r w:rsidR="005B4BA9">
        <w:t>principu</w:t>
      </w:r>
      <w:proofErr w:type="spellEnd"/>
      <w:r w:rsidR="005B4BA9">
        <w:t>?</w:t>
      </w:r>
    </w:p>
    <w:p w14:paraId="798F848F" w14:textId="77777777" w:rsidR="00502D87" w:rsidRDefault="00502D87" w:rsidP="008E3886">
      <w:pPr>
        <w:rPr>
          <w:lang w:val="lv-LV"/>
        </w:rPr>
      </w:pPr>
    </w:p>
    <w:p w14:paraId="37C3CCC3" w14:textId="7B300352" w:rsidR="0037070B" w:rsidRPr="004929EC" w:rsidRDefault="00E24404" w:rsidP="00372307">
      <w:pPr>
        <w:pStyle w:val="Heading2"/>
        <w:rPr>
          <w:rStyle w:val="Heading4Char"/>
          <w:i w:val="0"/>
          <w:iCs w:val="0"/>
          <w:lang w:val="lv-LV"/>
        </w:rPr>
      </w:pPr>
      <w:r>
        <w:rPr>
          <w:lang w:val="lv-LV"/>
        </w:rPr>
        <w:lastRenderedPageBreak/>
        <w:t>SP</w:t>
      </w:r>
      <w:r w:rsidR="001B7BB2">
        <w:rPr>
          <w:lang w:val="lv-LV"/>
        </w:rPr>
        <w:t>3</w:t>
      </w:r>
      <w:r w:rsidRPr="001B7BB2">
        <w:rPr>
          <w:lang w:val="lv-LV"/>
        </w:rPr>
        <w:t xml:space="preserve">. Nodrošināt datu </w:t>
      </w:r>
      <w:r w:rsidR="007C10D6" w:rsidRPr="001B7BB2">
        <w:rPr>
          <w:lang w:val="lv-LV"/>
        </w:rPr>
        <w:t>suverenitāti</w:t>
      </w:r>
      <w:r w:rsidR="0037070B" w:rsidRPr="001B7BB2">
        <w:rPr>
          <w:noProof/>
          <w:lang w:val="lv-LV"/>
        </w:rPr>
        <mc:AlternateContent>
          <mc:Choice Requires="wps">
            <w:drawing>
              <wp:anchor distT="0" distB="0" distL="114300" distR="114300" simplePos="0" relativeHeight="251658260" behindDoc="0" locked="0" layoutInCell="1" allowOverlap="1" wp14:anchorId="6D931FFE" wp14:editId="403F343B">
                <wp:simplePos x="0" y="0"/>
                <wp:positionH relativeFrom="column">
                  <wp:posOffset>0</wp:posOffset>
                </wp:positionH>
                <wp:positionV relativeFrom="paragraph">
                  <wp:posOffset>316865</wp:posOffset>
                </wp:positionV>
                <wp:extent cx="1828800" cy="1828800"/>
                <wp:effectExtent l="0" t="0" r="8890" b="10795"/>
                <wp:wrapTopAndBottom/>
                <wp:docPr id="93275633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316CE5B" w14:textId="366607FC" w:rsidR="0037070B" w:rsidRPr="001B7BB2" w:rsidRDefault="00924AF5" w:rsidP="0037070B">
                            <w:pPr>
                              <w:ind w:left="851"/>
                              <w:jc w:val="both"/>
                              <w:rPr>
                                <w:lang w:val="lv-LV"/>
                              </w:rPr>
                            </w:pPr>
                            <w:r w:rsidRPr="001B7BB2">
                              <w:rPr>
                                <w:lang w:val="lv-LV"/>
                              </w:rPr>
                              <w:t>Datu suverenitāte nodrošina, ka dati tiek pārvaldīti un uzglabāti saskaņā ar normatīvajiem aktiem, vienlaikus respektējot indivīdu tiesības uz datu privātumu un kontroli. Šis princips veicina datu aizsardzību, drošību un uzticamību, kā arī nodrošina, ka dati tiek izmantoti atbilstoši nacionālajām interesēm un sabiedrības labklājībai.</w:t>
                            </w:r>
                          </w:p>
                          <w:p w14:paraId="67482986" w14:textId="4FA0183F" w:rsidR="001B7BB2" w:rsidRPr="001B7BB2" w:rsidRDefault="001B7BB2" w:rsidP="001B7BB2">
                            <w:pPr>
                              <w:ind w:left="851"/>
                              <w:jc w:val="both"/>
                              <w:rPr>
                                <w:b/>
                                <w:lang w:val="lv-LV"/>
                              </w:rPr>
                            </w:pPr>
                            <w:r w:rsidRPr="001B7BB2">
                              <w:rPr>
                                <w:lang w:val="lv-LV"/>
                              </w:rPr>
                              <w:t>Publiskajos pakalpojumos un IKT risinājumos</w:t>
                            </w:r>
                            <w:r w:rsidRPr="00746A4A">
                              <w:rPr>
                                <w:lang w:val="lv-LV"/>
                              </w:rPr>
                              <w:t xml:space="preserve"> apstrādātajiem datiem ir jābūt pareiziem un jāatbilst tos apliecinošiem dokumentiem un faktiem, kā arī citās informācijas sistēmās apstrādātajiem datiem. Dati tiek uzskatīti par precīziem, kamēr tie netiek apstrīdēti vai precizēti normatīvajos aktos.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0F3E073E">
              <v:shape id="_x0000_s1039" style="position:absolute;margin-left:0;margin-top:24.95pt;width:2in;height:2in;z-index:251658260;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KmWQIAAA0FAAAOAAAAZHJzL2Uyb0RvYy54bWysVE2P2jAQvVfqf7B8LwFKW4oIK8qKqhLa&#10;XZWt9mwcG6I6HsseSOiv79iBQLecql6csWfefL7J9K6pDDsoH0qwOR/0+pwpK6Eo7TbnP56X78ac&#10;BRS2EAasyvlRBX43e/tmWruJGsIOTKE8Iyc2TGqX8x2im2RZkDtVidADpywpNfhKIF39Niu8qMl7&#10;ZbJhv/8xq8EXzoNUIdDrfavks+RfayXxUeugkJmcU26YTp/OTTyz2VRMtl64XSlPaYh/yKISpaWg&#10;nat7gYLtffmXq6qUHgJo7EmoMtC6lCrVQNUM+q+qWe+EU6kWak5wXZvC/3MrHw5r9+QZNl+goQHG&#10;htQuTAI9xnoa7av4pUwZ6amFx65tqkEmI2g8HI/7pJKkO1/IT3aBOx/wq4KKRSHnnuaS2iUOq4Ct&#10;6dkkRjM2vl3ySBIejWqV35VmZUGRh8lJIotaGM8OgsYspFQW38dKKANjyTrCdGlMBxzcAhpM5RPo&#10;ZBthKpGoA/ZvAf+M2CFSVLDYgavSgr/loPjZRW7tz9W3Ncfysdk0VDQ1OFUWnzZQHGl0HlpWByeX&#10;JbV3JQI+CU80ppHQauIjHdpAnXM4SZztwP+69R7tiV2k5aymtci5pb3lzHyzxLrPg9EoblG6jD58&#10;GtLFX2s21xq7rxZAAxnQL8DJJEZ7NGdRe6heaH/nMSaphJUUOed4FhfYrirtv1TzeTKivXECV3bt&#10;ZHQdmxyp89y8CO9O/EKi5gOc10dMXtGstY3I4OZ7hGWZOHjp6an9tHOJQ6f/Q1zq63uyuvzFZr8B&#10;AAD//wMAUEsDBBQABgAIAAAAIQDu75ah2wAAAAcBAAAPAAAAZHJzL2Rvd25yZXYueG1sTI9NT8Mw&#10;DIbvSPyHyEjcWMo6QVvqTgMJODMmzlnjfrDGqZpsK/x6zAmO9vvq8eNyPbtBnWgKvWeE20UCirj2&#10;tucWYff+fJOBCtGwNYNnQviiAOvq8qI0hfVnfqPTNrZKIBwKg9DFOBZah7ojZ8LCj8SSNX5yJso4&#10;tdpO5ixwN+hlktxpZ3qWC50Z6amj+rA9OoT04zVt7Nz0L6skDY+02eXfnwfE66t58wAq0hz/yvCr&#10;L+pQidPeH9kGNSDIIxFhleegJF1mmSz2gk7vc9BVqf/7Vz8AAAD//wMAUEsBAi0AFAAGAAgAAAAh&#10;ALaDOJL+AAAA4QEAABMAAAAAAAAAAAAAAAAAAAAAAFtDb250ZW50X1R5cGVzXS54bWxQSwECLQAU&#10;AAYACAAAACEAOP0h/9YAAACUAQAACwAAAAAAAAAAAAAAAAAvAQAAX3JlbHMvLnJlbHNQSwECLQAU&#10;AAYACAAAACEAcWDSplkCAAANBQAADgAAAAAAAAAAAAAAAAAuAgAAZHJzL2Uyb0RvYy54bWxQSwEC&#10;LQAUAAYACAAAACEA7u+WodsAAAAHAQAADwAAAAAAAAAAAAAAAACzBAAAZHJzL2Rvd25yZXYueG1s&#10;UEsFBgAAAAAEAAQA8wAAALsFAAAAAA==&#10;" w14:anchorId="6D931FFE">
                <v:textbox style="mso-fit-shape-to-text:t">
                  <w:txbxContent>
                    <w:p w:rsidRPr="001B7BB2" w:rsidR="0037070B" w:rsidP="0037070B" w:rsidRDefault="00924AF5" w14:paraId="788ACAC2" w14:textId="366607FC">
                      <w:pPr>
                        <w:ind w:left="851"/>
                        <w:jc w:val="both"/>
                        <w:rPr>
                          <w:lang w:val="lv-LV"/>
                        </w:rPr>
                      </w:pPr>
                      <w:r w:rsidRPr="001B7BB2">
                        <w:rPr>
                          <w:lang w:val="lv-LV"/>
                        </w:rPr>
                        <w:t>Datu suverenitāte nodrošina, ka dati tiek pārvaldīti un uzglabāti saskaņā ar normatīvajiem aktiem, vienlaikus respektējot indivīdu tiesības uz datu privātumu un kontroli. Šis princips veicina datu aizsardzību, drošību un uzticamību, kā arī nodrošina, ka dati tiek izmantoti atbilstoši nacionālajām interesēm un sabiedrības labklājībai.</w:t>
                      </w:r>
                    </w:p>
                    <w:p w:rsidRPr="001B7BB2" w:rsidR="001B7BB2" w:rsidP="001B7BB2" w:rsidRDefault="001B7BB2" w14:paraId="315C2A60" w14:textId="4FA0183F">
                      <w:pPr>
                        <w:ind w:left="851"/>
                        <w:jc w:val="both"/>
                        <w:rPr>
                          <w:b/>
                          <w:lang w:val="lv-LV"/>
                        </w:rPr>
                      </w:pPr>
                      <w:r w:rsidRPr="001B7BB2">
                        <w:rPr>
                          <w:lang w:val="lv-LV"/>
                        </w:rPr>
                        <w:t>Publiskajos pakalpojumos un IKT risinājumos</w:t>
                      </w:r>
                      <w:r w:rsidRPr="00746A4A">
                        <w:rPr>
                          <w:lang w:val="lv-LV"/>
                        </w:rPr>
                        <w:t xml:space="preserve"> apstrādātajiem datiem ir jābūt pareiziem un jāatbilst tos apliecinošiem dokumentiem un faktiem, kā arī citās informācijas sistēmās apstrādātajiem datiem. Dati tiek uzskatīti par precīziem, kamēr tie netiek apstrīdēti vai precizēti normatīvajos aktos.</w:t>
                      </w:r>
                    </w:p>
                  </w:txbxContent>
                </v:textbox>
                <w10:wrap type="topAndBottom"/>
              </v:shape>
            </w:pict>
          </mc:Fallback>
        </mc:AlternateContent>
      </w:r>
      <w:r w:rsidR="0037070B" w:rsidRPr="001B7BB2">
        <w:rPr>
          <w:rFonts w:ascii="Times New Roman" w:hAnsi="Times New Roman" w:cs="Times New Roman"/>
          <w:noProof/>
          <w:sz w:val="22"/>
          <w:szCs w:val="22"/>
          <w:lang w:val="lv-LV"/>
        </w:rPr>
        <w:drawing>
          <wp:anchor distT="0" distB="0" distL="114300" distR="114300" simplePos="0" relativeHeight="251658261" behindDoc="0" locked="0" layoutInCell="1" allowOverlap="1" wp14:anchorId="53C39712" wp14:editId="11876D00">
            <wp:simplePos x="0" y="0"/>
            <wp:positionH relativeFrom="margin">
              <wp:posOffset>88900</wp:posOffset>
            </wp:positionH>
            <wp:positionV relativeFrom="paragraph">
              <wp:posOffset>450850</wp:posOffset>
            </wp:positionV>
            <wp:extent cx="427990" cy="427990"/>
            <wp:effectExtent l="0" t="0" r="0" b="0"/>
            <wp:wrapSquare wrapText="bothSides"/>
            <wp:docPr id="150406869"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E10798" w:rsidRPr="001B7BB2">
        <w:rPr>
          <w:lang w:val="lv-LV"/>
        </w:rPr>
        <w:t>,</w:t>
      </w:r>
      <w:r w:rsidR="00924AF5" w:rsidRPr="001B7BB2">
        <w:rPr>
          <w:lang w:val="lv-LV"/>
        </w:rPr>
        <w:t xml:space="preserve"> drošību</w:t>
      </w:r>
      <w:r w:rsidR="00E10798" w:rsidRPr="001B7BB2">
        <w:rPr>
          <w:lang w:val="lv-LV"/>
        </w:rPr>
        <w:t xml:space="preserve"> un uzticamību</w:t>
      </w:r>
    </w:p>
    <w:p w14:paraId="5DC9DB08" w14:textId="77777777" w:rsidR="0037070B" w:rsidRDefault="0037070B" w:rsidP="0037070B">
      <w:pPr>
        <w:rPr>
          <w:lang w:val="lv-LV"/>
        </w:rPr>
      </w:pPr>
    </w:p>
    <w:p w14:paraId="46E0B4A9" w14:textId="77777777" w:rsidR="00502D87" w:rsidRPr="006376F8" w:rsidRDefault="00502D87" w:rsidP="00502D87">
      <w:pPr>
        <w:rPr>
          <w:lang w:val="lv-LV"/>
        </w:rPr>
      </w:pPr>
      <w:r w:rsidRPr="006376F8">
        <w:rPr>
          <w:lang w:val="lv-LV"/>
        </w:rPr>
        <w:t>Piemērošanas vadlīnijas:</w:t>
      </w:r>
    </w:p>
    <w:p w14:paraId="1A19D0D8" w14:textId="24CDEB2A" w:rsidR="003F0F69" w:rsidRPr="006376F8" w:rsidRDefault="003F0F69" w:rsidP="00502D87">
      <w:pPr>
        <w:pStyle w:val="ListParagraph"/>
        <w:numPr>
          <w:ilvl w:val="0"/>
          <w:numId w:val="11"/>
        </w:numPr>
        <w:jc w:val="both"/>
        <w:rPr>
          <w:lang w:val="lv-LV"/>
        </w:rPr>
      </w:pPr>
      <w:r w:rsidRPr="006376F8">
        <w:rPr>
          <w:lang w:val="lv-LV"/>
        </w:rPr>
        <w:t xml:space="preserve">Nodrošiniet datu suverenitāti. </w:t>
      </w:r>
      <w:r w:rsidR="00C85E8A" w:rsidRPr="006376F8">
        <w:rPr>
          <w:lang w:val="lv-LV"/>
        </w:rPr>
        <w:t>Nodrošiniet, ka visi dati tiek apstrādāti un uzglabāti saskaņā ar spēkā esošajiem normatīvajiem aktiem, tostarp datu aizsardzības un privātuma regulējumu.</w:t>
      </w:r>
    </w:p>
    <w:p w14:paraId="357F9FB2" w14:textId="59151D81" w:rsidR="00502D87" w:rsidRPr="006376F8" w:rsidRDefault="00474EBE" w:rsidP="00502D87">
      <w:pPr>
        <w:pStyle w:val="ListParagraph"/>
        <w:numPr>
          <w:ilvl w:val="0"/>
          <w:numId w:val="11"/>
        </w:numPr>
        <w:jc w:val="both"/>
        <w:rPr>
          <w:lang w:val="lv-LV"/>
        </w:rPr>
      </w:pPr>
      <w:r w:rsidRPr="006376F8">
        <w:rPr>
          <w:lang w:val="lv-LV"/>
        </w:rPr>
        <w:t>Nodrošiniet datu uzticamību. Informācijas sistēmās apstrādātajiem datiem ir jābūt pareiziem un jāatbilst tos apliecinošiem dokumentiem un faktiem, kā arī citās informācijas sistēmās apstrādātajiem datiem. Dati tiek uzskatīti par precīziem, kamēr tie netiek apstrīdēti vai precizēti normatīvajos aktos</w:t>
      </w:r>
    </w:p>
    <w:p w14:paraId="121E98CA" w14:textId="6E8A88F5" w:rsidR="00474EBE" w:rsidRPr="006376F8" w:rsidRDefault="002C4625" w:rsidP="00502D87">
      <w:pPr>
        <w:pStyle w:val="ListParagraph"/>
        <w:numPr>
          <w:ilvl w:val="0"/>
          <w:numId w:val="11"/>
        </w:numPr>
        <w:jc w:val="both"/>
        <w:rPr>
          <w:lang w:val="lv-LV"/>
        </w:rPr>
      </w:pPr>
      <w:r w:rsidRPr="006376F8">
        <w:rPr>
          <w:lang w:val="lv-LV"/>
        </w:rPr>
        <w:t xml:space="preserve">Nodrošiniet datu drošību. </w:t>
      </w:r>
      <w:r w:rsidRPr="006376F8">
        <w:rPr>
          <w:rFonts w:cs="Times New Roman"/>
          <w:lang w:val="lv-LV"/>
        </w:rPr>
        <w:t>Jānodrošina, lai informācijas sistēmā apstrādātie dati ir pieejami apstrādei norādītajā laikā, aizsargāti no nejaušas vai nelikumīgas iznīcināšanas, nozaudēšanas, manipulācijām, izpaušanas bez atļaujas vai nelikumīgas piekļuves tiem.</w:t>
      </w:r>
    </w:p>
    <w:p w14:paraId="5AB76BA8" w14:textId="1483B00F" w:rsidR="00575CF8" w:rsidRPr="006376F8" w:rsidRDefault="00D401B8" w:rsidP="00502D87">
      <w:pPr>
        <w:pStyle w:val="ListParagraph"/>
        <w:numPr>
          <w:ilvl w:val="0"/>
          <w:numId w:val="11"/>
        </w:numPr>
        <w:rPr>
          <w:lang w:val="lv-LV"/>
        </w:rPr>
      </w:pPr>
      <w:r w:rsidRPr="006376F8">
        <w:rPr>
          <w:lang w:val="lv-LV"/>
        </w:rPr>
        <w:t>Sekundāro datu apstrādes rezultātā ar negatīvām sekām nedrīkst vērsties pret datu subjektu.</w:t>
      </w:r>
    </w:p>
    <w:p w14:paraId="39B3EEE6" w14:textId="77777777" w:rsidR="00502D87" w:rsidRDefault="00502D87" w:rsidP="0037070B">
      <w:pPr>
        <w:rPr>
          <w:lang w:val="lv-LV"/>
        </w:rPr>
      </w:pPr>
    </w:p>
    <w:p w14:paraId="77491EC8" w14:textId="1061D49A" w:rsidR="00924AF5" w:rsidRPr="00924AF5" w:rsidRDefault="00E24404" w:rsidP="00372307">
      <w:pPr>
        <w:pStyle w:val="Heading2"/>
      </w:pPr>
      <w:r>
        <w:rPr>
          <w:lang w:val="lv-LV"/>
        </w:rPr>
        <w:lastRenderedPageBreak/>
        <w:t>SP</w:t>
      </w:r>
      <w:r w:rsidR="001B7BB2">
        <w:rPr>
          <w:lang w:val="lv-LV"/>
        </w:rPr>
        <w:t>4</w:t>
      </w:r>
      <w:r>
        <w:rPr>
          <w:lang w:val="lv-LV"/>
        </w:rPr>
        <w:t xml:space="preserve">. </w:t>
      </w:r>
      <w:r>
        <w:t>D</w:t>
      </w:r>
      <w:r w:rsidRPr="00E24404">
        <w:t xml:space="preserve">ati </w:t>
      </w:r>
      <w:proofErr w:type="spellStart"/>
      <w:r w:rsidRPr="00E24404">
        <w:t>ir</w:t>
      </w:r>
      <w:proofErr w:type="spellEnd"/>
      <w:r w:rsidRPr="00E24404">
        <w:t xml:space="preserve"> </w:t>
      </w:r>
      <w:proofErr w:type="spellStart"/>
      <w:r w:rsidRPr="00E24404">
        <w:t>viegli</w:t>
      </w:r>
      <w:proofErr w:type="spellEnd"/>
      <w:r w:rsidRPr="00E24404">
        <w:t xml:space="preserve"> </w:t>
      </w:r>
      <w:proofErr w:type="spellStart"/>
      <w:r w:rsidRPr="00E24404">
        <w:t>atrodami</w:t>
      </w:r>
      <w:proofErr w:type="spellEnd"/>
      <w:r w:rsidRPr="00E24404">
        <w:t xml:space="preserve">, </w:t>
      </w:r>
      <w:proofErr w:type="spellStart"/>
      <w:r w:rsidRPr="00E24404">
        <w:t>pieejami</w:t>
      </w:r>
      <w:proofErr w:type="spellEnd"/>
      <w:r w:rsidRPr="00E24404">
        <w:t xml:space="preserve">, </w:t>
      </w:r>
      <w:proofErr w:type="spellStart"/>
      <w:r w:rsidRPr="00E24404">
        <w:t>savietojami</w:t>
      </w:r>
      <w:proofErr w:type="spellEnd"/>
      <w:r w:rsidRPr="00E24404">
        <w:t xml:space="preserve"> un </w:t>
      </w:r>
      <w:proofErr w:type="spellStart"/>
      <w:r w:rsidRPr="00E24404">
        <w:t>atkārtoti</w:t>
      </w:r>
      <w:proofErr w:type="spellEnd"/>
      <w:r w:rsidRPr="00E24404">
        <w:t xml:space="preserve"> </w:t>
      </w:r>
      <w:proofErr w:type="spellStart"/>
      <w:r w:rsidRPr="00E24404">
        <w:t>izmantojami</w:t>
      </w:r>
      <w:proofErr w:type="spellEnd"/>
      <w:r w:rsidRPr="00E24404">
        <w:t xml:space="preserve"> </w:t>
      </w:r>
      <w:r w:rsidR="00924AF5" w:rsidRPr="00E2406D">
        <w:rPr>
          <w:noProof/>
          <w:lang w:val="lv-LV"/>
        </w:rPr>
        <mc:AlternateContent>
          <mc:Choice Requires="wps">
            <w:drawing>
              <wp:anchor distT="0" distB="0" distL="114300" distR="114300" simplePos="0" relativeHeight="251658262" behindDoc="0" locked="0" layoutInCell="1" allowOverlap="1" wp14:anchorId="2117E9B7" wp14:editId="2D6DD405">
                <wp:simplePos x="0" y="0"/>
                <wp:positionH relativeFrom="column">
                  <wp:posOffset>0</wp:posOffset>
                </wp:positionH>
                <wp:positionV relativeFrom="paragraph">
                  <wp:posOffset>316865</wp:posOffset>
                </wp:positionV>
                <wp:extent cx="1828800" cy="1828800"/>
                <wp:effectExtent l="0" t="0" r="8890" b="10795"/>
                <wp:wrapTopAndBottom/>
                <wp:docPr id="1251517094"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B2ED471" w14:textId="180CE6CE" w:rsidR="00924AF5" w:rsidRPr="0024547E" w:rsidRDefault="00924AF5" w:rsidP="00924AF5">
                            <w:pPr>
                              <w:ind w:left="851"/>
                              <w:jc w:val="both"/>
                              <w:rPr>
                                <w:lang w:val="lv-LV"/>
                              </w:rPr>
                            </w:pPr>
                            <w:r w:rsidRPr="0024547E">
                              <w:rPr>
                                <w:lang w:val="lv-LV"/>
                              </w:rPr>
                              <w:t>Dati tiek pārvaldīti, ievērojot FAIR principus, lai nodrošinātu, ka tie ir viegli atrodami (Findable), pieejami (Accessible), savietojami (Interoperable) un atkārtoti izmantojami (Reusable). Šī pieeja veicina datu kvalitāti, efektīvu izmantošanu un sabiedrības labklājību, atbalstot atklātību un sadarbspēju starp dažādām valsts un starpvalstu sistēmām.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4E8B0376">
              <v:shape id="_x0000_s1040" style="position:absolute;margin-left:0;margin-top:24.95pt;width:2in;height:2in;z-index:251658262;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bGXAIAAA0FAAAOAAAAZHJzL2Uyb0RvYy54bWysVE1v2zAMvQ/YfxB0X51k2ZYZcYosRYcB&#10;RVusHXpWZCk2JouCxMbOfv0oOXa6LqdhF5kS+fjxSHp52TWG7ZUPNdiCTy8mnCkroaztruA/Hq/f&#10;LTgLKGwpDFhV8IMK/HL19s2ydbmaQQWmVJ6RExvy1hW8QnR5lgVZqUaEC3DKklKDbwTS1e+y0ouW&#10;vDcmm00mH7MWfOk8SBUCvV71Sr5K/rVWEu+0DgqZKTjlhun06dzGM1stRb7zwlW1PKYh/iGLRtSW&#10;go6urgQK9uzrv1w1tfQQQOOFhCYDrWupUg1UzXTyqpqHSjiVaiFyghtpCv/PrbzdP7h7z7D7Ah01&#10;MBLSupAHeoz1dNo38UuZMtIThYeRNtUhkxG0mC0WE1JJ0g0X8pOd4M4H/KqgYVEouKe+JLrE/iZg&#10;bzqYxGjGxrdTHknCg1G98rvSrC4p8iw5ScOiNsazvaA2CymVxfexEsrAWLKOMF0bMwKn54AGU/kE&#10;OtpGmEpDNAIn54B/RhwRKSpYHMFNbcGfc1D+HCP39kP1fc2xfOy2HRVNBM+HHm2hPFDrPPRTHZy8&#10;roneGxHwXngaY2oJrSbe0aENtAWHo8RZBf7XufdoT9NFWs5aWouCW9pbzsw3S1P3eTqfxy1Kl/mH&#10;TzO6+Jea7UuNfW42QA2Z0i/AySRGezSDqD00T7S/6xiTVMJKilxwHMQN9qtK+y/Vep2MaG+cwBv7&#10;4GR0HUmOo/PYPQnvjvOFNJq3MKyPyF+NWW8bkcGtnxGu6zSDkeae0yP9tHNpho7/h7jUL+/J6vQX&#10;W/0GAAD//wMAUEsDBBQABgAIAAAAIQDu75ah2wAAAAcBAAAPAAAAZHJzL2Rvd25yZXYueG1sTI9N&#10;T8MwDIbvSPyHyEjcWMo6QVvqTgMJODMmzlnjfrDGqZpsK/x6zAmO9vvq8eNyPbtBnWgKvWeE20UC&#10;irj2tucWYff+fJOBCtGwNYNnQviiAOvq8qI0hfVnfqPTNrZKIBwKg9DFOBZah7ojZ8LCj8SSNX5y&#10;Jso4tdpO5ixwN+hlktxpZ3qWC50Z6amj+rA9OoT04zVt7Nz0L6skDY+02eXfnwfE66t58wAq0hz/&#10;yvCrL+pQidPeH9kGNSDIIxFhleegJF1mmSz2gk7vc9BVqf/7Vz8AAAD//wMAUEsBAi0AFAAGAAgA&#10;AAAhALaDOJL+AAAA4QEAABMAAAAAAAAAAAAAAAAAAAAAAFtDb250ZW50X1R5cGVzXS54bWxQSwEC&#10;LQAUAAYACAAAACEAOP0h/9YAAACUAQAACwAAAAAAAAAAAAAAAAAvAQAAX3JlbHMvLnJlbHNQSwEC&#10;LQAUAAYACAAAACEARxeGxlwCAAANBQAADgAAAAAAAAAAAAAAAAAuAgAAZHJzL2Uyb0RvYy54bWxQ&#10;SwECLQAUAAYACAAAACEA7u+WodsAAAAHAQAADwAAAAAAAAAAAAAAAAC2BAAAZHJzL2Rvd25yZXYu&#10;eG1sUEsFBgAAAAAEAAQA8wAAAL4FAAAAAA==&#10;" w14:anchorId="2117E9B7">
                <v:textbox style="mso-fit-shape-to-text:t">
                  <w:txbxContent>
                    <w:p w:rsidRPr="0024547E" w:rsidR="00924AF5" w:rsidP="00924AF5" w:rsidRDefault="00924AF5" w14:paraId="579E6C47" w14:textId="180CE6CE">
                      <w:pPr>
                        <w:ind w:left="851"/>
                        <w:jc w:val="both"/>
                        <w:rPr>
                          <w:lang w:val="lv-LV"/>
                        </w:rPr>
                      </w:pPr>
                      <w:r w:rsidRPr="0024547E">
                        <w:rPr>
                          <w:lang w:val="lv-LV"/>
                        </w:rPr>
                        <w:t>Dati tiek pārvaldīti, ievērojot FAIR principus, lai nodrošinātu, ka tie ir viegli atrodami (</w:t>
                      </w:r>
                      <w:r w:rsidRPr="0024547E">
                        <w:rPr>
                          <w:lang w:val="lv-LV"/>
                        </w:rPr>
                        <w:t>Findable), pieejami (Accessible), savietojami (Interoperable) un atkārtoti izmantojami (Reusable). Šī pieeja veicina datu kvalitāti, efektīvu izmantošanu un sabiedrības labklājību, atbalstot atklātību un sadarbspēju starp dažādām valsts un starpvalstu sistēmām.</w:t>
                      </w:r>
                    </w:p>
                  </w:txbxContent>
                </v:textbox>
                <w10:wrap type="topAndBottom"/>
              </v:shape>
            </w:pict>
          </mc:Fallback>
        </mc:AlternateContent>
      </w:r>
      <w:r w:rsidR="00924AF5" w:rsidRPr="00E2406D">
        <w:rPr>
          <w:rFonts w:ascii="Times New Roman" w:hAnsi="Times New Roman" w:cs="Times New Roman"/>
          <w:noProof/>
          <w:sz w:val="22"/>
          <w:szCs w:val="22"/>
          <w:lang w:val="lv-LV"/>
        </w:rPr>
        <w:drawing>
          <wp:anchor distT="0" distB="0" distL="114300" distR="114300" simplePos="0" relativeHeight="251658263" behindDoc="0" locked="0" layoutInCell="1" allowOverlap="1" wp14:anchorId="696B82AE" wp14:editId="5C813642">
            <wp:simplePos x="0" y="0"/>
            <wp:positionH relativeFrom="margin">
              <wp:posOffset>88900</wp:posOffset>
            </wp:positionH>
            <wp:positionV relativeFrom="paragraph">
              <wp:posOffset>450850</wp:posOffset>
            </wp:positionV>
            <wp:extent cx="427990" cy="427990"/>
            <wp:effectExtent l="0" t="0" r="0" b="0"/>
            <wp:wrapSquare wrapText="bothSides"/>
            <wp:docPr id="728143389"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p>
    <w:p w14:paraId="7D3DBDCC" w14:textId="77777777" w:rsidR="005A0493" w:rsidRDefault="005A0493" w:rsidP="001B7BB2">
      <w:pPr>
        <w:rPr>
          <w:lang w:val="lv-LV"/>
        </w:rPr>
      </w:pPr>
    </w:p>
    <w:p w14:paraId="11168730" w14:textId="77777777" w:rsidR="00502D87" w:rsidRPr="00AE17B5" w:rsidRDefault="00502D87" w:rsidP="00502D87">
      <w:pPr>
        <w:rPr>
          <w:lang w:val="lv-LV"/>
        </w:rPr>
      </w:pPr>
      <w:r w:rsidRPr="00AE17B5">
        <w:rPr>
          <w:lang w:val="lv-LV"/>
        </w:rPr>
        <w:t>Piemērošanas vadlīnijas:</w:t>
      </w:r>
    </w:p>
    <w:p w14:paraId="284D0438" w14:textId="41E7D52F" w:rsidR="00502D87" w:rsidRPr="007B2A8E" w:rsidRDefault="00B257E2" w:rsidP="007B2A8E">
      <w:pPr>
        <w:pStyle w:val="ListParagraph"/>
        <w:numPr>
          <w:ilvl w:val="0"/>
          <w:numId w:val="11"/>
        </w:numPr>
        <w:rPr>
          <w:lang w:val="lv-LV"/>
        </w:rPr>
      </w:pPr>
      <w:r w:rsidRPr="00EC2916">
        <w:rPr>
          <w:lang w:val="lv-LV"/>
        </w:rPr>
        <w:t xml:space="preserve">Nodrošiniet, ka dati ir atrodami. </w:t>
      </w:r>
      <w:r w:rsidR="007B2A8E" w:rsidRPr="00B75E4C">
        <w:rPr>
          <w:lang w:val="lv-LV"/>
        </w:rPr>
        <w:t>Valsts pārvaldes iestādēm jānodrošina</w:t>
      </w:r>
      <w:r w:rsidR="007B2A8E" w:rsidRPr="00B75E4C">
        <w:rPr>
          <w:b/>
          <w:lang w:val="lv-LV"/>
        </w:rPr>
        <w:t xml:space="preserve"> </w:t>
      </w:r>
      <w:r w:rsidR="007B2A8E" w:rsidRPr="00B75E4C">
        <w:rPr>
          <w:lang w:val="lv-LV"/>
        </w:rPr>
        <w:t xml:space="preserve">augsta datu kvalitāte, datiem jābūt aprakstītiem, tādā veidā, lai tos būtu viegli interpretēt un </w:t>
      </w:r>
      <w:proofErr w:type="spellStart"/>
      <w:r w:rsidR="007B2A8E" w:rsidRPr="00B75E4C">
        <w:rPr>
          <w:lang w:val="lv-LV"/>
        </w:rPr>
        <w:t>pārizmantot</w:t>
      </w:r>
      <w:proofErr w:type="spellEnd"/>
      <w:r w:rsidR="007B2A8E" w:rsidRPr="00B75E4C">
        <w:rPr>
          <w:lang w:val="lv-LV"/>
        </w:rPr>
        <w:t xml:space="preserve"> (jābūt pievienotiem metadatiem</w:t>
      </w:r>
      <w:r w:rsidR="007B2A8E">
        <w:rPr>
          <w:lang w:val="lv-LV"/>
        </w:rPr>
        <w:t>)</w:t>
      </w:r>
      <w:r w:rsidR="007B2A8E" w:rsidRPr="00B75E4C">
        <w:rPr>
          <w:lang w:val="lv-LV"/>
        </w:rPr>
        <w:t>. Datu kvalitātes nodrošināšana ir nepārtraukts process un attiecināms uz visiem datiem, gan vēsturiskajiem, gan jauniem.</w:t>
      </w:r>
      <w:r w:rsidR="003467CA">
        <w:rPr>
          <w:lang w:val="lv-LV"/>
        </w:rPr>
        <w:t xml:space="preserve"> </w:t>
      </w:r>
    </w:p>
    <w:p w14:paraId="1D545445" w14:textId="39178964" w:rsidR="00B257E2" w:rsidRPr="00EC2916" w:rsidRDefault="00240117" w:rsidP="00240117">
      <w:pPr>
        <w:pStyle w:val="ListParagraph"/>
        <w:numPr>
          <w:ilvl w:val="0"/>
          <w:numId w:val="11"/>
        </w:numPr>
        <w:jc w:val="both"/>
        <w:rPr>
          <w:lang w:val="lv-LV"/>
        </w:rPr>
      </w:pPr>
      <w:r w:rsidRPr="00EC2916">
        <w:rPr>
          <w:lang w:val="lv-LV"/>
        </w:rPr>
        <w:t>Nodrošiniet, ka dati ir pieejami. Nodrošiniet piekļuvi datiem, izmantojot drošus un standartizētus protokolus. Skaidri norādiet nosacījumus datu lietošanai un pieejamībai.</w:t>
      </w:r>
    </w:p>
    <w:p w14:paraId="7FFE1904" w14:textId="6CADB325" w:rsidR="00240117" w:rsidRPr="00EC2916" w:rsidRDefault="00240117" w:rsidP="00240117">
      <w:pPr>
        <w:pStyle w:val="ListParagraph"/>
        <w:numPr>
          <w:ilvl w:val="0"/>
          <w:numId w:val="11"/>
        </w:numPr>
        <w:jc w:val="both"/>
        <w:rPr>
          <w:lang w:val="lv-LV"/>
        </w:rPr>
      </w:pPr>
      <w:r w:rsidRPr="00EC2916">
        <w:rPr>
          <w:lang w:val="lv-LV"/>
        </w:rPr>
        <w:t xml:space="preserve">Nodrošiniet, ka dati ir savietojami. Izmantojiet atvērtus un standartizētus datu formātus. </w:t>
      </w:r>
      <w:r w:rsidR="006466AF" w:rsidRPr="00A1737F">
        <w:rPr>
          <w:lang w:val="lv-LV"/>
        </w:rPr>
        <w:t>Nepieciešams nodrošināt datu saskaņotību un salīdzināmību, izmantojot vienotus klasifikatorus un identifikatorus</w:t>
      </w:r>
      <w:r w:rsidR="001D1049">
        <w:rPr>
          <w:lang w:val="lv-LV"/>
        </w:rPr>
        <w:t xml:space="preserve">. </w:t>
      </w:r>
      <w:r w:rsidR="001D1049" w:rsidRPr="00A1737F">
        <w:rPr>
          <w:lang w:val="lv-LV"/>
        </w:rPr>
        <w:t xml:space="preserve">Nepieciešams  apzināt ārējās </w:t>
      </w:r>
      <w:proofErr w:type="spellStart"/>
      <w:r w:rsidR="001D1049" w:rsidRPr="00A1737F">
        <w:rPr>
          <w:lang w:val="lv-LV"/>
        </w:rPr>
        <w:t>saskanes</w:t>
      </w:r>
      <w:proofErr w:type="spellEnd"/>
      <w:r w:rsidR="001D1049" w:rsidRPr="00A1737F">
        <w:rPr>
          <w:lang w:val="lv-LV"/>
        </w:rPr>
        <w:t xml:space="preserve"> un kontrolētai datu apritei izmantojamos tehniskos risinājumus</w:t>
      </w:r>
      <w:r w:rsidR="001D1049">
        <w:rPr>
          <w:lang w:val="lv-LV"/>
        </w:rPr>
        <w:t>.</w:t>
      </w:r>
    </w:p>
    <w:p w14:paraId="5B25F2F6" w14:textId="15608F65" w:rsidR="0015165F" w:rsidRPr="00CC68D7" w:rsidRDefault="00EC2916" w:rsidP="0015165F">
      <w:pPr>
        <w:pStyle w:val="ListParagraph"/>
        <w:numPr>
          <w:ilvl w:val="0"/>
          <w:numId w:val="11"/>
        </w:numPr>
        <w:jc w:val="both"/>
        <w:rPr>
          <w:lang w:val="lv-LV"/>
        </w:rPr>
      </w:pPr>
      <w:r w:rsidRPr="00EC2916">
        <w:rPr>
          <w:lang w:val="lv-LV"/>
        </w:rPr>
        <w:t>Nodrošiniet, ka dati ir atkārtoti izmantojami. Dokumentējiet datus ar skaidrām licencēm un uzturiet tos aktuālus. Veiciet regulāru kvalitātes pārbaudi, lai veicinātu to ilgtermiņa izmantošanu.</w:t>
      </w:r>
    </w:p>
    <w:p w14:paraId="2DA7B2A2" w14:textId="77777777" w:rsidR="00502D87" w:rsidRDefault="00502D87" w:rsidP="00502D87">
      <w:pPr>
        <w:rPr>
          <w:lang w:val="lv-LV"/>
        </w:rPr>
      </w:pPr>
      <w:r w:rsidRPr="00C20AD0">
        <w:rPr>
          <w:lang w:val="lv-LV"/>
        </w:rPr>
        <w:t>Novērtēšanas vadlīnijas:</w:t>
      </w:r>
    </w:p>
    <w:p w14:paraId="02B19BEF" w14:textId="001B3981" w:rsidR="00F61BB8" w:rsidRPr="002B1506" w:rsidRDefault="002A2BE0" w:rsidP="00F61BB8">
      <w:pPr>
        <w:pStyle w:val="ListParagraph"/>
        <w:numPr>
          <w:ilvl w:val="0"/>
          <w:numId w:val="35"/>
        </w:numPr>
        <w:rPr>
          <w:lang w:val="lv-LV"/>
        </w:rPr>
      </w:pPr>
      <w:r w:rsidRPr="002B1506">
        <w:rPr>
          <w:lang w:val="lv-LV"/>
        </w:rPr>
        <w:t>SPK</w:t>
      </w:r>
      <w:r w:rsidR="00195E22">
        <w:rPr>
          <w:lang w:val="lv-LV"/>
        </w:rPr>
        <w:t>7</w:t>
      </w:r>
      <w:r w:rsidRPr="002B1506">
        <w:rPr>
          <w:lang w:val="lv-LV"/>
        </w:rPr>
        <w:t xml:space="preserve">. </w:t>
      </w:r>
      <w:r w:rsidR="000C201B" w:rsidRPr="000C201B">
        <w:rPr>
          <w:lang w:val="lv-LV"/>
        </w:rPr>
        <w:t xml:space="preserve">Vai </w:t>
      </w:r>
      <w:proofErr w:type="spellStart"/>
      <w:r w:rsidR="000C201B" w:rsidRPr="000C201B">
        <w:rPr>
          <w:lang w:val="lv-LV"/>
        </w:rPr>
        <w:t>mērķarhitektūrā</w:t>
      </w:r>
      <w:proofErr w:type="spellEnd"/>
      <w:r w:rsidR="000C201B" w:rsidRPr="000C201B">
        <w:rPr>
          <w:lang w:val="lv-LV"/>
        </w:rPr>
        <w:t xml:space="preserve"> radītajiem un apstrādātajiem datiem ir paredzēts pievienot metadatus, kas tos padara viegli interpretējamus un </w:t>
      </w:r>
      <w:proofErr w:type="spellStart"/>
      <w:r w:rsidR="000C201B" w:rsidRPr="000C201B">
        <w:rPr>
          <w:lang w:val="lv-LV"/>
        </w:rPr>
        <w:t>pārizmantojamus</w:t>
      </w:r>
      <w:proofErr w:type="spellEnd"/>
      <w:r w:rsidR="000C201B" w:rsidRPr="000C201B">
        <w:rPr>
          <w:lang w:val="lv-LV"/>
        </w:rPr>
        <w:t>?</w:t>
      </w:r>
    </w:p>
    <w:p w14:paraId="7D9B38C8" w14:textId="64E55F0E" w:rsidR="00D31A14" w:rsidRDefault="002A2BE0" w:rsidP="001C4F27">
      <w:pPr>
        <w:pStyle w:val="ListParagraph"/>
        <w:numPr>
          <w:ilvl w:val="0"/>
          <w:numId w:val="35"/>
        </w:numPr>
        <w:rPr>
          <w:lang w:val="lv-LV"/>
        </w:rPr>
      </w:pPr>
      <w:r w:rsidRPr="00D31A14">
        <w:rPr>
          <w:lang w:val="lv-LV"/>
        </w:rPr>
        <w:t>SPK</w:t>
      </w:r>
      <w:r w:rsidR="00195E22">
        <w:rPr>
          <w:lang w:val="lv-LV"/>
        </w:rPr>
        <w:t>8</w:t>
      </w:r>
      <w:r w:rsidRPr="00D31A14">
        <w:rPr>
          <w:lang w:val="lv-LV"/>
        </w:rPr>
        <w:t xml:space="preserve">. </w:t>
      </w:r>
      <w:r w:rsidR="00D31A14" w:rsidRPr="00D31A14">
        <w:rPr>
          <w:lang w:val="lv-LV"/>
        </w:rPr>
        <w:t xml:space="preserve">Vai </w:t>
      </w:r>
      <w:proofErr w:type="spellStart"/>
      <w:r w:rsidR="00D31A14" w:rsidRPr="00D31A14">
        <w:rPr>
          <w:lang w:val="lv-LV"/>
        </w:rPr>
        <w:t>mērķarhitektūrā</w:t>
      </w:r>
      <w:proofErr w:type="spellEnd"/>
      <w:r w:rsidR="00D31A14" w:rsidRPr="00D31A14">
        <w:rPr>
          <w:lang w:val="lv-LV"/>
        </w:rPr>
        <w:t xml:space="preserve"> </w:t>
      </w:r>
      <w:proofErr w:type="spellStart"/>
      <w:r w:rsidR="00D31A14" w:rsidRPr="00D31A14">
        <w:rPr>
          <w:lang w:val="lv-LV"/>
        </w:rPr>
        <w:t>piekļvi</w:t>
      </w:r>
      <w:proofErr w:type="spellEnd"/>
      <w:r w:rsidR="00D31A14" w:rsidRPr="00D31A14">
        <w:rPr>
          <w:lang w:val="lv-LV"/>
        </w:rPr>
        <w:t xml:space="preserve"> jomas datiem ir </w:t>
      </w:r>
      <w:proofErr w:type="spellStart"/>
      <w:r w:rsidR="00D31A14" w:rsidRPr="00D31A14">
        <w:rPr>
          <w:lang w:val="lv-LV"/>
        </w:rPr>
        <w:t>ir</w:t>
      </w:r>
      <w:proofErr w:type="spellEnd"/>
      <w:r w:rsidR="00D31A14" w:rsidRPr="00D31A14">
        <w:rPr>
          <w:lang w:val="lv-LV"/>
        </w:rPr>
        <w:t xml:space="preserve"> paredzēts nodrošināt, izmantojot drošus un standartizētus protokolus (piemēram, HTTPS, API)?</w:t>
      </w:r>
    </w:p>
    <w:p w14:paraId="3D8D25F5" w14:textId="066F046D" w:rsidR="001A291D" w:rsidRPr="00D31A14" w:rsidRDefault="002A2BE0" w:rsidP="001C4F27">
      <w:pPr>
        <w:pStyle w:val="ListParagraph"/>
        <w:numPr>
          <w:ilvl w:val="0"/>
          <w:numId w:val="35"/>
        </w:numPr>
        <w:rPr>
          <w:lang w:val="lv-LV"/>
        </w:rPr>
      </w:pPr>
      <w:r w:rsidRPr="00D31A14">
        <w:rPr>
          <w:lang w:val="lv-LV"/>
        </w:rPr>
        <w:t>SPK</w:t>
      </w:r>
      <w:r w:rsidR="00195E22">
        <w:rPr>
          <w:lang w:val="lv-LV"/>
        </w:rPr>
        <w:t>9</w:t>
      </w:r>
      <w:r w:rsidRPr="00D31A14">
        <w:rPr>
          <w:lang w:val="lv-LV"/>
        </w:rPr>
        <w:t xml:space="preserve">. </w:t>
      </w:r>
      <w:r w:rsidR="001A291D" w:rsidRPr="001A291D">
        <w:rPr>
          <w:lang w:val="lv-LV"/>
        </w:rPr>
        <w:t xml:space="preserve">Vai </w:t>
      </w:r>
      <w:proofErr w:type="spellStart"/>
      <w:r w:rsidR="00D31A14">
        <w:rPr>
          <w:lang w:val="lv-LV"/>
        </w:rPr>
        <w:t>mērķarhitektūrā</w:t>
      </w:r>
      <w:proofErr w:type="spellEnd"/>
      <w:r w:rsidR="00D31A14">
        <w:rPr>
          <w:lang w:val="lv-LV"/>
        </w:rPr>
        <w:t xml:space="preserve"> radītos vai ap</w:t>
      </w:r>
      <w:r w:rsidR="007A4DE5">
        <w:rPr>
          <w:lang w:val="lv-LV"/>
        </w:rPr>
        <w:t xml:space="preserve">strādātos </w:t>
      </w:r>
      <w:r w:rsidR="007A4DE5" w:rsidRPr="001A291D">
        <w:rPr>
          <w:lang w:val="lv-LV"/>
        </w:rPr>
        <w:t>datu</w:t>
      </w:r>
      <w:r w:rsidR="007A4DE5">
        <w:rPr>
          <w:lang w:val="lv-LV"/>
        </w:rPr>
        <w:t>s paredzēts</w:t>
      </w:r>
      <w:r w:rsidR="001A291D" w:rsidRPr="001A291D">
        <w:rPr>
          <w:lang w:val="lv-LV"/>
        </w:rPr>
        <w:t xml:space="preserve"> uzglabāt atvērtos un standartizētos formātos?</w:t>
      </w:r>
    </w:p>
    <w:p w14:paraId="6AA57B15" w14:textId="45EA32BA" w:rsidR="001A291D" w:rsidRPr="002B1506" w:rsidRDefault="002A2BE0" w:rsidP="001A291D">
      <w:pPr>
        <w:pStyle w:val="ListParagraph"/>
        <w:numPr>
          <w:ilvl w:val="0"/>
          <w:numId w:val="35"/>
        </w:numPr>
        <w:rPr>
          <w:lang w:val="lv-LV"/>
        </w:rPr>
      </w:pPr>
      <w:r w:rsidRPr="002B1506">
        <w:rPr>
          <w:lang w:val="lv-LV"/>
        </w:rPr>
        <w:t>SPK1</w:t>
      </w:r>
      <w:r w:rsidR="00195E22">
        <w:rPr>
          <w:lang w:val="lv-LV"/>
        </w:rPr>
        <w:t>0</w:t>
      </w:r>
      <w:r w:rsidRPr="002B1506">
        <w:rPr>
          <w:lang w:val="lv-LV"/>
        </w:rPr>
        <w:t xml:space="preserve">. </w:t>
      </w:r>
      <w:r w:rsidR="001A291D" w:rsidRPr="002B1506">
        <w:rPr>
          <w:lang w:val="lv-LV"/>
        </w:rPr>
        <w:t xml:space="preserve">Vai </w:t>
      </w:r>
      <w:r w:rsidR="007B211D">
        <w:rPr>
          <w:lang w:val="lv-LV"/>
        </w:rPr>
        <w:t xml:space="preserve">paredzēts </w:t>
      </w:r>
      <w:r w:rsidR="001A291D" w:rsidRPr="002B1506">
        <w:rPr>
          <w:lang w:val="lv-LV"/>
        </w:rPr>
        <w:t>nodrošināt</w:t>
      </w:r>
      <w:r w:rsidR="007B211D">
        <w:rPr>
          <w:lang w:val="lv-LV"/>
        </w:rPr>
        <w:t xml:space="preserve"> </w:t>
      </w:r>
      <w:proofErr w:type="spellStart"/>
      <w:r w:rsidR="007B211D">
        <w:rPr>
          <w:lang w:val="lv-LV"/>
        </w:rPr>
        <w:t>mērķarhitektūrā</w:t>
      </w:r>
      <w:proofErr w:type="spellEnd"/>
      <w:r w:rsidR="007B211D">
        <w:rPr>
          <w:lang w:val="lv-LV"/>
        </w:rPr>
        <w:t xml:space="preserve"> radīto vai apstrādāto</w:t>
      </w:r>
      <w:r w:rsidR="001A291D" w:rsidRPr="002B1506">
        <w:rPr>
          <w:lang w:val="lv-LV"/>
        </w:rPr>
        <w:t xml:space="preserve"> datu saskaņotīb</w:t>
      </w:r>
      <w:r w:rsidR="007B211D">
        <w:rPr>
          <w:lang w:val="lv-LV"/>
        </w:rPr>
        <w:t>u</w:t>
      </w:r>
      <w:r w:rsidR="001A291D" w:rsidRPr="002B1506">
        <w:rPr>
          <w:lang w:val="lv-LV"/>
        </w:rPr>
        <w:t xml:space="preserve"> un salīdzināmīb</w:t>
      </w:r>
      <w:r w:rsidR="007B211D">
        <w:rPr>
          <w:lang w:val="lv-LV"/>
        </w:rPr>
        <w:t>u</w:t>
      </w:r>
      <w:r w:rsidR="001A291D" w:rsidRPr="002B1506">
        <w:rPr>
          <w:lang w:val="lv-LV"/>
        </w:rPr>
        <w:t>, izmantojot vienotus klasifikatorus un identifikatorus?</w:t>
      </w:r>
    </w:p>
    <w:p w14:paraId="66E44806" w14:textId="447EA630" w:rsidR="00137A2C" w:rsidRDefault="00696C36" w:rsidP="00D5520A">
      <w:pPr>
        <w:pStyle w:val="Heading1"/>
        <w:numPr>
          <w:ilvl w:val="0"/>
          <w:numId w:val="4"/>
        </w:numPr>
        <w:rPr>
          <w:lang w:val="lv-LV"/>
        </w:rPr>
      </w:pPr>
      <w:r>
        <w:rPr>
          <w:lang w:val="lv-LV"/>
        </w:rPr>
        <w:lastRenderedPageBreak/>
        <w:t xml:space="preserve">Tehniskie </w:t>
      </w:r>
      <w:r w:rsidR="00137A2C">
        <w:rPr>
          <w:lang w:val="lv-LV"/>
        </w:rPr>
        <w:t>principi</w:t>
      </w:r>
    </w:p>
    <w:p w14:paraId="24C06E53" w14:textId="7BEA758B" w:rsidR="00992610" w:rsidRPr="00E40818" w:rsidRDefault="00992610" w:rsidP="00372307">
      <w:pPr>
        <w:pStyle w:val="Heading2"/>
        <w:rPr>
          <w:rStyle w:val="Heading4Char"/>
          <w:i w:val="0"/>
          <w:iCs w:val="0"/>
          <w:lang w:val="lv-LV"/>
        </w:rPr>
      </w:pPr>
      <w:r>
        <w:rPr>
          <w:lang w:val="lv-LV"/>
        </w:rPr>
        <w:t xml:space="preserve">TP1. </w:t>
      </w:r>
      <w:r w:rsidRPr="00E2406D">
        <w:rPr>
          <w:noProof/>
          <w:lang w:val="lv-LV"/>
        </w:rPr>
        <mc:AlternateContent>
          <mc:Choice Requires="wps">
            <w:drawing>
              <wp:anchor distT="0" distB="0" distL="114300" distR="114300" simplePos="0" relativeHeight="251658268" behindDoc="0" locked="0" layoutInCell="1" allowOverlap="1" wp14:anchorId="6D880751" wp14:editId="168D97B4">
                <wp:simplePos x="0" y="0"/>
                <wp:positionH relativeFrom="column">
                  <wp:posOffset>0</wp:posOffset>
                </wp:positionH>
                <wp:positionV relativeFrom="paragraph">
                  <wp:posOffset>316865</wp:posOffset>
                </wp:positionV>
                <wp:extent cx="1828800" cy="1828800"/>
                <wp:effectExtent l="0" t="0" r="8890" b="10795"/>
                <wp:wrapTopAndBottom/>
                <wp:docPr id="1876736238"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8DF68C8" w14:textId="5BB7922D" w:rsidR="00196367" w:rsidRPr="00357292" w:rsidRDefault="00357292" w:rsidP="00196367">
                            <w:pPr>
                              <w:ind w:left="851"/>
                              <w:jc w:val="both"/>
                              <w:rPr>
                                <w:lang w:val="lv-LV" w:bidi="lv-LV"/>
                              </w:rPr>
                            </w:pPr>
                            <w:r w:rsidRPr="00357292">
                              <w:rPr>
                                <w:lang w:val="lv-LV" w:bidi="lv-LV"/>
                              </w:rPr>
                              <w:t>Veidojot IKT pakalpojumus, iestādēm jākoncentrējas uz funkcionālajām vajadzībām un iespējami ilgāk jāatliek lēmumi par tehnoloģijām</w:t>
                            </w:r>
                            <w:r w:rsidR="00196367">
                              <w:rPr>
                                <w:lang w:val="lv-LV" w:bidi="lv-LV"/>
                              </w:rPr>
                              <w:t xml:space="preserve"> vai piegādātājiem</w:t>
                            </w:r>
                            <w:r w:rsidRPr="00357292">
                              <w:rPr>
                                <w:lang w:val="lv-LV" w:bidi="lv-LV"/>
                              </w:rPr>
                              <w:t>, lai mazinātu tehnoloģisko atkarību, izvairītos no īpašu tehnoloģiju vai produktu uzspiešanas partneriem</w:t>
                            </w:r>
                            <w:r w:rsidR="00196367">
                              <w:rPr>
                                <w:lang w:val="lv-LV" w:bidi="lv-LV"/>
                              </w:rPr>
                              <w:t>, atkarības no piegādātājiem, iestigšanas novecojušās tehnoloģijās</w:t>
                            </w:r>
                            <w:r w:rsidRPr="00357292">
                              <w:rPr>
                                <w:lang w:val="lv-LV" w:bidi="lv-LV"/>
                              </w:rPr>
                              <w:t xml:space="preserve"> un spētu pielāgoties tehnoloģiju videi, kas strauji attīstās.</w:t>
                            </w:r>
                          </w:p>
                          <w:p w14:paraId="1BAD38F1" w14:textId="4FD3A2C7" w:rsidR="00992610" w:rsidRPr="00357292" w:rsidRDefault="00357292" w:rsidP="00357292">
                            <w:pPr>
                              <w:ind w:left="851"/>
                              <w:jc w:val="both"/>
                              <w:rPr>
                                <w:lang w:val="lv-LV" w:bidi="lv-LV"/>
                              </w:rPr>
                            </w:pPr>
                            <w:r w:rsidRPr="00357292">
                              <w:rPr>
                                <w:lang w:val="lv-LV" w:bidi="lv-LV"/>
                              </w:rPr>
                              <w:t xml:space="preserve">Valsts pārvaldes iestādēm jānodrošina piekļuve saviem publiskajiem pakalpojumiem un datiem un to atkārtota izmantošana neatkarīgi no specifiskām tehnoloģijām vai produktiem.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880751" id="_x0000_s1041" type="#_x0000_t202" style="position:absolute;margin-left:0;margin-top:24.95pt;width:2in;height:2in;z-index:2516582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FaXAIAAA0FAAAOAAAAZHJzL2Uyb0RvYy54bWysVE1v2zAMvQ/YfxB0X+1k6ZYFcYqsRYcB&#10;RVs0HXpWZCkxJouCxMbOfv0oOXayLqdhF5kS+fjxSHp+1daG7ZQPFdiCjy5yzpSVUFZ2U/Afz7cf&#10;ppwFFLYUBqwq+F4FfrV4/27euJkawxZMqTwjJzbMGlfwLaKbZVmQW1WLcAFOWVJq8LVAuvpNVnrR&#10;kPfaZOM8/5Q14EvnQaoQ6PWmU/JF8q+1kvigdVDITMEpN0ynT+c6ntliLmYbL9y2koc0xD9kUYvK&#10;UtDB1Y1AwV599ZerupIeAmi8kFBnoHUlVaqBqhnlb6pZbYVTqRYiJ7iBpvD/3Mr73co9eobtV2ip&#10;gZGQxoVZoMdYT6t9Hb+UKSM9UbgfaFMtMhlB0/F0mpNKkq6/kJ/sCHc+4DcFNYtCwT31JdEldncB&#10;O9PeJEYzNr4d80gS7o3qlE9Ks6qkyOPkJA2Lujae7QS1WUipLH6MlVAGxpJ1hOnKmAE4Ogc0mMon&#10;0ME2wlQaogGYnwP+GXFApKhgcQDXlQV/zkH5c4jc2ffVdzXH8rFdt1Q0EXzZ92gN5Z5a56Gb6uDk&#10;bUX03omAj8LTGFNLaDXxgQ5toCk4HCTOtuB/nXuP9jRdpOWsobUouKW95cx8tzR1X0aTSdyidJlc&#10;fh7TxZ9q1qca+1pfAzVkRL8AJ5MY7dH0ovZQv9D+LmNMUgkrKXLBsRevsVtV2n+plstkRHvjBN7Z&#10;lZPRdSQ5js5z+yK8O8wX0mjeQ78+YvZmzDrbiAxu+YpwW6UZjDR3nB7op51LM3T4P8SlPr0nq+Nf&#10;bPEbAAD//wMAUEsDBBQABgAIAAAAIQDu75ah2wAAAAcBAAAPAAAAZHJzL2Rvd25yZXYueG1sTI9N&#10;T8MwDIbvSPyHyEjcWMo6QVvqTgMJODMmzlnjfrDGqZpsK/x6zAmO9vvq8eNyPbtBnWgKvWeE20UC&#10;irj2tucWYff+fJOBCtGwNYNnQviiAOvq8qI0hfVnfqPTNrZKIBwKg9DFOBZah7ojZ8LCj8SSNX5y&#10;Jso4tdpO5ixwN+hlktxpZ3qWC50Z6amj+rA9OoT04zVt7Nz0L6skDY+02eXfnwfE66t58wAq0hz/&#10;yvCrL+pQidPeH9kGNSDIIxFhleegJF1mmSz2gk7vc9BVqf/7Vz8AAAD//wMAUEsBAi0AFAAGAAgA&#10;AAAhALaDOJL+AAAA4QEAABMAAAAAAAAAAAAAAAAAAAAAAFtDb250ZW50X1R5cGVzXS54bWxQSwEC&#10;LQAUAAYACAAAACEAOP0h/9YAAACUAQAACwAAAAAAAAAAAAAAAAAvAQAAX3JlbHMvLnJlbHNQSwEC&#10;LQAUAAYACAAAACEAe7JhWlwCAAANBQAADgAAAAAAAAAAAAAAAAAuAgAAZHJzL2Uyb0RvYy54bWxQ&#10;SwECLQAUAAYACAAAACEA7u+WodsAAAAHAQAADwAAAAAAAAAAAAAAAAC2BAAAZHJzL2Rvd25yZXYu&#10;eG1sUEsFBgAAAAAEAAQA8wAAAL4FAAAAAA==&#10;" fillcolor="white [3201]" strokecolor="#196b24 [3206]" strokeweight="1pt">
                <v:textbox style="mso-fit-shape-to-text:t">
                  <w:txbxContent>
                    <w:p w14:paraId="58DF68C8" w14:textId="5BB7922D" w:rsidR="00196367" w:rsidRPr="00357292" w:rsidRDefault="00357292" w:rsidP="00196367">
                      <w:pPr>
                        <w:ind w:left="851"/>
                        <w:jc w:val="both"/>
                        <w:rPr>
                          <w:lang w:val="lv-LV" w:bidi="lv-LV"/>
                        </w:rPr>
                      </w:pPr>
                      <w:r w:rsidRPr="00357292">
                        <w:rPr>
                          <w:lang w:val="lv-LV" w:bidi="lv-LV"/>
                        </w:rPr>
                        <w:t>Veidojot IKT pakalpojumus, iestādēm jākoncentrējas uz funkcionālajām vajadzībām un iespējami ilgāk jāatliek lēmumi par tehnoloģijām</w:t>
                      </w:r>
                      <w:r w:rsidR="00196367">
                        <w:rPr>
                          <w:lang w:val="lv-LV" w:bidi="lv-LV"/>
                        </w:rPr>
                        <w:t xml:space="preserve"> vai piegādātājiem</w:t>
                      </w:r>
                      <w:r w:rsidRPr="00357292">
                        <w:rPr>
                          <w:lang w:val="lv-LV" w:bidi="lv-LV"/>
                        </w:rPr>
                        <w:t>, lai mazinātu tehnoloģisko atkarību, izvairītos no īpašu tehnoloģiju vai produktu uzspiešanas partneriem</w:t>
                      </w:r>
                      <w:r w:rsidR="00196367">
                        <w:rPr>
                          <w:lang w:val="lv-LV" w:bidi="lv-LV"/>
                        </w:rPr>
                        <w:t>, atkarības no piegādātājiem, iestigšanas novecojušās tehnoloģijās</w:t>
                      </w:r>
                      <w:r w:rsidRPr="00357292">
                        <w:rPr>
                          <w:lang w:val="lv-LV" w:bidi="lv-LV"/>
                        </w:rPr>
                        <w:t xml:space="preserve"> un spētu pielāgoties tehnoloģiju videi, kas strauji attīstās.</w:t>
                      </w:r>
                    </w:p>
                    <w:p w14:paraId="1BAD38F1" w14:textId="4FD3A2C7" w:rsidR="00992610" w:rsidRPr="00357292" w:rsidRDefault="00357292" w:rsidP="00357292">
                      <w:pPr>
                        <w:ind w:left="851"/>
                        <w:jc w:val="both"/>
                        <w:rPr>
                          <w:lang w:val="lv-LV" w:bidi="lv-LV"/>
                        </w:rPr>
                      </w:pPr>
                      <w:r w:rsidRPr="00357292">
                        <w:rPr>
                          <w:lang w:val="lv-LV" w:bidi="lv-LV"/>
                        </w:rPr>
                        <w:t xml:space="preserve">Valsts pārvaldes iestādēm jānodrošina piekļuve saviem publiskajiem pakalpojumiem un datiem un to atkārtota izmantošana neatkarīgi no specifiskām tehnoloģijām vai produktiem. </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69" behindDoc="0" locked="0" layoutInCell="1" allowOverlap="1" wp14:anchorId="51018FCF" wp14:editId="43F6D39D">
            <wp:simplePos x="0" y="0"/>
            <wp:positionH relativeFrom="margin">
              <wp:posOffset>88900</wp:posOffset>
            </wp:positionH>
            <wp:positionV relativeFrom="paragraph">
              <wp:posOffset>450850</wp:posOffset>
            </wp:positionV>
            <wp:extent cx="427990" cy="427990"/>
            <wp:effectExtent l="0" t="0" r="0" b="0"/>
            <wp:wrapSquare wrapText="bothSides"/>
            <wp:docPr id="320289870"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00372307">
        <w:rPr>
          <w:lang w:val="lv-LV"/>
        </w:rPr>
        <w:t>Ie</w:t>
      </w:r>
      <w:r w:rsidR="00196367">
        <w:rPr>
          <w:lang w:val="lv-LV"/>
        </w:rPr>
        <w:t xml:space="preserve">spējot </w:t>
      </w:r>
      <w:r w:rsidR="00372307">
        <w:rPr>
          <w:lang w:val="lv-LV"/>
        </w:rPr>
        <w:t>t</w:t>
      </w:r>
      <w:r>
        <w:rPr>
          <w:lang w:val="lv-LV"/>
        </w:rPr>
        <w:t>ehnoloģisk</w:t>
      </w:r>
      <w:r w:rsidR="00372307">
        <w:rPr>
          <w:lang w:val="lv-LV"/>
        </w:rPr>
        <w:t>o</w:t>
      </w:r>
      <w:r>
        <w:rPr>
          <w:lang w:val="lv-LV"/>
        </w:rPr>
        <w:t xml:space="preserve"> </w:t>
      </w:r>
      <w:r w:rsidR="00196367">
        <w:rPr>
          <w:lang w:val="lv-LV"/>
        </w:rPr>
        <w:t>attīstību</w:t>
      </w:r>
    </w:p>
    <w:p w14:paraId="6C7530F6" w14:textId="77777777" w:rsidR="00137A2C" w:rsidRPr="00137A2C" w:rsidRDefault="00137A2C" w:rsidP="00137A2C">
      <w:pPr>
        <w:rPr>
          <w:lang w:val="lv-LV"/>
        </w:rPr>
      </w:pPr>
    </w:p>
    <w:p w14:paraId="276DF38C" w14:textId="77777777" w:rsidR="00502D87" w:rsidRPr="00AE17B5" w:rsidRDefault="00502D87" w:rsidP="00502D87">
      <w:pPr>
        <w:rPr>
          <w:lang w:val="lv-LV"/>
        </w:rPr>
      </w:pPr>
      <w:r w:rsidRPr="00AE17B5">
        <w:rPr>
          <w:lang w:val="lv-LV"/>
        </w:rPr>
        <w:t>Piemērošanas vadlīnijas:</w:t>
      </w:r>
    </w:p>
    <w:p w14:paraId="4A0B74F8" w14:textId="77777777" w:rsidR="003203CE" w:rsidRPr="0083789F" w:rsidRDefault="003203CE" w:rsidP="003203CE">
      <w:pPr>
        <w:pStyle w:val="ListParagraph"/>
        <w:numPr>
          <w:ilvl w:val="0"/>
          <w:numId w:val="11"/>
        </w:numPr>
        <w:rPr>
          <w:bCs/>
          <w:lang w:val="lv-LV"/>
        </w:rPr>
      </w:pPr>
      <w:r w:rsidRPr="0083789F">
        <w:rPr>
          <w:bCs/>
          <w:lang w:val="lv-LV"/>
        </w:rPr>
        <w:t>Neuzspiest iedzīvotājiem, uzņēmumiem un citām pārvaldes iestādēm tādus tehnoloģiskos risinājumus, kas ir piesaistīti konkrētai tehnoloģijai vai neproporcionāli to patiesajām vajadzībām.</w:t>
      </w:r>
    </w:p>
    <w:p w14:paraId="4024FA35" w14:textId="09903F06" w:rsidR="00502D87" w:rsidRPr="003203CE" w:rsidRDefault="003203CE" w:rsidP="003203CE">
      <w:pPr>
        <w:pStyle w:val="ListParagraph"/>
        <w:numPr>
          <w:ilvl w:val="0"/>
          <w:numId w:val="11"/>
        </w:numPr>
        <w:jc w:val="both"/>
        <w:rPr>
          <w:bCs/>
          <w:lang w:val="lv-LV"/>
        </w:rPr>
      </w:pPr>
      <w:r w:rsidRPr="0083789F">
        <w:rPr>
          <w:bCs/>
          <w:lang w:val="lv-LV"/>
        </w:rPr>
        <w:t>Nodrošināt datu pārnesamību, proti, datus jāvar viegli pārcelt starp IKT risinājumiem, tādējādi panākot IKT pakalpojumu īstenošanu un attīstību bez nepamatotiem ierobežojumiem.</w:t>
      </w:r>
    </w:p>
    <w:p w14:paraId="659F8D82" w14:textId="77777777" w:rsidR="00502D87" w:rsidRDefault="00502D87" w:rsidP="00502D87">
      <w:pPr>
        <w:rPr>
          <w:lang w:val="lv-LV"/>
        </w:rPr>
      </w:pPr>
      <w:r w:rsidRPr="00C20AD0">
        <w:rPr>
          <w:lang w:val="lv-LV"/>
        </w:rPr>
        <w:t>Novērtēšanas vadlīnijas:</w:t>
      </w:r>
    </w:p>
    <w:p w14:paraId="5C1BC6F3" w14:textId="30854A5C" w:rsidR="00CB0FB2" w:rsidRPr="00BD502C" w:rsidRDefault="67DA771C" w:rsidP="00CB0FB2">
      <w:pPr>
        <w:pStyle w:val="ListParagraph"/>
        <w:numPr>
          <w:ilvl w:val="0"/>
          <w:numId w:val="30"/>
        </w:numPr>
        <w:rPr>
          <w:lang w:val="lv-LV"/>
        </w:rPr>
      </w:pPr>
      <w:commentRangeStart w:id="25"/>
      <w:commentRangeStart w:id="26"/>
      <w:r w:rsidRPr="3D3736F2">
        <w:rPr>
          <w:lang w:val="lv-LV"/>
        </w:rPr>
        <w:t xml:space="preserve">TPK1. </w:t>
      </w:r>
      <w:r w:rsidR="14BF5085" w:rsidRPr="3D3736F2">
        <w:rPr>
          <w:lang w:val="lv-LV"/>
        </w:rPr>
        <w:t xml:space="preserve">Vai </w:t>
      </w:r>
      <w:proofErr w:type="spellStart"/>
      <w:r w:rsidR="14BF5085" w:rsidRPr="3D3736F2">
        <w:rPr>
          <w:lang w:val="lv-LV"/>
        </w:rPr>
        <w:t>mērķarhitektūrā</w:t>
      </w:r>
      <w:proofErr w:type="spellEnd"/>
      <w:r w:rsidR="14BF5085" w:rsidRPr="3D3736F2">
        <w:rPr>
          <w:lang w:val="lv-LV"/>
        </w:rPr>
        <w:t xml:space="preserve"> iekļautos IKT risinājum</w:t>
      </w:r>
      <w:r w:rsidR="77387E1B" w:rsidRPr="3D3736F2">
        <w:rPr>
          <w:lang w:val="lv-LV"/>
        </w:rPr>
        <w:t>us</w:t>
      </w:r>
      <w:r w:rsidR="14BF5085" w:rsidRPr="3D3736F2">
        <w:rPr>
          <w:lang w:val="lv-LV"/>
        </w:rPr>
        <w:t xml:space="preserve"> </w:t>
      </w:r>
      <w:r w:rsidR="77387E1B" w:rsidRPr="3D3736F2">
        <w:rPr>
          <w:lang w:val="lv-LV"/>
        </w:rPr>
        <w:t>paredzēts veidot kā tehnoloģiski neitrālus, nepiesaistot t</w:t>
      </w:r>
      <w:r w:rsidR="3145C92B" w:rsidRPr="3D3736F2">
        <w:rPr>
          <w:lang w:val="lv-LV"/>
        </w:rPr>
        <w:t>os</w:t>
      </w:r>
      <w:r w:rsidR="77387E1B" w:rsidRPr="3D3736F2">
        <w:rPr>
          <w:lang w:val="lv-LV"/>
        </w:rPr>
        <w:t xml:space="preserve"> </w:t>
      </w:r>
      <w:r w:rsidR="3E10AB71" w:rsidRPr="3D3736F2">
        <w:rPr>
          <w:lang w:val="lv-LV"/>
        </w:rPr>
        <w:t>konkrētiem piegādātājiem vai tehnoloģijām?</w:t>
      </w:r>
      <w:commentRangeEnd w:id="25"/>
      <w:r w:rsidR="002A2BE0">
        <w:rPr>
          <w:rStyle w:val="CommentReference"/>
        </w:rPr>
        <w:commentReference w:id="25"/>
      </w:r>
      <w:commentRangeEnd w:id="26"/>
      <w:r w:rsidR="008E5CC4">
        <w:rPr>
          <w:rStyle w:val="CommentReference"/>
        </w:rPr>
        <w:commentReference w:id="26"/>
      </w:r>
    </w:p>
    <w:p w14:paraId="5F9D15C3" w14:textId="5AB5FFB4" w:rsidR="00942E14" w:rsidRPr="00BD502C" w:rsidRDefault="002A2BE0" w:rsidP="00CB0FB2">
      <w:pPr>
        <w:pStyle w:val="ListParagraph"/>
        <w:numPr>
          <w:ilvl w:val="0"/>
          <w:numId w:val="30"/>
        </w:numPr>
        <w:rPr>
          <w:lang w:val="lv-LV"/>
        </w:rPr>
      </w:pPr>
      <w:r w:rsidRPr="00BD502C">
        <w:rPr>
          <w:lang w:val="lv-LV"/>
        </w:rPr>
        <w:t xml:space="preserve">TPK2. </w:t>
      </w:r>
      <w:r w:rsidR="00942E14" w:rsidRPr="00BD502C">
        <w:rPr>
          <w:lang w:val="lv-LV"/>
        </w:rPr>
        <w:t xml:space="preserve">Vai </w:t>
      </w:r>
      <w:proofErr w:type="spellStart"/>
      <w:r w:rsidR="0048618D">
        <w:rPr>
          <w:lang w:val="lv-LV"/>
        </w:rPr>
        <w:t>mērķarhitektūras</w:t>
      </w:r>
      <w:proofErr w:type="spellEnd"/>
      <w:r w:rsidR="0048618D">
        <w:rPr>
          <w:lang w:val="lv-LV"/>
        </w:rPr>
        <w:t xml:space="preserve"> ieviešanā</w:t>
      </w:r>
      <w:r w:rsidR="00942E14" w:rsidRPr="00BD502C">
        <w:rPr>
          <w:lang w:val="lv-LV"/>
        </w:rPr>
        <w:t xml:space="preserve"> paredzēts veidot tehniskos un organizatoriskos mehānismus, lai nodrošinātu datu pārnesamību bez nepamatotiem ierobežojumiem vai piegādātāja piesaistes?</w:t>
      </w:r>
    </w:p>
    <w:p w14:paraId="58822D3D" w14:textId="77777777" w:rsidR="00992610" w:rsidRDefault="00992610" w:rsidP="00992610">
      <w:pPr>
        <w:rPr>
          <w:lang w:val="lv-LV"/>
        </w:rPr>
      </w:pPr>
    </w:p>
    <w:p w14:paraId="2C4331BE" w14:textId="2ADE0051" w:rsidR="00992610" w:rsidRDefault="3BE604D6" w:rsidP="00372307">
      <w:pPr>
        <w:pStyle w:val="Heading2"/>
        <w:rPr>
          <w:lang w:val="lv-LV"/>
        </w:rPr>
      </w:pPr>
      <w:r>
        <w:rPr>
          <w:lang w:val="lv-LV"/>
        </w:rPr>
        <w:lastRenderedPageBreak/>
        <w:t>TP</w:t>
      </w:r>
      <w:r w:rsidR="39D583A1">
        <w:rPr>
          <w:lang w:val="lv-LV"/>
        </w:rPr>
        <w:t>2</w:t>
      </w:r>
      <w:r>
        <w:rPr>
          <w:lang w:val="lv-LV"/>
        </w:rPr>
        <w:t xml:space="preserve">. </w:t>
      </w:r>
      <w:r w:rsidR="00992610" w:rsidRPr="00E2406D">
        <w:rPr>
          <w:noProof/>
          <w:lang w:val="lv-LV"/>
        </w:rPr>
        <mc:AlternateContent>
          <mc:Choice Requires="wps">
            <w:drawing>
              <wp:anchor distT="0" distB="0" distL="114300" distR="114300" simplePos="0" relativeHeight="251658270" behindDoc="0" locked="0" layoutInCell="1" allowOverlap="1" wp14:anchorId="097EF2A9" wp14:editId="6630034D">
                <wp:simplePos x="0" y="0"/>
                <wp:positionH relativeFrom="column">
                  <wp:posOffset>0</wp:posOffset>
                </wp:positionH>
                <wp:positionV relativeFrom="paragraph">
                  <wp:posOffset>316865</wp:posOffset>
                </wp:positionV>
                <wp:extent cx="1828800" cy="1828800"/>
                <wp:effectExtent l="0" t="0" r="8890" b="10795"/>
                <wp:wrapTopAndBottom/>
                <wp:docPr id="1577897582"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4F073CA" w14:textId="7599169A" w:rsidR="00252A2F" w:rsidRDefault="00252A2F" w:rsidP="00992610">
                            <w:pPr>
                              <w:ind w:left="851"/>
                              <w:jc w:val="both"/>
                              <w:rPr>
                                <w:lang w:val="lv-LV" w:bidi="lv-LV"/>
                              </w:rPr>
                            </w:pPr>
                            <w:r w:rsidRPr="00252A2F">
                              <w:rPr>
                                <w:lang w:val="lv-LV" w:bidi="lv-LV"/>
                              </w:rPr>
                              <w:t xml:space="preserve">Izīrējiet, pirms pērciet, </w:t>
                            </w:r>
                            <w:r>
                              <w:rPr>
                                <w:lang w:val="lv-LV" w:bidi="lv-LV"/>
                              </w:rPr>
                              <w:t xml:space="preserve">pērciet, </w:t>
                            </w:r>
                            <w:r w:rsidRPr="00252A2F">
                              <w:rPr>
                                <w:lang w:val="lv-LV" w:bidi="lv-LV"/>
                              </w:rPr>
                              <w:t>pirms būvējiet</w:t>
                            </w:r>
                            <w:r>
                              <w:rPr>
                                <w:lang w:val="lv-LV" w:bidi="lv-LV"/>
                              </w:rPr>
                              <w:t xml:space="preserve"> </w:t>
                            </w:r>
                            <w:r w:rsidRPr="00252A2F">
                              <w:rPr>
                                <w:i/>
                                <w:iCs/>
                                <w:lang w:val="lv-LV" w:bidi="lv-LV"/>
                              </w:rPr>
                              <w:t>(no angļu val. - Rent, before buy, before build).</w:t>
                            </w:r>
                            <w:r w:rsidRPr="00252A2F">
                              <w:rPr>
                                <w:lang w:val="lv-LV" w:bidi="lv-LV"/>
                              </w:rPr>
                              <w:t xml:space="preserve"> Nebūvējiet to, ko var viegli iegādāties </w:t>
                            </w:r>
                            <w:r>
                              <w:rPr>
                                <w:lang w:val="lv-LV" w:bidi="lv-LV"/>
                              </w:rPr>
                              <w:t>gatavu un standartizētu</w:t>
                            </w:r>
                            <w:r w:rsidRPr="00252A2F">
                              <w:rPr>
                                <w:lang w:val="lv-LV" w:bidi="lv-LV"/>
                              </w:rPr>
                              <w:t xml:space="preserve">. </w:t>
                            </w:r>
                          </w:p>
                          <w:p w14:paraId="16AB3E9C" w14:textId="2767673E" w:rsidR="00992610" w:rsidRDefault="00BF3545" w:rsidP="00992610">
                            <w:pPr>
                              <w:ind w:left="851"/>
                              <w:jc w:val="both"/>
                              <w:rPr>
                                <w:lang w:val="lv-LV" w:bidi="lv-LV"/>
                              </w:rPr>
                            </w:pPr>
                            <w:r w:rsidRPr="00BF3545">
                              <w:rPr>
                                <w:lang w:val="lv-LV" w:bidi="lv-LV"/>
                              </w:rPr>
                              <w:t>Jebkurai jaunai vai atjaunotai IT sistēmai vispirms jāizvērtē un jāizmanto mākoņtehnoloģijas risinājumi, ja tas ir tehniski, ekonomiski un drošības ziņā pamatoti. Šī pieeja ļauj modernizēt IT infrastruktūru, palielināt elastību un uzlabot pakalpojumu pieejamību iedzīvotājiem.</w:t>
                            </w:r>
                          </w:p>
                          <w:p w14:paraId="59250E11" w14:textId="659DD14F" w:rsidR="00BF3545" w:rsidRPr="00BF3545" w:rsidRDefault="00BF3545" w:rsidP="00992610">
                            <w:pPr>
                              <w:ind w:left="851"/>
                              <w:jc w:val="both"/>
                              <w:rPr>
                                <w:lang w:val="lv-LV" w:bidi="lv-LV"/>
                              </w:rPr>
                            </w:pPr>
                            <w:r>
                              <w:rPr>
                                <w:lang w:val="lv-LV" w:bidi="lv-LV"/>
                              </w:rPr>
                              <w:t xml:space="preserve">Rekomendēts izvērtēt augstākas pievienotās vērtības mākoņdatošanas pakalpojumu izmantošanu (piemēram, Lietojumprogrammas kā pakalpojums (SaaS), Infrastruktūra kā pakalpojums (IaaS)). </w:t>
                            </w:r>
                            <w:r w:rsidR="008E1F57">
                              <w:rPr>
                                <w:lang w:val="lv-LV"/>
                              </w:rPr>
                              <w:t>Risinājumu alternatīvu</w:t>
                            </w:r>
                            <w:r w:rsidR="008E1F57" w:rsidRPr="001D4569">
                              <w:rPr>
                                <w:lang w:val="lv-LV"/>
                              </w:rPr>
                              <w:t xml:space="preserve"> izvērtēšanas laikā novērtējiet </w:t>
                            </w:r>
                            <w:r w:rsidR="008E1F57">
                              <w:rPr>
                                <w:lang w:val="lv-LV"/>
                              </w:rPr>
                              <w:t xml:space="preserve">kopējās ilgtermiņa īpašumtiesību izmaksas.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7EF2A9" id="_x0000_s1042" type="#_x0000_t202" style="position:absolute;margin-left:0;margin-top:24.95pt;width:2in;height:2in;z-index:25165827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kXAIAAA0FAAAOAAAAZHJzL2Uyb0RvYy54bWysVE1v2zAMvQ/YfxB0X+1kWZcFcYqsRYcB&#10;RVs0HXpWZCkxJouCxMbOfv0oOXayLqdhF5kS+fjxSHp+1daG7ZQPFdiCjy5yzpSVUFZ2U/Afz7cf&#10;ppwFFLYUBqwq+F4FfrV4/27euJkawxZMqTwjJzbMGlfwLaKbZVmQW1WLcAFOWVJq8LVAuvpNVnrR&#10;kPfaZOM8v8wa8KXzIFUI9HrTKfki+ddaSXzQOihkpuCUG6bTp3Mdz2wxF7ONF25byUMa4h+yqEVl&#10;Kejg6kagYK+++stVXUkPATReSKgz0LqSKtVA1YzyN9WstsKpVAuRE9xAU/h/buX9buUePcP2K7TU&#10;wEhI48Is0GOsp9W+jl/KlJGeKNwPtKkWmYyg6Xg6zUklSddfyE92hDsf8JuCmkWh4J76kugSu7uA&#10;nWlvEqMZG9+OeSQJ90Z1yielWVVS5HFykoZFXRvPdoLaLKRUFj/GSigDY8k6wnRlzAAcnQMaTOUT&#10;6GAbYSoN0QDMzwH/jDggUlSwOIDryoI/56D8OUTu7Pvqu5pj+diuWyqaCL7se7SGck+t89BNdXDy&#10;tiJ670TAR+FpjKkltJr4QIc20BQcDhJnW/C/zr1He5ou0nLW0FoU3NLecma+W5q6L6PJJG5Rukw+&#10;fR7TxZ9q1qca+1pfAzVkRL8AJ5MY7dH0ovZQv9D+LmNMUgkrKXLBsRevsVtV2n+plstkRHvjBN7Z&#10;lZPRdSQ5js5z+yK8O8wX0mjeQ78+YvZmzDrbiAxu+YpwW6UZjDR3nB7op51LM3T4P8SlPr0nq+Nf&#10;bPEbAAD//wMAUEsDBBQABgAIAAAAIQDu75ah2wAAAAcBAAAPAAAAZHJzL2Rvd25yZXYueG1sTI9N&#10;T8MwDIbvSPyHyEjcWMo6QVvqTgMJODMmzlnjfrDGqZpsK/x6zAmO9vvq8eNyPbtBnWgKvWeE20UC&#10;irj2tucWYff+fJOBCtGwNYNnQviiAOvq8qI0hfVnfqPTNrZKIBwKg9DFOBZah7ojZ8LCj8SSNX5y&#10;Jso4tdpO5ixwN+hlktxpZ3qWC50Z6amj+rA9OoT04zVt7Nz0L6skDY+02eXfnwfE66t58wAq0hz/&#10;yvCrL+pQidPeH9kGNSDIIxFhleegJF1mmSz2gk7vc9BVqf/7Vz8AAAD//wMAUEsBAi0AFAAGAAgA&#10;AAAhALaDOJL+AAAA4QEAABMAAAAAAAAAAAAAAAAAAAAAAFtDb250ZW50X1R5cGVzXS54bWxQSwEC&#10;LQAUAAYACAAAACEAOP0h/9YAAACUAQAACwAAAAAAAAAAAAAAAAAvAQAAX3JlbHMvLnJlbHNQSwEC&#10;LQAUAAYACAAAACEAfls4JFwCAAANBQAADgAAAAAAAAAAAAAAAAAuAgAAZHJzL2Uyb0RvYy54bWxQ&#10;SwECLQAUAAYACAAAACEA7u+WodsAAAAHAQAADwAAAAAAAAAAAAAAAAC2BAAAZHJzL2Rvd25yZXYu&#10;eG1sUEsFBgAAAAAEAAQA8wAAAL4FAAAAAA==&#10;" fillcolor="white [3201]" strokecolor="#196b24 [3206]" strokeweight="1pt">
                <v:textbox style="mso-fit-shape-to-text:t">
                  <w:txbxContent>
                    <w:p w14:paraId="44F073CA" w14:textId="7599169A" w:rsidR="00252A2F" w:rsidRDefault="00252A2F" w:rsidP="00992610">
                      <w:pPr>
                        <w:ind w:left="851"/>
                        <w:jc w:val="both"/>
                        <w:rPr>
                          <w:lang w:val="lv-LV" w:bidi="lv-LV"/>
                        </w:rPr>
                      </w:pPr>
                      <w:r w:rsidRPr="00252A2F">
                        <w:rPr>
                          <w:lang w:val="lv-LV" w:bidi="lv-LV"/>
                        </w:rPr>
                        <w:t xml:space="preserve">Izīrējiet, pirms pērciet, </w:t>
                      </w:r>
                      <w:r>
                        <w:rPr>
                          <w:lang w:val="lv-LV" w:bidi="lv-LV"/>
                        </w:rPr>
                        <w:t xml:space="preserve">pērciet, </w:t>
                      </w:r>
                      <w:r w:rsidRPr="00252A2F">
                        <w:rPr>
                          <w:lang w:val="lv-LV" w:bidi="lv-LV"/>
                        </w:rPr>
                        <w:t>pirms būvējiet</w:t>
                      </w:r>
                      <w:r>
                        <w:rPr>
                          <w:lang w:val="lv-LV" w:bidi="lv-LV"/>
                        </w:rPr>
                        <w:t xml:space="preserve"> </w:t>
                      </w:r>
                      <w:r w:rsidRPr="00252A2F">
                        <w:rPr>
                          <w:i/>
                          <w:iCs/>
                          <w:lang w:val="lv-LV" w:bidi="lv-LV"/>
                        </w:rPr>
                        <w:t>(no angļu val. - Rent, before buy, before build).</w:t>
                      </w:r>
                      <w:r w:rsidRPr="00252A2F">
                        <w:rPr>
                          <w:lang w:val="lv-LV" w:bidi="lv-LV"/>
                        </w:rPr>
                        <w:t xml:space="preserve"> Nebūvējiet to, ko var viegli iegādāties </w:t>
                      </w:r>
                      <w:r>
                        <w:rPr>
                          <w:lang w:val="lv-LV" w:bidi="lv-LV"/>
                        </w:rPr>
                        <w:t>gatavu un standartizētu</w:t>
                      </w:r>
                      <w:r w:rsidRPr="00252A2F">
                        <w:rPr>
                          <w:lang w:val="lv-LV" w:bidi="lv-LV"/>
                        </w:rPr>
                        <w:t xml:space="preserve">. </w:t>
                      </w:r>
                    </w:p>
                    <w:p w14:paraId="16AB3E9C" w14:textId="2767673E" w:rsidR="00992610" w:rsidRDefault="00BF3545" w:rsidP="00992610">
                      <w:pPr>
                        <w:ind w:left="851"/>
                        <w:jc w:val="both"/>
                        <w:rPr>
                          <w:lang w:val="lv-LV" w:bidi="lv-LV"/>
                        </w:rPr>
                      </w:pPr>
                      <w:r w:rsidRPr="00BF3545">
                        <w:rPr>
                          <w:lang w:val="lv-LV" w:bidi="lv-LV"/>
                        </w:rPr>
                        <w:t>Jebkurai jaunai vai atjaunotai IT sistēmai vispirms jāizvērtē un jāizmanto mākoņtehnoloģijas risinājumi, ja tas ir tehniski, ekonomiski un drošības ziņā pamatoti. Šī pieeja ļauj modernizēt IT infrastruktūru, palielināt elastību un uzlabot pakalpojumu pieejamību iedzīvotājiem.</w:t>
                      </w:r>
                    </w:p>
                    <w:p w14:paraId="59250E11" w14:textId="659DD14F" w:rsidR="00BF3545" w:rsidRPr="00BF3545" w:rsidRDefault="00BF3545" w:rsidP="00992610">
                      <w:pPr>
                        <w:ind w:left="851"/>
                        <w:jc w:val="both"/>
                        <w:rPr>
                          <w:lang w:val="lv-LV" w:bidi="lv-LV"/>
                        </w:rPr>
                      </w:pPr>
                      <w:r>
                        <w:rPr>
                          <w:lang w:val="lv-LV" w:bidi="lv-LV"/>
                        </w:rPr>
                        <w:t xml:space="preserve">Rekomendēts izvērtēt augstākas pievienotās vērtības mākoņdatošanas pakalpojumu izmantošanu (piemēram, Lietojumprogrammas kā pakalpojums (SaaS), Infrastruktūra kā pakalpojums (IaaS)). </w:t>
                      </w:r>
                      <w:r w:rsidR="008E1F57">
                        <w:rPr>
                          <w:lang w:val="lv-LV"/>
                        </w:rPr>
                        <w:t>Risinājumu alternatīvu</w:t>
                      </w:r>
                      <w:r w:rsidR="008E1F57" w:rsidRPr="001D4569">
                        <w:rPr>
                          <w:lang w:val="lv-LV"/>
                        </w:rPr>
                        <w:t xml:space="preserve"> izvērtēšanas laikā novērtējiet </w:t>
                      </w:r>
                      <w:r w:rsidR="008E1F57">
                        <w:rPr>
                          <w:lang w:val="lv-LV"/>
                        </w:rPr>
                        <w:t xml:space="preserve">kopējās ilgtermiņa īpašumtiesību izmaksas. </w:t>
                      </w:r>
                    </w:p>
                  </w:txbxContent>
                </v:textbox>
                <w10:wrap type="topAndBottom"/>
              </v:shape>
            </w:pict>
          </mc:Fallback>
        </mc:AlternateContent>
      </w:r>
      <w:r w:rsidR="00992610" w:rsidRPr="00E2406D">
        <w:rPr>
          <w:rFonts w:ascii="Times New Roman" w:hAnsi="Times New Roman" w:cs="Times New Roman"/>
          <w:noProof/>
          <w:sz w:val="22"/>
          <w:szCs w:val="22"/>
          <w:lang w:val="lv-LV"/>
        </w:rPr>
        <w:drawing>
          <wp:anchor distT="0" distB="0" distL="114300" distR="114300" simplePos="0" relativeHeight="251658271" behindDoc="0" locked="0" layoutInCell="1" allowOverlap="1" wp14:anchorId="5AFB8CDE" wp14:editId="7F581010">
            <wp:simplePos x="0" y="0"/>
            <wp:positionH relativeFrom="margin">
              <wp:posOffset>88900</wp:posOffset>
            </wp:positionH>
            <wp:positionV relativeFrom="paragraph">
              <wp:posOffset>450850</wp:posOffset>
            </wp:positionV>
            <wp:extent cx="427990" cy="427990"/>
            <wp:effectExtent l="0" t="0" r="0" b="0"/>
            <wp:wrapSquare wrapText="bothSides"/>
            <wp:docPr id="958387323"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Pr="00992610">
        <w:rPr>
          <w:lang w:val="lv-LV"/>
        </w:rPr>
        <w:t xml:space="preserve"> </w:t>
      </w:r>
      <w:proofErr w:type="spellStart"/>
      <w:r w:rsidRPr="008E3698">
        <w:rPr>
          <w:lang w:val="lv-LV"/>
        </w:rPr>
        <w:t>Mākoņdatošanas</w:t>
      </w:r>
      <w:proofErr w:type="spellEnd"/>
      <w:r w:rsidRPr="008E3698">
        <w:rPr>
          <w:lang w:val="lv-LV"/>
        </w:rPr>
        <w:t xml:space="preserve"> izmantošana </w:t>
      </w:r>
      <w:r w:rsidRPr="2AC89502">
        <w:rPr>
          <w:i/>
          <w:iCs/>
          <w:lang w:val="lv-LV"/>
        </w:rPr>
        <w:t>(</w:t>
      </w:r>
      <w:proofErr w:type="spellStart"/>
      <w:r w:rsidRPr="2AC89502">
        <w:rPr>
          <w:i/>
          <w:iCs/>
          <w:lang w:val="lv-LV"/>
        </w:rPr>
        <w:t>Cloud</w:t>
      </w:r>
      <w:proofErr w:type="spellEnd"/>
      <w:r w:rsidRPr="2AC89502">
        <w:rPr>
          <w:i/>
          <w:iCs/>
          <w:lang w:val="lv-LV"/>
        </w:rPr>
        <w:t xml:space="preserve"> First)</w:t>
      </w:r>
    </w:p>
    <w:p w14:paraId="0B124661" w14:textId="77777777" w:rsidR="00BF3545" w:rsidRDefault="00BF3545" w:rsidP="00252A2F">
      <w:pPr>
        <w:rPr>
          <w:lang w:val="lv-LV"/>
        </w:rPr>
      </w:pPr>
    </w:p>
    <w:p w14:paraId="41226AC6" w14:textId="77777777" w:rsidR="00502D87" w:rsidRPr="00AE17B5" w:rsidRDefault="00502D87" w:rsidP="00502D87">
      <w:pPr>
        <w:rPr>
          <w:lang w:val="lv-LV"/>
        </w:rPr>
      </w:pPr>
      <w:r w:rsidRPr="00AE17B5">
        <w:rPr>
          <w:lang w:val="lv-LV"/>
        </w:rPr>
        <w:t>Piemērošanas vadlīnijas:</w:t>
      </w:r>
    </w:p>
    <w:p w14:paraId="49301C51" w14:textId="60C09D36" w:rsidR="001D4569" w:rsidRPr="001D4569" w:rsidRDefault="5DD5261C" w:rsidP="001D4569">
      <w:pPr>
        <w:pStyle w:val="ListParagraph"/>
        <w:numPr>
          <w:ilvl w:val="0"/>
          <w:numId w:val="11"/>
        </w:numPr>
        <w:jc w:val="both"/>
        <w:rPr>
          <w:lang w:val="lv-LV"/>
        </w:rPr>
      </w:pPr>
      <w:commentRangeStart w:id="27"/>
      <w:commentRangeStart w:id="28"/>
      <w:commentRangeStart w:id="29"/>
      <w:r w:rsidRPr="3D3736F2">
        <w:rPr>
          <w:lang w:val="lv-LV"/>
        </w:rPr>
        <w:t>Pirms piegādes pieejas izvēles veiciet iespēju novērtējumu</w:t>
      </w:r>
      <w:r w:rsidR="047743CD" w:rsidRPr="3D3736F2">
        <w:rPr>
          <w:lang w:val="lv-LV"/>
        </w:rPr>
        <w:t>, izvērtējot dažādus programmatūras iegādes veidus (</w:t>
      </w:r>
      <w:r w:rsidR="28A17D02" w:rsidRPr="3D3736F2">
        <w:rPr>
          <w:lang w:val="lv-LV"/>
        </w:rPr>
        <w:t xml:space="preserve">programmatūra kā pakalpojums, </w:t>
      </w:r>
      <w:proofErr w:type="spellStart"/>
      <w:r w:rsidR="28A17D02" w:rsidRPr="3D3736F2">
        <w:rPr>
          <w:lang w:val="lv-LV"/>
        </w:rPr>
        <w:t>standartrisinājumu</w:t>
      </w:r>
      <w:proofErr w:type="spellEnd"/>
      <w:r w:rsidR="28A17D02" w:rsidRPr="3D3736F2">
        <w:rPr>
          <w:lang w:val="lv-LV"/>
        </w:rPr>
        <w:t xml:space="preserve"> iegāde, pielāgotā izstrāde u.c.). </w:t>
      </w:r>
      <w:commentRangeEnd w:id="27"/>
      <w:r w:rsidR="001D4569">
        <w:rPr>
          <w:rStyle w:val="CommentReference"/>
        </w:rPr>
        <w:commentReference w:id="27"/>
      </w:r>
      <w:commentRangeEnd w:id="28"/>
      <w:r w:rsidR="008E5CC4">
        <w:rPr>
          <w:rStyle w:val="CommentReference"/>
        </w:rPr>
        <w:commentReference w:id="28"/>
      </w:r>
      <w:commentRangeEnd w:id="29"/>
      <w:r w:rsidR="008E5CC4">
        <w:rPr>
          <w:rStyle w:val="CommentReference"/>
        </w:rPr>
        <w:commentReference w:id="29"/>
      </w:r>
    </w:p>
    <w:p w14:paraId="55BB24F5" w14:textId="0E96C056" w:rsidR="001D4569" w:rsidRPr="001D4569" w:rsidRDefault="001D4569" w:rsidP="001D4569">
      <w:pPr>
        <w:pStyle w:val="ListParagraph"/>
        <w:numPr>
          <w:ilvl w:val="0"/>
          <w:numId w:val="11"/>
        </w:numPr>
        <w:jc w:val="both"/>
        <w:rPr>
          <w:lang w:val="lv-LV"/>
        </w:rPr>
      </w:pPr>
      <w:r w:rsidRPr="001D4569">
        <w:rPr>
          <w:lang w:val="lv-LV"/>
        </w:rPr>
        <w:t xml:space="preserve">Izvērtējiet </w:t>
      </w:r>
      <w:proofErr w:type="spellStart"/>
      <w:r w:rsidR="00682571">
        <w:rPr>
          <w:lang w:val="lv-LV"/>
        </w:rPr>
        <w:t>standartrisinājumus</w:t>
      </w:r>
      <w:proofErr w:type="spellEnd"/>
      <w:r w:rsidR="00682571">
        <w:rPr>
          <w:lang w:val="lv-LV"/>
        </w:rPr>
        <w:t xml:space="preserve"> (</w:t>
      </w:r>
      <w:r w:rsidRPr="001D4569">
        <w:rPr>
          <w:lang w:val="lv-LV"/>
        </w:rPr>
        <w:t>COTS</w:t>
      </w:r>
      <w:r w:rsidR="005C57A9">
        <w:rPr>
          <w:lang w:val="lv-LV"/>
        </w:rPr>
        <w:t xml:space="preserve">, </w:t>
      </w:r>
      <w:proofErr w:type="spellStart"/>
      <w:r w:rsidR="005C57A9">
        <w:rPr>
          <w:lang w:val="lv-LV"/>
        </w:rPr>
        <w:t>SaaS</w:t>
      </w:r>
      <w:proofErr w:type="spellEnd"/>
      <w:r w:rsidR="005C57A9">
        <w:rPr>
          <w:lang w:val="lv-LV"/>
        </w:rPr>
        <w:t xml:space="preserve"> u.c.</w:t>
      </w:r>
      <w:r w:rsidR="00682571">
        <w:rPr>
          <w:lang w:val="lv-LV"/>
        </w:rPr>
        <w:t>)</w:t>
      </w:r>
      <w:r w:rsidRPr="001D4569">
        <w:rPr>
          <w:lang w:val="lv-LV"/>
        </w:rPr>
        <w:t xml:space="preserve">, ņemot vērā to, kas ir “pietiekami labs”, jo maz ticams, ka tie atbilst visām prasībām - lai apmierinātu lietotāju vajadzības, </w:t>
      </w:r>
      <w:r w:rsidR="00D3358F">
        <w:rPr>
          <w:lang w:val="lv-LV"/>
        </w:rPr>
        <w:t>var būt nepieciešama konfigurācija</w:t>
      </w:r>
      <w:r w:rsidRPr="001D4569">
        <w:rPr>
          <w:lang w:val="lv-LV"/>
        </w:rPr>
        <w:t xml:space="preserve">. Piemēram, ja </w:t>
      </w:r>
      <w:proofErr w:type="spellStart"/>
      <w:r w:rsidR="003C220E">
        <w:rPr>
          <w:lang w:val="lv-LV"/>
        </w:rPr>
        <w:t>standartrisinājums</w:t>
      </w:r>
      <w:proofErr w:type="spellEnd"/>
      <w:r w:rsidRPr="001D4569">
        <w:rPr>
          <w:lang w:val="lv-LV"/>
        </w:rPr>
        <w:t xml:space="preserve"> risinājums nodrošina 80 % lietotāju vajadzību, apsveriet </w:t>
      </w:r>
      <w:proofErr w:type="spellStart"/>
      <w:r w:rsidR="003C220E">
        <w:rPr>
          <w:lang w:val="lv-LV"/>
        </w:rPr>
        <w:t>standartrisinājuma</w:t>
      </w:r>
      <w:proofErr w:type="spellEnd"/>
      <w:r w:rsidRPr="001D4569">
        <w:rPr>
          <w:lang w:val="lv-LV"/>
        </w:rPr>
        <w:t xml:space="preserve"> papildināšanu vai paplašināšanu atlikušo 20 % vajadzībām, nevis 100% pielāgošanu pēc pasūtījuma.</w:t>
      </w:r>
    </w:p>
    <w:p w14:paraId="07859EC7" w14:textId="5511C163" w:rsidR="001D4569" w:rsidRPr="001D4569" w:rsidRDefault="001D4569" w:rsidP="001D4569">
      <w:pPr>
        <w:pStyle w:val="ListParagraph"/>
        <w:numPr>
          <w:ilvl w:val="0"/>
          <w:numId w:val="11"/>
        </w:numPr>
        <w:jc w:val="both"/>
        <w:rPr>
          <w:lang w:val="lv-LV"/>
        </w:rPr>
      </w:pPr>
      <w:r w:rsidRPr="001D4569">
        <w:rPr>
          <w:lang w:val="lv-LV"/>
        </w:rPr>
        <w:t xml:space="preserve">Izvairieties no </w:t>
      </w:r>
      <w:proofErr w:type="spellStart"/>
      <w:r w:rsidR="003C220E">
        <w:rPr>
          <w:lang w:val="lv-LV"/>
        </w:rPr>
        <w:t>standartrisinājumu</w:t>
      </w:r>
      <w:proofErr w:type="spellEnd"/>
      <w:r w:rsidRPr="001D4569">
        <w:rPr>
          <w:lang w:val="lv-LV"/>
        </w:rPr>
        <w:t xml:space="preserve"> risinājumu pielāgošanas, lai nodrošinātu pielāgotu funkcionalitāti. Ja nepieciešams, izmantojiet konfigurāciju un integrāciju, lai pielāgotu risinājumu lietotāja vajadzībām. Ja iespējams, pielāgojiet </w:t>
      </w:r>
      <w:r w:rsidR="00347428">
        <w:rPr>
          <w:lang w:val="lv-LV"/>
        </w:rPr>
        <w:t>biznesa</w:t>
      </w:r>
      <w:r w:rsidRPr="001D4569">
        <w:rPr>
          <w:lang w:val="lv-LV"/>
        </w:rPr>
        <w:t xml:space="preserve"> procesus, lai tos saskaņotu ar </w:t>
      </w:r>
      <w:proofErr w:type="spellStart"/>
      <w:r w:rsidR="003C220E">
        <w:rPr>
          <w:lang w:val="lv-LV"/>
        </w:rPr>
        <w:t>standartrisinājumiem</w:t>
      </w:r>
      <w:proofErr w:type="spellEnd"/>
      <w:r w:rsidRPr="001D4569">
        <w:rPr>
          <w:lang w:val="lv-LV"/>
        </w:rPr>
        <w:t>.</w:t>
      </w:r>
    </w:p>
    <w:p w14:paraId="2C28EE9E" w14:textId="72331839" w:rsidR="001D4569" w:rsidRPr="001D4569" w:rsidRDefault="001D4569" w:rsidP="001D4569">
      <w:pPr>
        <w:pStyle w:val="ListParagraph"/>
        <w:numPr>
          <w:ilvl w:val="0"/>
          <w:numId w:val="11"/>
        </w:numPr>
        <w:jc w:val="both"/>
        <w:rPr>
          <w:lang w:val="lv-LV"/>
        </w:rPr>
      </w:pPr>
      <w:r w:rsidRPr="001D4569">
        <w:rPr>
          <w:lang w:val="lv-LV"/>
        </w:rPr>
        <w:t>Izstrādājiet izejas stratēģiju</w:t>
      </w:r>
      <w:r w:rsidR="00347428">
        <w:rPr>
          <w:lang w:val="lv-LV"/>
        </w:rPr>
        <w:t xml:space="preserve"> </w:t>
      </w:r>
      <w:r w:rsidR="00347428" w:rsidRPr="003C220E">
        <w:rPr>
          <w:i/>
          <w:iCs/>
          <w:lang w:val="lv-LV"/>
        </w:rPr>
        <w:t>(no angļu val</w:t>
      </w:r>
      <w:r w:rsidR="0045692D" w:rsidRPr="003C220E">
        <w:rPr>
          <w:i/>
          <w:iCs/>
          <w:lang w:val="lv-LV"/>
        </w:rPr>
        <w:t xml:space="preserve">. – </w:t>
      </w:r>
      <w:proofErr w:type="spellStart"/>
      <w:r w:rsidR="0045692D" w:rsidRPr="003C220E">
        <w:rPr>
          <w:i/>
          <w:iCs/>
          <w:lang w:val="lv-LV"/>
        </w:rPr>
        <w:t>Exit</w:t>
      </w:r>
      <w:proofErr w:type="spellEnd"/>
      <w:r w:rsidR="0045692D" w:rsidRPr="003C220E">
        <w:rPr>
          <w:i/>
          <w:iCs/>
          <w:lang w:val="lv-LV"/>
        </w:rPr>
        <w:t xml:space="preserve"> </w:t>
      </w:r>
      <w:proofErr w:type="spellStart"/>
      <w:r w:rsidR="0045692D" w:rsidRPr="003C220E">
        <w:rPr>
          <w:i/>
          <w:iCs/>
          <w:lang w:val="lv-LV"/>
        </w:rPr>
        <w:t>strategy</w:t>
      </w:r>
      <w:proofErr w:type="spellEnd"/>
      <w:r w:rsidR="0045692D" w:rsidRPr="003C220E">
        <w:rPr>
          <w:i/>
          <w:iCs/>
          <w:lang w:val="lv-LV"/>
        </w:rPr>
        <w:t>)</w:t>
      </w:r>
      <w:r w:rsidR="0045692D">
        <w:rPr>
          <w:lang w:val="lv-LV"/>
        </w:rPr>
        <w:t xml:space="preserve"> </w:t>
      </w:r>
      <w:r w:rsidRPr="001D4569">
        <w:rPr>
          <w:lang w:val="lv-LV"/>
        </w:rPr>
        <w:t xml:space="preserve">pirms </w:t>
      </w:r>
      <w:proofErr w:type="spellStart"/>
      <w:r w:rsidR="003C220E">
        <w:rPr>
          <w:lang w:val="lv-LV"/>
        </w:rPr>
        <w:t>standartrisinājuma</w:t>
      </w:r>
      <w:proofErr w:type="spellEnd"/>
      <w:r w:rsidRPr="001D4569">
        <w:rPr>
          <w:lang w:val="lv-LV"/>
        </w:rPr>
        <w:t xml:space="preserve"> ieviešanas, lai novērstu piegādātāja ieslēgšanu.</w:t>
      </w:r>
    </w:p>
    <w:p w14:paraId="3956F153" w14:textId="63C0993D" w:rsidR="001D4569" w:rsidRPr="001D4569" w:rsidRDefault="00214767" w:rsidP="001D4569">
      <w:pPr>
        <w:pStyle w:val="ListParagraph"/>
        <w:numPr>
          <w:ilvl w:val="0"/>
          <w:numId w:val="11"/>
        </w:numPr>
        <w:jc w:val="both"/>
        <w:rPr>
          <w:lang w:val="lv-LV"/>
        </w:rPr>
      </w:pPr>
      <w:r>
        <w:rPr>
          <w:lang w:val="lv-LV"/>
        </w:rPr>
        <w:t>Risinājumu alternatīvu</w:t>
      </w:r>
      <w:r w:rsidR="001D4569" w:rsidRPr="001D4569">
        <w:rPr>
          <w:lang w:val="lv-LV"/>
        </w:rPr>
        <w:t xml:space="preserve"> izvērtēšanas laikā novērtējiet </w:t>
      </w:r>
      <w:r w:rsidR="00FF5899">
        <w:rPr>
          <w:lang w:val="lv-LV"/>
        </w:rPr>
        <w:t xml:space="preserve">kopējās īpašumtiesību izmaksas </w:t>
      </w:r>
      <w:r w:rsidR="00FF5899" w:rsidRPr="00214767">
        <w:rPr>
          <w:i/>
          <w:iCs/>
          <w:lang w:val="lv-LV"/>
        </w:rPr>
        <w:t>(</w:t>
      </w:r>
      <w:r w:rsidRPr="00214767">
        <w:rPr>
          <w:i/>
          <w:iCs/>
          <w:lang w:val="lv-LV"/>
        </w:rPr>
        <w:t xml:space="preserve">no angļu val. – </w:t>
      </w:r>
      <w:proofErr w:type="spellStart"/>
      <w:r w:rsidR="00FF5899" w:rsidRPr="00214767">
        <w:rPr>
          <w:i/>
          <w:iCs/>
          <w:lang w:val="lv-LV"/>
        </w:rPr>
        <w:t>T</w:t>
      </w:r>
      <w:r w:rsidRPr="00214767">
        <w:rPr>
          <w:i/>
          <w:iCs/>
          <w:lang w:val="lv-LV"/>
        </w:rPr>
        <w:t>otal</w:t>
      </w:r>
      <w:proofErr w:type="spellEnd"/>
      <w:r w:rsidRPr="00214767">
        <w:rPr>
          <w:i/>
          <w:iCs/>
          <w:lang w:val="lv-LV"/>
        </w:rPr>
        <w:t xml:space="preserve"> </w:t>
      </w:r>
      <w:proofErr w:type="spellStart"/>
      <w:r w:rsidRPr="00214767">
        <w:rPr>
          <w:i/>
          <w:iCs/>
          <w:lang w:val="lv-LV"/>
        </w:rPr>
        <w:t>cost</w:t>
      </w:r>
      <w:proofErr w:type="spellEnd"/>
      <w:r w:rsidRPr="00214767">
        <w:rPr>
          <w:i/>
          <w:iCs/>
          <w:lang w:val="lv-LV"/>
        </w:rPr>
        <w:t xml:space="preserve"> </w:t>
      </w:r>
      <w:proofErr w:type="spellStart"/>
      <w:r w:rsidRPr="00214767">
        <w:rPr>
          <w:i/>
          <w:iCs/>
          <w:lang w:val="lv-LV"/>
        </w:rPr>
        <w:t>of</w:t>
      </w:r>
      <w:proofErr w:type="spellEnd"/>
      <w:r w:rsidRPr="00214767">
        <w:rPr>
          <w:i/>
          <w:iCs/>
          <w:lang w:val="lv-LV"/>
        </w:rPr>
        <w:t xml:space="preserve"> </w:t>
      </w:r>
      <w:proofErr w:type="spellStart"/>
      <w:r w:rsidRPr="00214767">
        <w:rPr>
          <w:i/>
          <w:iCs/>
          <w:lang w:val="lv-LV"/>
        </w:rPr>
        <w:t>ownership</w:t>
      </w:r>
      <w:proofErr w:type="spellEnd"/>
      <w:r w:rsidR="00FF5899" w:rsidRPr="00214767">
        <w:rPr>
          <w:i/>
          <w:iCs/>
          <w:lang w:val="lv-LV"/>
        </w:rPr>
        <w:t>)</w:t>
      </w:r>
      <w:r w:rsidR="001D4569" w:rsidRPr="001D4569">
        <w:rPr>
          <w:lang w:val="lv-LV"/>
        </w:rPr>
        <w:t xml:space="preserve"> starp </w:t>
      </w:r>
      <w:proofErr w:type="spellStart"/>
      <w:r>
        <w:rPr>
          <w:lang w:val="lv-LV"/>
        </w:rPr>
        <w:t>standartrisinājumiem</w:t>
      </w:r>
      <w:proofErr w:type="spellEnd"/>
      <w:r w:rsidR="001D4569" w:rsidRPr="001D4569">
        <w:rPr>
          <w:lang w:val="lv-LV"/>
        </w:rPr>
        <w:t xml:space="preserve"> un pielāgotām iespējām. Tajā jāiekļauj mitināšanas, platformas, piegādes resursu un atbalsta izmaksas visā produkta darbības laikā.</w:t>
      </w:r>
    </w:p>
    <w:p w14:paraId="6066FDE0" w14:textId="5774D365" w:rsidR="00502D87" w:rsidRPr="008D19AA" w:rsidRDefault="001D4569" w:rsidP="001D4569">
      <w:pPr>
        <w:pStyle w:val="ListParagraph"/>
        <w:numPr>
          <w:ilvl w:val="0"/>
          <w:numId w:val="11"/>
        </w:numPr>
        <w:jc w:val="both"/>
        <w:rPr>
          <w:lang w:val="lv-LV"/>
        </w:rPr>
      </w:pPr>
      <w:r w:rsidRPr="001D4569">
        <w:rPr>
          <w:lang w:val="lv-LV"/>
        </w:rPr>
        <w:lastRenderedPageBreak/>
        <w:t>Novērtējot pakalpojumu mitināšanas iespējas, dodiet priekšroku programmatūras kā pakalpojuma (</w:t>
      </w:r>
      <w:proofErr w:type="spellStart"/>
      <w:r w:rsidRPr="001D4569">
        <w:rPr>
          <w:lang w:val="lv-LV"/>
        </w:rPr>
        <w:t>SaaS</w:t>
      </w:r>
      <w:proofErr w:type="spellEnd"/>
      <w:r w:rsidRPr="001D4569">
        <w:rPr>
          <w:lang w:val="lv-LV"/>
        </w:rPr>
        <w:t>) pakalpojumiem, nevis platformas kā pakalpojuma (</w:t>
      </w:r>
      <w:proofErr w:type="spellStart"/>
      <w:r w:rsidRPr="001D4569">
        <w:rPr>
          <w:lang w:val="lv-LV"/>
        </w:rPr>
        <w:t>PaaS</w:t>
      </w:r>
      <w:proofErr w:type="spellEnd"/>
      <w:r w:rsidRPr="001D4569">
        <w:rPr>
          <w:lang w:val="lv-LV"/>
        </w:rPr>
        <w:t>) pakalpojumiem, nevis infrastruktūrai kā pakalpojumam (</w:t>
      </w:r>
      <w:proofErr w:type="spellStart"/>
      <w:r w:rsidRPr="001D4569">
        <w:rPr>
          <w:lang w:val="lv-LV"/>
        </w:rPr>
        <w:t>IaaS</w:t>
      </w:r>
      <w:proofErr w:type="spellEnd"/>
      <w:r w:rsidRPr="001D4569">
        <w:rPr>
          <w:lang w:val="lv-LV"/>
        </w:rPr>
        <w:t>), nevis vietējām iespējām.</w:t>
      </w:r>
    </w:p>
    <w:p w14:paraId="6A26734F" w14:textId="77777777" w:rsidR="00502D87" w:rsidRDefault="00502D87" w:rsidP="00502D87">
      <w:pPr>
        <w:rPr>
          <w:lang w:val="lv-LV"/>
        </w:rPr>
      </w:pPr>
      <w:r w:rsidRPr="00C20AD0">
        <w:rPr>
          <w:lang w:val="lv-LV"/>
        </w:rPr>
        <w:t>Novērtēšanas vadlīnijas:</w:t>
      </w:r>
    </w:p>
    <w:p w14:paraId="1784ADB7" w14:textId="435E27C9" w:rsidR="00126ED8" w:rsidRPr="00CE200C" w:rsidRDefault="002A2BE0" w:rsidP="00126ED8">
      <w:pPr>
        <w:pStyle w:val="ListParagraph"/>
        <w:numPr>
          <w:ilvl w:val="0"/>
          <w:numId w:val="31"/>
        </w:numPr>
        <w:rPr>
          <w:lang w:val="lv-LV"/>
        </w:rPr>
      </w:pPr>
      <w:r>
        <w:rPr>
          <w:lang w:val="lv-LV"/>
        </w:rPr>
        <w:t xml:space="preserve">TPK3. </w:t>
      </w:r>
      <w:r w:rsidR="00126ED8" w:rsidRPr="00CE200C">
        <w:rPr>
          <w:lang w:val="lv-LV"/>
        </w:rPr>
        <w:t xml:space="preserve">Vai </w:t>
      </w:r>
      <w:proofErr w:type="spellStart"/>
      <w:r w:rsidR="00126ED8" w:rsidRPr="00CE200C">
        <w:rPr>
          <w:lang w:val="lv-LV"/>
        </w:rPr>
        <w:t>mērķarhitektūras</w:t>
      </w:r>
      <w:proofErr w:type="spellEnd"/>
      <w:r w:rsidR="00126ED8" w:rsidRPr="00CE200C">
        <w:rPr>
          <w:lang w:val="lv-LV"/>
        </w:rPr>
        <w:t xml:space="preserve"> ieviešanas laikā paredzēts veikt detalizētu </w:t>
      </w:r>
      <w:r w:rsidR="00A17874">
        <w:rPr>
          <w:lang w:val="lv-LV"/>
        </w:rPr>
        <w:t>IKT risinājumu alternatīvu</w:t>
      </w:r>
      <w:r w:rsidR="00126ED8" w:rsidRPr="00CE200C">
        <w:rPr>
          <w:lang w:val="lv-LV"/>
        </w:rPr>
        <w:t xml:space="preserve"> novērtējum</w:t>
      </w:r>
      <w:r w:rsidR="00A17874">
        <w:rPr>
          <w:lang w:val="lv-LV"/>
        </w:rPr>
        <w:t>u</w:t>
      </w:r>
      <w:r w:rsidR="00126ED8" w:rsidRPr="00CE200C">
        <w:rPr>
          <w:lang w:val="lv-LV"/>
        </w:rPr>
        <w:t>, salīdzinot dažādus programmatūras iegādes veidus (</w:t>
      </w:r>
      <w:proofErr w:type="spellStart"/>
      <w:r w:rsidR="00126ED8" w:rsidRPr="00CE200C">
        <w:rPr>
          <w:lang w:val="lv-LV"/>
        </w:rPr>
        <w:t>SaaS</w:t>
      </w:r>
      <w:proofErr w:type="spellEnd"/>
      <w:r w:rsidR="00126ED8" w:rsidRPr="00CE200C">
        <w:rPr>
          <w:lang w:val="lv-LV"/>
        </w:rPr>
        <w:t>, COTS, pielāgotā izstrāde)?</w:t>
      </w:r>
    </w:p>
    <w:p w14:paraId="470C6242" w14:textId="736A876D" w:rsidR="00502D87" w:rsidRPr="00CE200C" w:rsidRDefault="002A2BE0" w:rsidP="00252A2F">
      <w:pPr>
        <w:pStyle w:val="ListParagraph"/>
        <w:numPr>
          <w:ilvl w:val="0"/>
          <w:numId w:val="31"/>
        </w:numPr>
        <w:rPr>
          <w:lang w:val="lv-LV"/>
        </w:rPr>
      </w:pPr>
      <w:r>
        <w:rPr>
          <w:lang w:val="lv-LV"/>
        </w:rPr>
        <w:t xml:space="preserve">TPK4. </w:t>
      </w:r>
      <w:r w:rsidR="001A435E" w:rsidRPr="00CE200C">
        <w:rPr>
          <w:lang w:val="lv-LV"/>
        </w:rPr>
        <w:t xml:space="preserve">Vai </w:t>
      </w:r>
      <w:proofErr w:type="spellStart"/>
      <w:r w:rsidR="001A435E" w:rsidRPr="00CE200C">
        <w:rPr>
          <w:lang w:val="lv-LV"/>
        </w:rPr>
        <w:t>mērķarhitektūras</w:t>
      </w:r>
      <w:proofErr w:type="spellEnd"/>
      <w:r w:rsidR="001A435E" w:rsidRPr="00CE200C">
        <w:rPr>
          <w:lang w:val="lv-LV"/>
        </w:rPr>
        <w:t xml:space="preserve"> ieviešanai </w:t>
      </w:r>
      <w:r w:rsidR="00A17874">
        <w:rPr>
          <w:lang w:val="lv-LV"/>
        </w:rPr>
        <w:t>paredzēts</w:t>
      </w:r>
      <w:r w:rsidR="001A435E" w:rsidRPr="00CE200C">
        <w:rPr>
          <w:lang w:val="lv-LV"/>
        </w:rPr>
        <w:t xml:space="preserve"> </w:t>
      </w:r>
      <w:proofErr w:type="spellStart"/>
      <w:r w:rsidR="001A435E" w:rsidRPr="00CE200C">
        <w:rPr>
          <w:lang w:val="lv-LV"/>
        </w:rPr>
        <w:t>prioritizēt</w:t>
      </w:r>
      <w:proofErr w:type="spellEnd"/>
      <w:r w:rsidR="001A435E" w:rsidRPr="00CE200C">
        <w:rPr>
          <w:lang w:val="lv-LV"/>
        </w:rPr>
        <w:t xml:space="preserve"> </w:t>
      </w:r>
      <w:r w:rsidR="001A435E" w:rsidRPr="00CE200C">
        <w:rPr>
          <w:lang w:val="lv-LV" w:bidi="lv-LV"/>
        </w:rPr>
        <w:t xml:space="preserve">augstākas pievienotās vērtības </w:t>
      </w:r>
      <w:proofErr w:type="spellStart"/>
      <w:r w:rsidR="001A435E" w:rsidRPr="00CE200C">
        <w:rPr>
          <w:lang w:val="lv-LV" w:bidi="lv-LV"/>
        </w:rPr>
        <w:t>mākoņdatošanas</w:t>
      </w:r>
      <w:proofErr w:type="spellEnd"/>
      <w:r w:rsidR="001A435E" w:rsidRPr="00CE200C">
        <w:rPr>
          <w:lang w:val="lv-LV" w:bidi="lv-LV"/>
        </w:rPr>
        <w:t xml:space="preserve"> pakalpojum</w:t>
      </w:r>
      <w:r w:rsidR="00A17874">
        <w:rPr>
          <w:lang w:val="lv-LV" w:bidi="lv-LV"/>
        </w:rPr>
        <w:t>u</w:t>
      </w:r>
      <w:r w:rsidR="001A435E" w:rsidRPr="00CE200C">
        <w:rPr>
          <w:lang w:val="lv-LV" w:bidi="lv-LV"/>
        </w:rPr>
        <w:t xml:space="preserve"> izmantošan</w:t>
      </w:r>
      <w:r w:rsidR="00A17874">
        <w:rPr>
          <w:lang w:val="lv-LV" w:bidi="lv-LV"/>
        </w:rPr>
        <w:t>u</w:t>
      </w:r>
      <w:r w:rsidR="001A435E" w:rsidRPr="00CE200C">
        <w:rPr>
          <w:lang w:val="lv-LV" w:bidi="lv-LV"/>
        </w:rPr>
        <w:t xml:space="preserve"> (piemēram, Lietojumprogrammas kā pakalpojums (</w:t>
      </w:r>
      <w:proofErr w:type="spellStart"/>
      <w:r w:rsidR="001A435E" w:rsidRPr="00CE200C">
        <w:rPr>
          <w:lang w:val="lv-LV" w:bidi="lv-LV"/>
        </w:rPr>
        <w:t>SaaS</w:t>
      </w:r>
      <w:proofErr w:type="spellEnd"/>
      <w:r w:rsidR="001A435E" w:rsidRPr="00CE200C">
        <w:rPr>
          <w:lang w:val="lv-LV" w:bidi="lv-LV"/>
        </w:rPr>
        <w:t>), Infrastruktūra kā pakalpojums (</w:t>
      </w:r>
      <w:proofErr w:type="spellStart"/>
      <w:r w:rsidR="001A435E" w:rsidRPr="00CE200C">
        <w:rPr>
          <w:lang w:val="lv-LV" w:bidi="lv-LV"/>
        </w:rPr>
        <w:t>IaaS</w:t>
      </w:r>
      <w:proofErr w:type="spellEnd"/>
      <w:r w:rsidR="001A435E" w:rsidRPr="00CE200C">
        <w:rPr>
          <w:lang w:val="lv-LV" w:bidi="lv-LV"/>
        </w:rPr>
        <w:t>))</w:t>
      </w:r>
      <w:r w:rsidR="00C31D78" w:rsidRPr="00CE200C">
        <w:rPr>
          <w:lang w:val="lv-LV" w:bidi="lv-LV"/>
        </w:rPr>
        <w:t>?</w:t>
      </w:r>
    </w:p>
    <w:p w14:paraId="14A53D21" w14:textId="15EDB17D" w:rsidR="00992610" w:rsidRDefault="00992610" w:rsidP="00372307">
      <w:pPr>
        <w:pStyle w:val="Heading2"/>
        <w:rPr>
          <w:i/>
        </w:rPr>
      </w:pPr>
      <w:r w:rsidRPr="05D2EDCA">
        <w:t>TP</w:t>
      </w:r>
      <w:r w:rsidR="00840FB1" w:rsidRPr="05D2EDCA">
        <w:t>3</w:t>
      </w:r>
      <w:r w:rsidRPr="05D2EDCA">
        <w:t xml:space="preserve">. </w:t>
      </w:r>
      <w:r w:rsidRPr="00E2406D">
        <w:rPr>
          <w:noProof/>
          <w:lang w:val="lv-LV"/>
        </w:rPr>
        <mc:AlternateContent>
          <mc:Choice Requires="wps">
            <w:drawing>
              <wp:anchor distT="0" distB="0" distL="114300" distR="114300" simplePos="0" relativeHeight="251658272" behindDoc="0" locked="0" layoutInCell="1" allowOverlap="1" wp14:anchorId="2226E41F" wp14:editId="490A3787">
                <wp:simplePos x="0" y="0"/>
                <wp:positionH relativeFrom="column">
                  <wp:posOffset>0</wp:posOffset>
                </wp:positionH>
                <wp:positionV relativeFrom="paragraph">
                  <wp:posOffset>316865</wp:posOffset>
                </wp:positionV>
                <wp:extent cx="1828800" cy="1828800"/>
                <wp:effectExtent l="0" t="0" r="8890" b="10795"/>
                <wp:wrapTopAndBottom/>
                <wp:docPr id="95237686"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416E393" w14:textId="012C06E2" w:rsidR="00992610" w:rsidRDefault="00252A2F" w:rsidP="00992610">
                            <w:pPr>
                              <w:ind w:left="851"/>
                              <w:jc w:val="both"/>
                              <w:rPr>
                                <w:lang w:val="lv-LV" w:bidi="lv-LV"/>
                              </w:rPr>
                            </w:pPr>
                            <w:r>
                              <w:rPr>
                                <w:lang w:val="lv-LV" w:bidi="lv-LV"/>
                              </w:rPr>
                              <w:t>Pakalpojumu orientētu IKT risinājumu izveidē nepieciešams</w:t>
                            </w:r>
                            <w:r w:rsidRPr="00252A2F">
                              <w:rPr>
                                <w:lang w:val="lv-LV" w:bidi="lv-LV"/>
                              </w:rPr>
                              <w:t xml:space="preserve"> prioritizē</w:t>
                            </w:r>
                            <w:r>
                              <w:rPr>
                                <w:lang w:val="lv-LV" w:bidi="lv-LV"/>
                              </w:rPr>
                              <w:t>t</w:t>
                            </w:r>
                            <w:r w:rsidRPr="00252A2F">
                              <w:rPr>
                                <w:lang w:val="lv-LV" w:bidi="lv-LV"/>
                              </w:rPr>
                              <w:t xml:space="preserve"> mobilās ierīces kā primāro platformu, uz kur</w:t>
                            </w:r>
                            <w:r>
                              <w:rPr>
                                <w:lang w:val="lv-LV" w:bidi="lv-LV"/>
                              </w:rPr>
                              <w:t>ām</w:t>
                            </w:r>
                            <w:r w:rsidRPr="00252A2F">
                              <w:rPr>
                                <w:lang w:val="lv-LV" w:bidi="lv-LV"/>
                              </w:rPr>
                              <w:t xml:space="preserve"> tiek balstīts dizains un funkcionalitāte. Šis princips tiek izmantots, lai nodrošinātu, ka publiskie pakalpojumi ir pieejami un viegli lietojami ikvienam neatkarīgi no viņu tehniskās piekļuves iespējām.</w:t>
                            </w:r>
                          </w:p>
                          <w:p w14:paraId="4784859D" w14:textId="6171DE71" w:rsidR="00252A2F" w:rsidRDefault="00252A2F" w:rsidP="00992610">
                            <w:pPr>
                              <w:ind w:left="851"/>
                              <w:jc w:val="both"/>
                              <w:rPr>
                                <w:lang w:val="lv-LV" w:bidi="lv-LV"/>
                              </w:rPr>
                            </w:pPr>
                            <w:r>
                              <w:rPr>
                                <w:lang w:val="lv-LV" w:bidi="lv-LV"/>
                              </w:rPr>
                              <w:t xml:space="preserve">Rekomendēts mobilajās iekārtās aptvert biežāk izmantotos digitālos pakalpojumus, paplašinātai funkcionalitātei izvēloties responsīvo dizainu. </w:t>
                            </w:r>
                          </w:p>
                          <w:p w14:paraId="2F6A8A79" w14:textId="76F76D14" w:rsidR="00CD7FFE" w:rsidRPr="00252A2F" w:rsidRDefault="00CD7FFE" w:rsidP="00CD7FFE">
                            <w:pPr>
                              <w:ind w:left="851"/>
                              <w:jc w:val="both"/>
                              <w:rPr>
                                <w:lang w:val="lv-LV" w:bidi="lv-LV"/>
                              </w:rPr>
                            </w:pPr>
                            <w:r w:rsidRPr="00CD7FFE">
                              <w:rPr>
                                <w:lang w:bidi="lv-LV"/>
                              </w:rPr>
                              <w:t xml:space="preserve">Principa piemērošanā jāņem vērā konkrētā pakalpojuma </w:t>
                            </w:r>
                            <w:r>
                              <w:rPr>
                                <w:lang w:bidi="lv-LV"/>
                              </w:rPr>
                              <w:t>konteksts</w:t>
                            </w:r>
                            <w:r w:rsidRPr="00CD7FFE">
                              <w:rPr>
                                <w:lang w:bidi="lv-LV"/>
                              </w:rPr>
                              <w:t xml:space="preserve"> un lietošanas scenāriji. Piemēram, ja pakalpojums ietver detalizētu dokumentu izstrādi, kas ērtāk veicama uz stacionārās ierīces, mobilās ierīces nevajadzētu noteikt kā galveno platformu.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26E41F" id="_x0000_s1043" type="#_x0000_t202" style="position:absolute;margin-left:0;margin-top:24.95pt;width:2in;height:2in;z-index:251658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XAIAAA0FAAAOAAAAZHJzL2Uyb0RvYy54bWysVE1v2zAMvQ/YfxB0X+xk3ZoFdYosRYYB&#10;RVs0HXpWZKkxJouCxMTOfv0oOXa6LqdhF5kS+fjxSPrquq0N2ysfKrAFH49yzpSVUFb2peA/nlYf&#10;ppwFFLYUBqwq+EEFfj1//+6qcTM1gS2YUnlGTmyYNa7gW0Q3y7Igt6oWYQROWVJq8LVAuvqXrPSi&#10;Ie+1ySZ5/jlrwJfOg1Qh0OtNp+Tz5F9rJfFe66CQmYJTbphOn85NPLP5lZi9eOG2lTymIf4hi1pU&#10;loIOrm4ECrbz1V+u6kp6CKBxJKHOQOtKqlQDVTPO31Sz3gqnUi1ETnADTeH/uZV3+7V78Azbr9BS&#10;AyMhjQuzQI+xnlb7On4pU0Z6ovAw0KZaZDKCppPpNCeVJF1/IT/ZCe58wG8KahaFgnvqS6JL7G8D&#10;dqa9SYxmbHw75ZEkPBjVKR+VZlVJkSfJSRoWtTSe7QW1WUipLH6MlVAGxpJ1hOnKmAE4Pgc0mMon&#10;0NE2wlQaogGYnwP+GXFApKhgcQDXlQV/zkH5c4jc2ffVdzXH8rHdtFQ0EXzZ92gD5YFa56Gb6uDk&#10;qiJ6b0XAB+FpjKkltJp4T4c20BQcjhJnW/C/zr1He5ou0nLW0FoU3NLecma+W5q6L+OLi7hF6XLx&#10;6XJCF/9as3mtsbt6CdSQMf0CnExitEfTi9pD/Uz7u4gxSSWspMgFx15cYreqtP9SLRbJiPbGCby1&#10;ayej60hyHJ2n9ll4d5wvpNG8g359xOzNmHW2ERncYoewqtIMRpo7To/0086lGTr+H+JSv74nq9Nf&#10;bP4bAAD//wMAUEsDBBQABgAIAAAAIQDu75ah2wAAAAcBAAAPAAAAZHJzL2Rvd25yZXYueG1sTI9N&#10;T8MwDIbvSPyHyEjcWMo6QVvqTgMJODMmzlnjfrDGqZpsK/x6zAmO9vvq8eNyPbtBnWgKvWeE20UC&#10;irj2tucWYff+fJOBCtGwNYNnQviiAOvq8qI0hfVnfqPTNrZKIBwKg9DFOBZah7ojZ8LCj8SSNX5y&#10;Jso4tdpO5ixwN+hlktxpZ3qWC50Z6amj+rA9OoT04zVt7Nz0L6skDY+02eXfnwfE66t58wAq0hz/&#10;yvCrL+pQidPeH9kGNSDIIxFhleegJF1mmSz2gk7vc9BVqf/7Vz8AAAD//wMAUEsBAi0AFAAGAAgA&#10;AAAhALaDOJL+AAAA4QEAABMAAAAAAAAAAAAAAAAAAAAAAFtDb250ZW50X1R5cGVzXS54bWxQSwEC&#10;LQAUAAYACAAAACEAOP0h/9YAAACUAQAACwAAAAAAAAAAAAAAAAAvAQAAX3JlbHMvLnJlbHNQSwEC&#10;LQAUAAYACAAAACEAQv7fuFwCAAANBQAADgAAAAAAAAAAAAAAAAAuAgAAZHJzL2Uyb0RvYy54bWxQ&#10;SwECLQAUAAYACAAAACEA7u+WodsAAAAHAQAADwAAAAAAAAAAAAAAAAC2BAAAZHJzL2Rvd25yZXYu&#10;eG1sUEsFBgAAAAAEAAQA8wAAAL4FAAAAAA==&#10;" fillcolor="white [3201]" strokecolor="#196b24 [3206]" strokeweight="1pt">
                <v:textbox style="mso-fit-shape-to-text:t">
                  <w:txbxContent>
                    <w:p w14:paraId="0416E393" w14:textId="012C06E2" w:rsidR="00992610" w:rsidRDefault="00252A2F" w:rsidP="00992610">
                      <w:pPr>
                        <w:ind w:left="851"/>
                        <w:jc w:val="both"/>
                        <w:rPr>
                          <w:lang w:val="lv-LV" w:bidi="lv-LV"/>
                        </w:rPr>
                      </w:pPr>
                      <w:r>
                        <w:rPr>
                          <w:lang w:val="lv-LV" w:bidi="lv-LV"/>
                        </w:rPr>
                        <w:t>Pakalpojumu orientētu IKT risinājumu izveidē nepieciešams</w:t>
                      </w:r>
                      <w:r w:rsidRPr="00252A2F">
                        <w:rPr>
                          <w:lang w:val="lv-LV" w:bidi="lv-LV"/>
                        </w:rPr>
                        <w:t xml:space="preserve"> prioritizē</w:t>
                      </w:r>
                      <w:r>
                        <w:rPr>
                          <w:lang w:val="lv-LV" w:bidi="lv-LV"/>
                        </w:rPr>
                        <w:t>t</w:t>
                      </w:r>
                      <w:r w:rsidRPr="00252A2F">
                        <w:rPr>
                          <w:lang w:val="lv-LV" w:bidi="lv-LV"/>
                        </w:rPr>
                        <w:t xml:space="preserve"> mobilās ierīces kā primāro platformu, uz kur</w:t>
                      </w:r>
                      <w:r>
                        <w:rPr>
                          <w:lang w:val="lv-LV" w:bidi="lv-LV"/>
                        </w:rPr>
                        <w:t>ām</w:t>
                      </w:r>
                      <w:r w:rsidRPr="00252A2F">
                        <w:rPr>
                          <w:lang w:val="lv-LV" w:bidi="lv-LV"/>
                        </w:rPr>
                        <w:t xml:space="preserve"> tiek balstīts dizains un funkcionalitāte. Šis princips tiek izmantots, lai nodrošinātu, ka publiskie pakalpojumi ir pieejami un viegli lietojami ikvienam neatkarīgi no viņu tehniskās piekļuves iespējām.</w:t>
                      </w:r>
                    </w:p>
                    <w:p w14:paraId="4784859D" w14:textId="6171DE71" w:rsidR="00252A2F" w:rsidRDefault="00252A2F" w:rsidP="00992610">
                      <w:pPr>
                        <w:ind w:left="851"/>
                        <w:jc w:val="both"/>
                        <w:rPr>
                          <w:lang w:val="lv-LV" w:bidi="lv-LV"/>
                        </w:rPr>
                      </w:pPr>
                      <w:r>
                        <w:rPr>
                          <w:lang w:val="lv-LV" w:bidi="lv-LV"/>
                        </w:rPr>
                        <w:t xml:space="preserve">Rekomendēts mobilajās iekārtās aptvert biežāk izmantotos digitālos pakalpojumus, paplašinātai funkcionalitātei izvēloties responsīvo dizainu. </w:t>
                      </w:r>
                    </w:p>
                    <w:p w14:paraId="2F6A8A79" w14:textId="76F76D14" w:rsidR="00CD7FFE" w:rsidRPr="00252A2F" w:rsidRDefault="00CD7FFE" w:rsidP="00CD7FFE">
                      <w:pPr>
                        <w:ind w:left="851"/>
                        <w:jc w:val="both"/>
                        <w:rPr>
                          <w:lang w:val="lv-LV" w:bidi="lv-LV"/>
                        </w:rPr>
                      </w:pPr>
                      <w:r w:rsidRPr="00CD7FFE">
                        <w:rPr>
                          <w:lang w:bidi="lv-LV"/>
                        </w:rPr>
                        <w:t xml:space="preserve">Principa piemērošanā jāņem vērā konkrētā pakalpojuma </w:t>
                      </w:r>
                      <w:r>
                        <w:rPr>
                          <w:lang w:bidi="lv-LV"/>
                        </w:rPr>
                        <w:t>konteksts</w:t>
                      </w:r>
                      <w:r w:rsidRPr="00CD7FFE">
                        <w:rPr>
                          <w:lang w:bidi="lv-LV"/>
                        </w:rPr>
                        <w:t xml:space="preserve"> un lietošanas scenāriji. Piemēram, ja pakalpojums ietver detalizētu dokumentu izstrādi, kas ērtāk veicama uz stacionārās ierīces, mobilās ierīces nevajadzētu noteikt kā galveno platformu.</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73" behindDoc="0" locked="0" layoutInCell="1" allowOverlap="1" wp14:anchorId="28010DB6" wp14:editId="4B77C686">
            <wp:simplePos x="0" y="0"/>
            <wp:positionH relativeFrom="margin">
              <wp:posOffset>88900</wp:posOffset>
            </wp:positionH>
            <wp:positionV relativeFrom="paragraph">
              <wp:posOffset>450850</wp:posOffset>
            </wp:positionV>
            <wp:extent cx="427990" cy="427990"/>
            <wp:effectExtent l="0" t="0" r="0" b="0"/>
            <wp:wrapSquare wrapText="bothSides"/>
            <wp:docPr id="537092849"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Pr="05D2EDCA">
        <w:t xml:space="preserve"> </w:t>
      </w:r>
      <w:proofErr w:type="spellStart"/>
      <w:r w:rsidR="00C84548" w:rsidRPr="05D2EDCA">
        <w:t>Radīt</w:t>
      </w:r>
      <w:proofErr w:type="spellEnd"/>
      <w:r w:rsidR="00C84548" w:rsidRPr="05D2EDCA">
        <w:t xml:space="preserve"> </w:t>
      </w:r>
      <w:proofErr w:type="spellStart"/>
      <w:r w:rsidR="00C84548" w:rsidRPr="05D2EDCA">
        <w:t>m</w:t>
      </w:r>
      <w:r w:rsidRPr="05D2EDCA">
        <w:t>obilajām</w:t>
      </w:r>
      <w:proofErr w:type="spellEnd"/>
      <w:r w:rsidRPr="05D2EDCA">
        <w:t xml:space="preserve"> </w:t>
      </w:r>
      <w:proofErr w:type="spellStart"/>
      <w:r w:rsidRPr="05D2EDCA">
        <w:t>ierīcēm</w:t>
      </w:r>
      <w:proofErr w:type="spellEnd"/>
      <w:r w:rsidRPr="05D2EDCA">
        <w:t xml:space="preserve"> </w:t>
      </w:r>
      <w:proofErr w:type="spellStart"/>
      <w:r w:rsidRPr="05D2EDCA">
        <w:t>draudzīg</w:t>
      </w:r>
      <w:r w:rsidR="00C84548" w:rsidRPr="05D2EDCA">
        <w:t>us</w:t>
      </w:r>
      <w:proofErr w:type="spellEnd"/>
      <w:r w:rsidRPr="05D2EDCA">
        <w:t xml:space="preserve"> </w:t>
      </w:r>
      <w:proofErr w:type="spellStart"/>
      <w:r w:rsidRPr="05D2EDCA">
        <w:t>risinājum</w:t>
      </w:r>
      <w:r w:rsidR="000B614A" w:rsidRPr="05D2EDCA">
        <w:t>i</w:t>
      </w:r>
      <w:proofErr w:type="spellEnd"/>
      <w:r w:rsidRPr="05D2EDCA">
        <w:t xml:space="preserve"> </w:t>
      </w:r>
    </w:p>
    <w:p w14:paraId="5729916A" w14:textId="7C548FCF" w:rsidR="000E50B6" w:rsidRDefault="000E50B6" w:rsidP="00992610">
      <w:pPr>
        <w:rPr>
          <w:lang w:val="lv-LV"/>
        </w:rPr>
      </w:pPr>
    </w:p>
    <w:p w14:paraId="75EBA91C" w14:textId="77777777" w:rsidR="00502D87" w:rsidRPr="00AE17B5" w:rsidRDefault="00502D87" w:rsidP="00502D87">
      <w:pPr>
        <w:rPr>
          <w:lang w:val="lv-LV"/>
        </w:rPr>
      </w:pPr>
      <w:r w:rsidRPr="00AE17B5">
        <w:rPr>
          <w:lang w:val="lv-LV"/>
        </w:rPr>
        <w:t>Piemērošanas vadlīnijas:</w:t>
      </w:r>
    </w:p>
    <w:p w14:paraId="0FB59C11" w14:textId="67CDC5EA" w:rsidR="00CB724D" w:rsidRPr="00AF5552" w:rsidRDefault="62ECDF6B" w:rsidP="00AF5552">
      <w:pPr>
        <w:pStyle w:val="ListParagraph"/>
        <w:numPr>
          <w:ilvl w:val="0"/>
          <w:numId w:val="11"/>
        </w:numPr>
        <w:jc w:val="both"/>
        <w:rPr>
          <w:lang w:val="lv-LV"/>
        </w:rPr>
      </w:pPr>
      <w:commentRangeStart w:id="30"/>
      <w:commentRangeStart w:id="31"/>
      <w:r w:rsidRPr="3D3736F2">
        <w:rPr>
          <w:lang w:val="lv-LV"/>
        </w:rPr>
        <w:t xml:space="preserve">Izstrādājot risinājumus, </w:t>
      </w:r>
      <w:proofErr w:type="spellStart"/>
      <w:r w:rsidRPr="3D3736F2">
        <w:rPr>
          <w:lang w:val="lv-LV"/>
        </w:rPr>
        <w:t>prioritizējiet</w:t>
      </w:r>
      <w:proofErr w:type="spellEnd"/>
      <w:r w:rsidRPr="3D3736F2">
        <w:rPr>
          <w:lang w:val="lv-LV"/>
        </w:rPr>
        <w:t xml:space="preserve"> mobilās ierīces kā galveno platformu</w:t>
      </w:r>
      <w:commentRangeEnd w:id="30"/>
      <w:r w:rsidR="00443BD0">
        <w:rPr>
          <w:rStyle w:val="CommentReference"/>
        </w:rPr>
        <w:commentReference w:id="30"/>
      </w:r>
      <w:commentRangeEnd w:id="31"/>
      <w:r w:rsidR="008816FF">
        <w:rPr>
          <w:rStyle w:val="CommentReference"/>
        </w:rPr>
        <w:commentReference w:id="31"/>
      </w:r>
      <w:r w:rsidRPr="3D3736F2">
        <w:rPr>
          <w:lang w:val="lv-LV"/>
        </w:rPr>
        <w:t>, optimizējot dizainu un funkcionalitāti mazākiem ekrāniem.</w:t>
      </w:r>
      <w:r w:rsidR="26B77D75" w:rsidRPr="3D3736F2">
        <w:rPr>
          <w:lang w:val="lv-LV"/>
        </w:rPr>
        <w:t xml:space="preserve"> Princips primāri ir attiecināms uz </w:t>
      </w:r>
      <w:proofErr w:type="spellStart"/>
      <w:r w:rsidR="26B77D75" w:rsidRPr="3D3736F2">
        <w:rPr>
          <w:lang w:val="lv-LV"/>
        </w:rPr>
        <w:t>responsīvo</w:t>
      </w:r>
      <w:proofErr w:type="spellEnd"/>
      <w:r w:rsidR="26B77D75" w:rsidRPr="3D3736F2">
        <w:rPr>
          <w:lang w:val="lv-LV"/>
        </w:rPr>
        <w:t xml:space="preserve"> dizainu, </w:t>
      </w:r>
      <w:r w:rsidR="068B6A08" w:rsidRPr="3D3736F2">
        <w:rPr>
          <w:lang w:val="lv-LV"/>
        </w:rPr>
        <w:t xml:space="preserve">bet pakalpojumiem ar lielu izmantošanas </w:t>
      </w:r>
      <w:proofErr w:type="spellStart"/>
      <w:r w:rsidR="068B6A08" w:rsidRPr="3D3736F2">
        <w:rPr>
          <w:lang w:val="lv-LV"/>
        </w:rPr>
        <w:t>intensivitāti</w:t>
      </w:r>
      <w:proofErr w:type="spellEnd"/>
      <w:r w:rsidR="068B6A08" w:rsidRPr="3D3736F2">
        <w:rPr>
          <w:lang w:val="lv-LV"/>
        </w:rPr>
        <w:t xml:space="preserve"> var tikt veidotas arī atsevišķas mobilās lietotnes. </w:t>
      </w:r>
    </w:p>
    <w:p w14:paraId="594AAE7E" w14:textId="071F5591" w:rsidR="00BC1308" w:rsidRPr="006B2013" w:rsidRDefault="006B2013" w:rsidP="006B2013">
      <w:pPr>
        <w:pStyle w:val="ListParagraph"/>
        <w:numPr>
          <w:ilvl w:val="0"/>
          <w:numId w:val="11"/>
        </w:numPr>
        <w:jc w:val="both"/>
        <w:rPr>
          <w:lang w:val="lv-LV"/>
        </w:rPr>
      </w:pPr>
      <w:r>
        <w:rPr>
          <w:lang w:val="lv-LV"/>
        </w:rPr>
        <w:t>Ja veidojat mobilo lietotni, n</w:t>
      </w:r>
      <w:r w:rsidR="00555750" w:rsidRPr="00BC1308">
        <w:rPr>
          <w:lang w:val="lv-LV"/>
        </w:rPr>
        <w:t xml:space="preserve">odrošiniet, ka </w:t>
      </w:r>
      <w:r>
        <w:rPr>
          <w:lang w:val="lv-LV"/>
        </w:rPr>
        <w:t>tā</w:t>
      </w:r>
      <w:r w:rsidR="00555750" w:rsidRPr="00BC1308">
        <w:rPr>
          <w:lang w:val="lv-LV"/>
        </w:rPr>
        <w:t xml:space="preserve"> atbalsta biežāk izmantotos digitālos pakalpojumus, paplašinātai funkcionalitātei izmantojot </w:t>
      </w:r>
      <w:proofErr w:type="spellStart"/>
      <w:r w:rsidR="00555750" w:rsidRPr="00BC1308">
        <w:rPr>
          <w:lang w:val="lv-LV"/>
        </w:rPr>
        <w:t>responsīvo</w:t>
      </w:r>
      <w:proofErr w:type="spellEnd"/>
      <w:r w:rsidR="00555750" w:rsidRPr="00BC1308">
        <w:rPr>
          <w:lang w:val="lv-LV"/>
        </w:rPr>
        <w:t xml:space="preserve"> dizainu.</w:t>
      </w:r>
      <w:r>
        <w:rPr>
          <w:lang w:val="lv-LV"/>
        </w:rPr>
        <w:t xml:space="preserve"> </w:t>
      </w:r>
      <w:r>
        <w:rPr>
          <w:lang w:val="lv-LV"/>
        </w:rPr>
        <w:lastRenderedPageBreak/>
        <w:t>I</w:t>
      </w:r>
      <w:r w:rsidR="00BC1308" w:rsidRPr="006B2013">
        <w:rPr>
          <w:lang w:val="lv-LV"/>
        </w:rPr>
        <w:t xml:space="preserve">zmantojiet </w:t>
      </w:r>
      <w:proofErr w:type="spellStart"/>
      <w:r w:rsidR="00BC1308" w:rsidRPr="006B2013">
        <w:rPr>
          <w:lang w:val="lv-LV"/>
        </w:rPr>
        <w:t>responsīvo</w:t>
      </w:r>
      <w:proofErr w:type="spellEnd"/>
      <w:r w:rsidR="00BC1308" w:rsidRPr="006B2013">
        <w:rPr>
          <w:lang w:val="lv-LV"/>
        </w:rPr>
        <w:t xml:space="preserve"> dizainu, lai nodrošinātu vienotu lietotāja pieredzi dažādās ierīcēs.</w:t>
      </w:r>
    </w:p>
    <w:p w14:paraId="263713C3" w14:textId="77777777" w:rsidR="00502D87" w:rsidRDefault="00502D87" w:rsidP="00502D87">
      <w:pPr>
        <w:rPr>
          <w:lang w:val="lv-LV"/>
        </w:rPr>
      </w:pPr>
      <w:r w:rsidRPr="00C20AD0">
        <w:rPr>
          <w:lang w:val="lv-LV"/>
        </w:rPr>
        <w:t>Novērtēšanas vadlīnijas:</w:t>
      </w:r>
    </w:p>
    <w:p w14:paraId="51AC1CB7" w14:textId="514E5F87" w:rsidR="00412F48" w:rsidRPr="00412F48" w:rsidRDefault="002A2BE0" w:rsidP="00412F48">
      <w:pPr>
        <w:pStyle w:val="ListParagraph"/>
        <w:numPr>
          <w:ilvl w:val="0"/>
          <w:numId w:val="32"/>
        </w:numPr>
        <w:rPr>
          <w:lang w:val="lv-LV"/>
        </w:rPr>
      </w:pPr>
      <w:r>
        <w:rPr>
          <w:lang w:val="lv-LV"/>
        </w:rPr>
        <w:t xml:space="preserve">TPK5. </w:t>
      </w:r>
      <w:r w:rsidR="00412F48">
        <w:rPr>
          <w:lang w:val="lv-LV"/>
        </w:rPr>
        <w:t xml:space="preserve">Vai </w:t>
      </w:r>
      <w:proofErr w:type="spellStart"/>
      <w:r w:rsidR="00412F48">
        <w:rPr>
          <w:lang w:val="lv-LV"/>
        </w:rPr>
        <w:t>mērķarhitektūrā</w:t>
      </w:r>
      <w:proofErr w:type="spellEnd"/>
      <w:r w:rsidR="00412F48">
        <w:rPr>
          <w:lang w:val="lv-LV"/>
        </w:rPr>
        <w:t xml:space="preserve"> iekļautos IKT risinājumus ir paredzēts </w:t>
      </w:r>
      <w:proofErr w:type="spellStart"/>
      <w:r w:rsidR="00412F48" w:rsidRPr="00412F48">
        <w:t>optimizēti</w:t>
      </w:r>
      <w:proofErr w:type="spellEnd"/>
      <w:r w:rsidR="00412F48" w:rsidRPr="00412F48">
        <w:t xml:space="preserve"> </w:t>
      </w:r>
      <w:proofErr w:type="spellStart"/>
      <w:r w:rsidR="00412F48" w:rsidRPr="00412F48">
        <w:t>mazākiem</w:t>
      </w:r>
      <w:proofErr w:type="spellEnd"/>
      <w:r w:rsidR="00412F48" w:rsidRPr="00412F48">
        <w:t xml:space="preserve"> </w:t>
      </w:r>
      <w:proofErr w:type="spellStart"/>
      <w:r w:rsidR="00412F48" w:rsidRPr="00412F48">
        <w:t>ekrāniem</w:t>
      </w:r>
      <w:proofErr w:type="spellEnd"/>
      <w:r w:rsidR="00412F48">
        <w:t>?</w:t>
      </w:r>
    </w:p>
    <w:p w14:paraId="6232EAC6" w14:textId="2AE7F472" w:rsidR="00B925B8" w:rsidRPr="00B925B8" w:rsidRDefault="002A2BE0" w:rsidP="00B925B8">
      <w:pPr>
        <w:pStyle w:val="ListParagraph"/>
        <w:numPr>
          <w:ilvl w:val="0"/>
          <w:numId w:val="32"/>
        </w:numPr>
        <w:rPr>
          <w:lang w:val="lv-LV"/>
        </w:rPr>
      </w:pPr>
      <w:r>
        <w:rPr>
          <w:lang w:val="lv-LV"/>
        </w:rPr>
        <w:t xml:space="preserve">TPK6. </w:t>
      </w:r>
      <w:r w:rsidR="00B925B8">
        <w:t xml:space="preserve">Vai </w:t>
      </w:r>
      <w:proofErr w:type="spellStart"/>
      <w:r w:rsidR="00B925B8">
        <w:t>jomas</w:t>
      </w:r>
      <w:proofErr w:type="spellEnd"/>
      <w:r w:rsidR="00B925B8">
        <w:t xml:space="preserve"> </w:t>
      </w:r>
      <w:proofErr w:type="spellStart"/>
      <w:r w:rsidR="00B925B8">
        <w:t>mērķarhitektūra</w:t>
      </w:r>
      <w:proofErr w:type="spellEnd"/>
      <w:r w:rsidR="00B925B8">
        <w:t xml:space="preserve"> </w:t>
      </w:r>
      <w:proofErr w:type="spellStart"/>
      <w:r w:rsidR="00B925B8">
        <w:t>paredz</w:t>
      </w:r>
      <w:proofErr w:type="spellEnd"/>
      <w:r w:rsidR="00B925B8">
        <w:t xml:space="preserve"> </w:t>
      </w:r>
      <w:proofErr w:type="spellStart"/>
      <w:r w:rsidR="00B925B8">
        <w:t>mobilo</w:t>
      </w:r>
      <w:proofErr w:type="spellEnd"/>
      <w:r w:rsidR="00B925B8">
        <w:t xml:space="preserve"> </w:t>
      </w:r>
      <w:proofErr w:type="spellStart"/>
      <w:r w:rsidR="00B925B8">
        <w:t>lietotņu</w:t>
      </w:r>
      <w:proofErr w:type="spellEnd"/>
      <w:r w:rsidR="00B925B8">
        <w:t xml:space="preserve"> </w:t>
      </w:r>
      <w:proofErr w:type="spellStart"/>
      <w:r w:rsidR="00B925B8">
        <w:t>izveidi</w:t>
      </w:r>
      <w:proofErr w:type="spellEnd"/>
      <w:r w:rsidR="00B925B8">
        <w:t xml:space="preserve"> </w:t>
      </w:r>
      <w:proofErr w:type="spellStart"/>
      <w:r w:rsidR="00B925B8">
        <w:t>pakalpojumu</w:t>
      </w:r>
      <w:proofErr w:type="spellEnd"/>
      <w:r w:rsidR="00B925B8">
        <w:t xml:space="preserve"> </w:t>
      </w:r>
      <w:proofErr w:type="spellStart"/>
      <w:r w:rsidR="00B925B8">
        <w:t>sniegšanai</w:t>
      </w:r>
      <w:proofErr w:type="spellEnd"/>
      <w:r w:rsidR="00B925B8">
        <w:t>?</w:t>
      </w:r>
    </w:p>
    <w:p w14:paraId="7BFB6201" w14:textId="77777777" w:rsidR="00502D87" w:rsidRDefault="00502D87" w:rsidP="00992610">
      <w:pPr>
        <w:rPr>
          <w:lang w:val="lv-LV"/>
        </w:rPr>
      </w:pPr>
    </w:p>
    <w:p w14:paraId="1C164F17" w14:textId="509D03BD" w:rsidR="00992610" w:rsidRDefault="00992610" w:rsidP="00372307">
      <w:pPr>
        <w:pStyle w:val="Heading2"/>
      </w:pPr>
      <w:r w:rsidRPr="05D2EDCA">
        <w:t>TP</w:t>
      </w:r>
      <w:r w:rsidR="00840FB1" w:rsidRPr="05D2EDCA">
        <w:t>4</w:t>
      </w:r>
      <w:r w:rsidRPr="05D2EDCA">
        <w:t xml:space="preserve">. </w:t>
      </w:r>
      <w:r w:rsidRPr="00E2406D">
        <w:rPr>
          <w:noProof/>
          <w:lang w:val="lv-LV"/>
        </w:rPr>
        <mc:AlternateContent>
          <mc:Choice Requires="wps">
            <w:drawing>
              <wp:anchor distT="0" distB="0" distL="114300" distR="114300" simplePos="0" relativeHeight="251658274" behindDoc="0" locked="0" layoutInCell="1" allowOverlap="1" wp14:anchorId="4D14BCFA" wp14:editId="2FA2A2E1">
                <wp:simplePos x="0" y="0"/>
                <wp:positionH relativeFrom="column">
                  <wp:posOffset>0</wp:posOffset>
                </wp:positionH>
                <wp:positionV relativeFrom="paragraph">
                  <wp:posOffset>316865</wp:posOffset>
                </wp:positionV>
                <wp:extent cx="1828800" cy="1828800"/>
                <wp:effectExtent l="0" t="0" r="8890" b="10795"/>
                <wp:wrapTopAndBottom/>
                <wp:docPr id="447884359"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A99741C" w14:textId="7F8ED524" w:rsidR="00992610" w:rsidRPr="000539BF" w:rsidRDefault="00F46F77" w:rsidP="00992610">
                            <w:pPr>
                              <w:ind w:left="851"/>
                              <w:jc w:val="both"/>
                              <w:rPr>
                                <w:lang w:val="lv-LV" w:bidi="lv-LV"/>
                              </w:rPr>
                            </w:pPr>
                            <w:r w:rsidRPr="000539BF">
                              <w:rPr>
                                <w:lang w:val="lv-LV" w:bidi="lv-LV"/>
                              </w:rPr>
                              <w:t>IKT risinājumiem un infrastruktūrai ir  jābūt izturīgiem, uzticamiem un spējīgi nodrošināt stabilu darbību pat traucējumu vai drošības incidentu gadījumā. Tas aptver monitoringu, atbilstību standartiem, darbinieku kompetences celšanu un proaktīvu risku pārvaldību, lai saglabātu un uzlabotu valsts IKT sistēmu nepārtrauktību un drošību.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3B11002C">
              <v:shape id="_x0000_s1044" style="position:absolute;margin-left:0;margin-top:24.95pt;width:2in;height:2in;z-index:251658274;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DkWwIAAA0FAAAOAAAAZHJzL2Uyb0RvYy54bWysVE1v2zAMvQ/YfxB0X+xk3ZYFcYqsRYYB&#10;QVssHXpWZKkxJouCxMTOfv0oOXazLqdhF5kS+fjxSHp+3daGHZQPFdiCj0c5Z8pKKCv7XPAfj6t3&#10;U84CClsKA1YV/KgCv168fTNv3ExNYAemVJ6RExtmjSv4DtHNsizInapFGIFTlpQafC2Qrv45K71o&#10;yHttskmef8wa8KXzIFUI9HrbKfki+ddaSbzXOihkpuCUG6bTp3Mbz2wxF7NnL9yukqc0xD9kUYvK&#10;UtDB1a1Awfa++stVXUkPATSOJNQZaF1JlWqgasb5q2o2O+FUqoXICW6gKfw/t/LusHEPnmH7BVpq&#10;YCSkcWEW6DHW02pfxy9lykhPFB4H2lSLTEbQdDKd5qSSpOsv5Cd7gTsf8KuCmkWh4J76kugSh3XA&#10;zrQ3idGMjW8veSQJj0Z1yu9Ks6qkyJPkJA2LujGeHQS1WUipLL6PlVAGxpJ1hOnKmAE4vgQ0mMon&#10;0Mk2wlQaogGYXwL+GXFApKhgcQDXlQV/yUH5c4jc2ffVdzXH8rHdtlR0JLjv0RbKI7XOQzfVwclV&#10;RfSuRcAH4WmMqSW0mnhPhzbQFBxOEmc78L8uvUd7mi7SctbQWhTc0t5yZr5ZmrrP46uruEXpcvXh&#10;04Qu/lyzPdfYfX0D1JAx/QKcTGK0R9OL2kP9RPu7jDFJJaykyAXHXrzBblVp/6VaLpMR7Y0TuLYb&#10;J6PrSHIcncf2SXh3mi+k0byDfn3E7NWYdbYRGdxyj7Cq0gxGmjtOT/TTzqUZOv0f4lKf35PVy19s&#10;8RsAAP//AwBQSwMEFAAGAAgAAAAhAO7vlqHbAAAABwEAAA8AAABkcnMvZG93bnJldi54bWxMj01P&#10;wzAMhu9I/IfISNxYyjpBW+pOAwk4MybOWeN+sMapmmwr/HrMCY72++rx43I9u0GdaAq9Z4TbRQKK&#10;uPa25xZh9/58k4EK0bA1g2dC+KIA6+ryojSF9Wd+o9M2tkogHAqD0MU4FlqHuiNnwsKPxJI1fnIm&#10;yji12k7mLHA36GWS3GlnepYLnRnpqaP6sD06hPTjNW3s3PQvqyQNj7TZ5d+fB8Trq3nzACrSHP/K&#10;8Ksv6lCJ094f2QY1IMgjEWGV56AkXWaZLPaCTu9z0FWp//tXPwAAAP//AwBQSwECLQAUAAYACAAA&#10;ACEAtoM4kv4AAADhAQAAEwAAAAAAAAAAAAAAAAAAAAAAW0NvbnRlbnRfVHlwZXNdLnhtbFBLAQIt&#10;ABQABgAIAAAAIQA4/SH/1gAAAJQBAAALAAAAAAAAAAAAAAAAAC8BAABfcmVscy8ucmVsc1BLAQIt&#10;ABQABgAIAAAAIQAStZDkWwIAAA0FAAAOAAAAAAAAAAAAAAAAAC4CAABkcnMvZTJvRG9jLnhtbFBL&#10;AQItABQABgAIAAAAIQDu75ah2wAAAAcBAAAPAAAAAAAAAAAAAAAAALUEAABkcnMvZG93bnJldi54&#10;bWxQSwUGAAAAAAQABADzAAAAvQUAAAAA&#10;" w14:anchorId="4D14BCFA">
                <v:textbox style="mso-fit-shape-to-text:t">
                  <w:txbxContent>
                    <w:p w:rsidRPr="000539BF" w:rsidR="00992610" w:rsidP="00992610" w:rsidRDefault="00F46F77" w14:paraId="05EC0B23" w14:textId="7F8ED524">
                      <w:pPr>
                        <w:ind w:left="851"/>
                        <w:jc w:val="both"/>
                        <w:rPr>
                          <w:lang w:val="lv-LV" w:bidi="lv-LV"/>
                        </w:rPr>
                      </w:pPr>
                      <w:r w:rsidRPr="000539BF">
                        <w:rPr>
                          <w:lang w:val="lv-LV" w:bidi="lv-LV"/>
                        </w:rPr>
                        <w:t xml:space="preserve">IKT risinājumiem un infrastruktūrai ir  jābūt izturīgiem, uzticamiem un spējīgi nodrošināt stabilu darbību pat traucējumu vai drošības incidentu gadījumā. Tas aptver monitoringu, atbilstību standartiem, darbinieku kompetences celšanu un </w:t>
                      </w:r>
                      <w:r w:rsidRPr="000539BF">
                        <w:rPr>
                          <w:lang w:val="lv-LV" w:bidi="lv-LV"/>
                        </w:rPr>
                        <w:t>proaktīvu risku pārvaldību, lai saglabātu un uzlabotu valsts IKT sistēmu nepārtrauktību un drošību.</w:t>
                      </w:r>
                    </w:p>
                  </w:txbxContent>
                </v:textbox>
                <w10:wrap type="topAndBottom"/>
              </v:shape>
            </w:pict>
          </mc:Fallback>
        </mc:AlternateContent>
      </w:r>
      <w:r w:rsidRPr="00E2406D">
        <w:rPr>
          <w:rFonts w:ascii="Times New Roman" w:hAnsi="Times New Roman" w:cs="Times New Roman"/>
          <w:noProof/>
          <w:sz w:val="22"/>
          <w:szCs w:val="22"/>
          <w:lang w:val="lv-LV"/>
        </w:rPr>
        <w:drawing>
          <wp:anchor distT="0" distB="0" distL="114300" distR="114300" simplePos="0" relativeHeight="251658275" behindDoc="0" locked="0" layoutInCell="1" allowOverlap="1" wp14:anchorId="0D4F6656" wp14:editId="3A15A77E">
            <wp:simplePos x="0" y="0"/>
            <wp:positionH relativeFrom="margin">
              <wp:posOffset>88900</wp:posOffset>
            </wp:positionH>
            <wp:positionV relativeFrom="paragraph">
              <wp:posOffset>450850</wp:posOffset>
            </wp:positionV>
            <wp:extent cx="427990" cy="427990"/>
            <wp:effectExtent l="0" t="0" r="0" b="0"/>
            <wp:wrapSquare wrapText="bothSides"/>
            <wp:docPr id="1841519235"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Pr="05D2EDCA">
        <w:t xml:space="preserve"> </w:t>
      </w:r>
      <w:proofErr w:type="spellStart"/>
      <w:r w:rsidR="00372307" w:rsidRPr="05D2EDCA">
        <w:t>Nodrošināt</w:t>
      </w:r>
      <w:proofErr w:type="spellEnd"/>
      <w:r w:rsidR="00372307" w:rsidRPr="05D2EDCA">
        <w:t xml:space="preserve"> </w:t>
      </w:r>
      <w:proofErr w:type="spellStart"/>
      <w:r w:rsidR="00372307" w:rsidRPr="05D2EDCA">
        <w:t>nepārtrauktu</w:t>
      </w:r>
      <w:proofErr w:type="spellEnd"/>
      <w:r w:rsidR="00372307" w:rsidRPr="05D2EDCA">
        <w:t xml:space="preserve"> </w:t>
      </w:r>
      <w:proofErr w:type="spellStart"/>
      <w:r w:rsidR="00372307" w:rsidRPr="05D2EDCA">
        <w:t>darbību</w:t>
      </w:r>
      <w:proofErr w:type="spellEnd"/>
    </w:p>
    <w:p w14:paraId="20C6821A" w14:textId="77777777" w:rsidR="00502D87" w:rsidRDefault="00502D87" w:rsidP="00502D87">
      <w:pPr>
        <w:rPr>
          <w:lang w:val="lv-LV"/>
        </w:rPr>
      </w:pPr>
    </w:p>
    <w:p w14:paraId="13379DE1" w14:textId="70E51E40" w:rsidR="00502D87" w:rsidRPr="00AE17B5" w:rsidRDefault="00502D87" w:rsidP="00502D87">
      <w:pPr>
        <w:rPr>
          <w:lang w:val="lv-LV"/>
        </w:rPr>
      </w:pPr>
      <w:r w:rsidRPr="00AE17B5">
        <w:rPr>
          <w:lang w:val="lv-LV"/>
        </w:rPr>
        <w:t>Piemērošanas vadlīnijas:</w:t>
      </w:r>
    </w:p>
    <w:p w14:paraId="5B580255" w14:textId="77777777" w:rsidR="00B30479" w:rsidRPr="0002679A" w:rsidRDefault="00B30479" w:rsidP="00B30479">
      <w:pPr>
        <w:pStyle w:val="ListParagraph"/>
        <w:numPr>
          <w:ilvl w:val="0"/>
          <w:numId w:val="11"/>
        </w:numPr>
        <w:rPr>
          <w:rFonts w:cs="Arial"/>
          <w:lang w:val="lv-LV"/>
        </w:rPr>
      </w:pPr>
      <w:r w:rsidRPr="0002679A">
        <w:rPr>
          <w:rFonts w:cs="Arial"/>
          <w:lang w:val="lv-LV"/>
        </w:rPr>
        <w:t xml:space="preserve">Nepieciešams nodrošināt IKT risinājumu monitoringu, kas stiprina sistēmu drošību un uzticamību, palīdzot valsts IKT infrastruktūrai un </w:t>
      </w:r>
      <w:proofErr w:type="spellStart"/>
      <w:r w:rsidRPr="0002679A">
        <w:rPr>
          <w:rFonts w:cs="Arial"/>
          <w:lang w:val="lv-LV"/>
        </w:rPr>
        <w:t>kiberdrošības</w:t>
      </w:r>
      <w:proofErr w:type="spellEnd"/>
      <w:r w:rsidRPr="0002679A">
        <w:rPr>
          <w:rFonts w:cs="Arial"/>
          <w:lang w:val="lv-LV"/>
        </w:rPr>
        <w:t xml:space="preserve"> arhitektūrai ātri reaģēt uz draudiem un nodrošināt stabilu un drošu darbību ilgtermiņā. Nodrošina pastāvīgu un pārskatāmu sistēmu darbības uzraudzību, kas ļauj savlaicīgi identificēt problēmas, traucējumus vai drošības incidentus, kā arī nodrošina atbildību un uzticēšanos starp iesaistītajām pusēm.</w:t>
      </w:r>
    </w:p>
    <w:p w14:paraId="5A5E670C" w14:textId="77777777" w:rsidR="00B30479" w:rsidRPr="0002679A" w:rsidRDefault="00B30479" w:rsidP="00B30479">
      <w:pPr>
        <w:pStyle w:val="ListParagraph"/>
        <w:numPr>
          <w:ilvl w:val="0"/>
          <w:numId w:val="11"/>
        </w:numPr>
        <w:rPr>
          <w:rFonts w:cs="Arial"/>
          <w:lang w:val="lv-LV"/>
        </w:rPr>
      </w:pPr>
      <w:r w:rsidRPr="0002679A">
        <w:rPr>
          <w:rFonts w:cs="Arial"/>
          <w:lang w:val="lv-LV"/>
        </w:rPr>
        <w:t>IKT infrastruktūra tiek projektēta tā, lai tā ir noturīga pret traucējumiem un drošības incidentiem, nodrošinot gan nepārtrauktus pakalpojumus, gan ātru atjaunošanos pēc incidentiem.</w:t>
      </w:r>
    </w:p>
    <w:p w14:paraId="72A40DF9" w14:textId="77777777" w:rsidR="00B30479" w:rsidRPr="0002679A" w:rsidRDefault="00B30479" w:rsidP="00B30479">
      <w:pPr>
        <w:pStyle w:val="ListParagraph"/>
        <w:numPr>
          <w:ilvl w:val="0"/>
          <w:numId w:val="11"/>
        </w:numPr>
        <w:rPr>
          <w:rFonts w:cs="Arial"/>
          <w:lang w:val="lv-LV"/>
        </w:rPr>
      </w:pPr>
      <w:r w:rsidRPr="0002679A">
        <w:rPr>
          <w:rFonts w:cs="Arial"/>
          <w:lang w:val="lv-LV"/>
        </w:rPr>
        <w:t>Saglabāt esošo sistēmu darbības nepārtrauktību, pakāpeniski pārejot uz jaunām tehnoloģijām. Nodrošināt spēju darboties kopā ar vecākām versijām vai tehnoloģijām, kad tas ir praktiski un izdevīgi. Pakāpeniska migrācija ļaus veikt sistēmu modernizāciju pakāpeniski, vienlaikus saglabājot darbību ar vecākām tehnoloģijām, līdz tās tiek aizstātas vai modernizētas.</w:t>
      </w:r>
    </w:p>
    <w:p w14:paraId="1AB908C3" w14:textId="77777777" w:rsidR="00B30479" w:rsidRPr="003A35D0" w:rsidRDefault="00B30479" w:rsidP="00B30479">
      <w:pPr>
        <w:pStyle w:val="ListParagraph"/>
        <w:numPr>
          <w:ilvl w:val="0"/>
          <w:numId w:val="11"/>
        </w:numPr>
        <w:rPr>
          <w:rFonts w:ascii="Aptos" w:hAnsi="Aptos"/>
          <w:lang w:val="lv-LV"/>
        </w:rPr>
      </w:pPr>
      <w:r w:rsidRPr="0002679A">
        <w:rPr>
          <w:lang w:val="lv-LV"/>
        </w:rPr>
        <w:t xml:space="preserve">Nepieciešams nodrošināt skaidru ieskatu IKT risinājumu darbībā, savlaicīgu draudu un traucējumu atklāšana, kā arī </w:t>
      </w:r>
      <w:proofErr w:type="spellStart"/>
      <w:r w:rsidRPr="0002679A">
        <w:rPr>
          <w:lang w:val="lv-LV"/>
        </w:rPr>
        <w:t>proaktīvu</w:t>
      </w:r>
      <w:proofErr w:type="spellEnd"/>
      <w:r w:rsidRPr="0002679A">
        <w:rPr>
          <w:lang w:val="lv-LV"/>
        </w:rPr>
        <w:t xml:space="preserve"> drošības risku pārvaldību. Nepieciešams </w:t>
      </w:r>
      <w:r w:rsidRPr="0002679A">
        <w:rPr>
          <w:lang w:val="lv-LV"/>
        </w:rPr>
        <w:lastRenderedPageBreak/>
        <w:t xml:space="preserve">ieviest nepārtrauktu un sistemātisku procesu risku identificēšanai, novērtēšanai un </w:t>
      </w:r>
      <w:r w:rsidRPr="003A35D0">
        <w:rPr>
          <w:rFonts w:ascii="Aptos" w:hAnsi="Aptos"/>
          <w:lang w:val="lv-LV"/>
        </w:rPr>
        <w:t>mazināšanai.</w:t>
      </w:r>
    </w:p>
    <w:p w14:paraId="4791EBB1" w14:textId="77777777" w:rsidR="00B30479" w:rsidRPr="003A35D0" w:rsidRDefault="00B30479" w:rsidP="00B30479">
      <w:pPr>
        <w:pStyle w:val="ListParagraph"/>
        <w:numPr>
          <w:ilvl w:val="0"/>
          <w:numId w:val="11"/>
        </w:numPr>
        <w:rPr>
          <w:rFonts w:ascii="Aptos" w:hAnsi="Aptos" w:cs="Arial"/>
          <w:lang w:val="lv-LV"/>
        </w:rPr>
      </w:pPr>
      <w:r w:rsidRPr="003A35D0">
        <w:rPr>
          <w:rFonts w:ascii="Aptos" w:hAnsi="Aptos" w:cs="Arial"/>
          <w:lang w:val="lv-LV"/>
        </w:rPr>
        <w:t xml:space="preserve">IKT </w:t>
      </w:r>
      <w:r w:rsidRPr="003A35D0">
        <w:rPr>
          <w:rFonts w:ascii="Aptos" w:hAnsi="Aptos" w:cstheme="majorBidi"/>
          <w:lang w:val="lv-LV"/>
        </w:rPr>
        <w:t>pakalpojumi tiek sniegti atbilstoši noteiktiem minimālajiem un kopējiem standartiem, kas garantē to drošību, pieejamību un stabilitāti, uzlabo klientu apmierinātību un efektīvu pakalpojumu pārvaldību. Skaidri definēti un nodrošināti kvalitātes līmeņi IKT pakalpojumu sniedzējiem.</w:t>
      </w:r>
    </w:p>
    <w:p w14:paraId="440BD0BF" w14:textId="77777777" w:rsidR="00B30479" w:rsidRPr="00F72D89" w:rsidRDefault="00B30479" w:rsidP="00B30479">
      <w:pPr>
        <w:pStyle w:val="ListParagraph"/>
        <w:numPr>
          <w:ilvl w:val="0"/>
          <w:numId w:val="11"/>
        </w:numPr>
        <w:rPr>
          <w:rFonts w:asciiTheme="majorHAnsi" w:hAnsiTheme="majorHAnsi" w:cs="Arial"/>
          <w:lang w:val="lv-LV"/>
        </w:rPr>
      </w:pPr>
      <w:r w:rsidRPr="00F72D89">
        <w:rPr>
          <w:rFonts w:asciiTheme="majorHAnsi" w:hAnsiTheme="majorHAnsi" w:cs="Arial"/>
          <w:lang w:val="lv-LV"/>
        </w:rPr>
        <w:t xml:space="preserve">Tiek nodrošināta atbilstība labākajai praksei un </w:t>
      </w:r>
      <w:proofErr w:type="spellStart"/>
      <w:r w:rsidRPr="00F72D89">
        <w:rPr>
          <w:rFonts w:asciiTheme="majorHAnsi" w:hAnsiTheme="majorHAnsi" w:cs="Arial"/>
          <w:lang w:val="lv-LV"/>
        </w:rPr>
        <w:t>starptatutiskajiem</w:t>
      </w:r>
      <w:proofErr w:type="spellEnd"/>
      <w:r w:rsidRPr="00F72D89">
        <w:rPr>
          <w:rFonts w:asciiTheme="majorHAnsi" w:hAnsiTheme="majorHAnsi" w:cs="Arial"/>
          <w:lang w:val="lv-LV"/>
        </w:rPr>
        <w:t xml:space="preserve"> </w:t>
      </w:r>
      <w:proofErr w:type="spellStart"/>
      <w:r w:rsidRPr="00F72D89">
        <w:rPr>
          <w:rFonts w:asciiTheme="majorHAnsi" w:hAnsiTheme="majorHAnsi" w:cs="Arial"/>
          <w:lang w:val="lv-LV"/>
        </w:rPr>
        <w:t>standariem</w:t>
      </w:r>
      <w:proofErr w:type="spellEnd"/>
      <w:r w:rsidRPr="00F72D89">
        <w:rPr>
          <w:rFonts w:asciiTheme="majorHAnsi" w:hAnsiTheme="majorHAnsi" w:cs="Arial"/>
          <w:lang w:val="lv-LV"/>
        </w:rPr>
        <w:t xml:space="preserve">. </w:t>
      </w:r>
      <w:r w:rsidRPr="00F72D89">
        <w:rPr>
          <w:rFonts w:asciiTheme="majorHAnsi" w:hAnsiTheme="majorHAnsi" w:cstheme="majorBidi"/>
          <w:lang w:val="lv-LV"/>
        </w:rPr>
        <w:t>Regulāra pārvaldības prakses novērtēšana un uzraudzība, lai atbilstu standartiem un identificētu uzlabojumu nepieciešamību risku samazināšanā, efektivitātes uzlabošanā un standartu un normatīvo aktu ievērošanā.</w:t>
      </w:r>
    </w:p>
    <w:p w14:paraId="57B08B37" w14:textId="3283C9F7" w:rsidR="00502D87" w:rsidRPr="00B30479" w:rsidRDefault="00B30479" w:rsidP="00B30479">
      <w:pPr>
        <w:pStyle w:val="ListParagraph"/>
        <w:numPr>
          <w:ilvl w:val="0"/>
          <w:numId w:val="11"/>
        </w:numPr>
        <w:rPr>
          <w:rFonts w:asciiTheme="majorHAnsi" w:hAnsiTheme="majorHAnsi" w:cs="Arial"/>
          <w:lang w:val="lv-LV"/>
        </w:rPr>
      </w:pPr>
      <w:r w:rsidRPr="00F72D89">
        <w:rPr>
          <w:rFonts w:asciiTheme="majorHAnsi" w:hAnsiTheme="majorHAnsi" w:cstheme="majorBidi"/>
          <w:lang w:val="lv-LV"/>
        </w:rPr>
        <w:t>Tiek nodrošināts, ka visiem procesiem un sistēmām, kas saistītas ar informācijas drošību un tehnoloģiju pārvaldību, ir profesionāli apmācīti, zinoši, prasmīgi un pieredzējuši kvalificēti darbinieki. Regulāri zināšanu un prasmju pilnveidošanas pasākumi, kas ietver sertifikācijas programmas, seminārus un citus izglītības pasākumus nodrošina nemainīgi augstu kvalitāti.</w:t>
      </w:r>
    </w:p>
    <w:p w14:paraId="2AD9ABF3" w14:textId="77777777" w:rsidR="00502D87" w:rsidRDefault="00502D87" w:rsidP="00502D87">
      <w:pPr>
        <w:rPr>
          <w:lang w:val="lv-LV"/>
        </w:rPr>
      </w:pPr>
      <w:r w:rsidRPr="00C20AD0">
        <w:rPr>
          <w:lang w:val="lv-LV"/>
        </w:rPr>
        <w:t>Novērtēšanas vadlīnijas:</w:t>
      </w:r>
    </w:p>
    <w:p w14:paraId="34E4E72E" w14:textId="3A816F5B" w:rsidR="00920441" w:rsidRPr="00DA7817" w:rsidRDefault="002A2BE0" w:rsidP="00920441">
      <w:pPr>
        <w:pStyle w:val="ListParagraph"/>
        <w:numPr>
          <w:ilvl w:val="0"/>
          <w:numId w:val="33"/>
        </w:numPr>
        <w:rPr>
          <w:lang w:val="lv-LV"/>
        </w:rPr>
      </w:pPr>
      <w:r w:rsidRPr="00DA7817">
        <w:rPr>
          <w:lang w:val="lv-LV"/>
        </w:rPr>
        <w:t xml:space="preserve">TPK7. </w:t>
      </w:r>
      <w:r w:rsidR="00920441" w:rsidRPr="00DA7817">
        <w:rPr>
          <w:lang w:val="lv-LV"/>
        </w:rPr>
        <w:t xml:space="preserve">Vai </w:t>
      </w:r>
      <w:proofErr w:type="spellStart"/>
      <w:r w:rsidR="00920441" w:rsidRPr="00DA7817">
        <w:rPr>
          <w:lang w:val="lv-LV"/>
        </w:rPr>
        <w:t>mērķarhitektūras</w:t>
      </w:r>
      <w:proofErr w:type="spellEnd"/>
      <w:r w:rsidR="00920441" w:rsidRPr="00DA7817">
        <w:rPr>
          <w:lang w:val="lv-LV"/>
        </w:rPr>
        <w:t xml:space="preserve"> risinājumiem ir plānots nodrošināt pastāvīg</w:t>
      </w:r>
      <w:r w:rsidR="001664F1" w:rsidRPr="00DA7817">
        <w:rPr>
          <w:lang w:val="lv-LV"/>
        </w:rPr>
        <w:t>u</w:t>
      </w:r>
      <w:r w:rsidR="00062165" w:rsidRPr="00DA7817">
        <w:rPr>
          <w:lang w:val="lv-LV"/>
        </w:rPr>
        <w:t xml:space="preserve"> </w:t>
      </w:r>
      <w:r w:rsidR="00920441" w:rsidRPr="00DA7817">
        <w:rPr>
          <w:lang w:val="lv-LV"/>
        </w:rPr>
        <w:t>un pārskatāmu darbības uzraudzību, kas ļauj savlaicīgi identificēt problēmas, traucējumus un drošības incidentus?</w:t>
      </w:r>
    </w:p>
    <w:p w14:paraId="3536C5B7" w14:textId="60374906" w:rsidR="00B822C0" w:rsidRPr="00DA7817" w:rsidRDefault="002A2BE0" w:rsidP="00920441">
      <w:pPr>
        <w:pStyle w:val="ListParagraph"/>
        <w:numPr>
          <w:ilvl w:val="0"/>
          <w:numId w:val="33"/>
        </w:numPr>
        <w:rPr>
          <w:lang w:val="lv-LV"/>
        </w:rPr>
      </w:pPr>
      <w:r w:rsidRPr="00DA7817">
        <w:rPr>
          <w:lang w:val="lv-LV"/>
        </w:rPr>
        <w:t xml:space="preserve">TPK8. </w:t>
      </w:r>
      <w:r w:rsidR="00006999" w:rsidRPr="00DA7817">
        <w:rPr>
          <w:lang w:val="lv-LV"/>
        </w:rPr>
        <w:t>Vai IKT infrastruktūra ir projektēta tā, lai tā nodrošinātu nepārtrauktu darbību un ātru atjaunošanos pēc drošības incidentiem?</w:t>
      </w:r>
    </w:p>
    <w:p w14:paraId="0AD94ABC" w14:textId="5380D9CA" w:rsidR="00992610" w:rsidRDefault="00992610" w:rsidP="00992610">
      <w:pPr>
        <w:rPr>
          <w:lang w:val="lv-LV"/>
        </w:rPr>
      </w:pPr>
    </w:p>
    <w:p w14:paraId="5FD00D37" w14:textId="542A2D15" w:rsidR="00A865E5" w:rsidRDefault="00BC4016" w:rsidP="00372307">
      <w:pPr>
        <w:pStyle w:val="Heading2"/>
        <w:rPr>
          <w:lang w:val="lv-LV"/>
        </w:rPr>
      </w:pPr>
      <w:r w:rsidRPr="00E2406D">
        <w:rPr>
          <w:rFonts w:ascii="Times New Roman" w:hAnsi="Times New Roman" w:cs="Times New Roman"/>
          <w:noProof/>
          <w:sz w:val="22"/>
          <w:szCs w:val="22"/>
          <w:lang w:val="lv-LV"/>
        </w:rPr>
        <w:lastRenderedPageBreak/>
        <w:drawing>
          <wp:anchor distT="0" distB="0" distL="114300" distR="114300" simplePos="0" relativeHeight="251658277" behindDoc="0" locked="0" layoutInCell="1" allowOverlap="1" wp14:anchorId="03C2F421" wp14:editId="1D9B324A">
            <wp:simplePos x="0" y="0"/>
            <wp:positionH relativeFrom="margin">
              <wp:posOffset>88900</wp:posOffset>
            </wp:positionH>
            <wp:positionV relativeFrom="paragraph">
              <wp:posOffset>628650</wp:posOffset>
            </wp:positionV>
            <wp:extent cx="427990" cy="427990"/>
            <wp:effectExtent l="0" t="0" r="0" b="0"/>
            <wp:wrapSquare wrapText="bothSides"/>
            <wp:docPr id="2006237118" name="Graphic 155551409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54558" name="Graphic 1555514094" descr="Bullsey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27990" cy="427990"/>
                    </a:xfrm>
                    <a:prstGeom prst="rect">
                      <a:avLst/>
                    </a:prstGeom>
                  </pic:spPr>
                </pic:pic>
              </a:graphicData>
            </a:graphic>
            <wp14:sizeRelH relativeFrom="margin">
              <wp14:pctWidth>0</wp14:pctWidth>
            </wp14:sizeRelH>
            <wp14:sizeRelV relativeFrom="margin">
              <wp14:pctHeight>0</wp14:pctHeight>
            </wp14:sizeRelV>
          </wp:anchor>
        </w:drawing>
      </w:r>
      <w:r w:rsidR="3BE604D6">
        <w:rPr>
          <w:lang w:val="lv-LV"/>
        </w:rPr>
        <w:t>TP</w:t>
      </w:r>
      <w:r w:rsidR="39D583A1">
        <w:rPr>
          <w:lang w:val="lv-LV"/>
        </w:rPr>
        <w:t>5</w:t>
      </w:r>
      <w:r w:rsidR="3BE604D6">
        <w:rPr>
          <w:lang w:val="lv-LV"/>
        </w:rPr>
        <w:t xml:space="preserve">. </w:t>
      </w:r>
      <w:r w:rsidR="3BE604D6" w:rsidRPr="00992610">
        <w:rPr>
          <w:lang w:val="lv-LV"/>
        </w:rPr>
        <w:t xml:space="preserve"> </w:t>
      </w:r>
      <w:r w:rsidR="6DBA8082">
        <w:rPr>
          <w:lang w:val="lv-LV"/>
        </w:rPr>
        <w:t>Projektēt m</w:t>
      </w:r>
      <w:r w:rsidR="3BE604D6">
        <w:rPr>
          <w:lang w:val="lv-LV"/>
        </w:rPr>
        <w:t>odul</w:t>
      </w:r>
      <w:r w:rsidR="6DBA8082">
        <w:rPr>
          <w:lang w:val="lv-LV"/>
        </w:rPr>
        <w:t>ārus</w:t>
      </w:r>
      <w:r w:rsidR="670976BF">
        <w:rPr>
          <w:lang w:val="lv-LV"/>
        </w:rPr>
        <w:t xml:space="preserve">, </w:t>
      </w:r>
      <w:r w:rsidR="3BE604D6">
        <w:rPr>
          <w:lang w:val="lv-LV"/>
        </w:rPr>
        <w:t>servisu orientēt</w:t>
      </w:r>
      <w:r w:rsidR="6DBA8082">
        <w:rPr>
          <w:lang w:val="lv-LV"/>
        </w:rPr>
        <w:t>us risinājumus ar</w:t>
      </w:r>
      <w:r w:rsidR="049534DA">
        <w:rPr>
          <w:lang w:val="lv-LV"/>
        </w:rPr>
        <w:t xml:space="preserve"> atvērt</w:t>
      </w:r>
      <w:r w:rsidR="6DBA8082">
        <w:rPr>
          <w:lang w:val="lv-LV"/>
        </w:rPr>
        <w:t xml:space="preserve">ām </w:t>
      </w:r>
      <w:r w:rsidR="049534DA">
        <w:rPr>
          <w:lang w:val="lv-LV"/>
        </w:rPr>
        <w:t>lietojumprogrammu</w:t>
      </w:r>
      <w:r w:rsidR="16EA72AF">
        <w:rPr>
          <w:lang w:val="lv-LV"/>
        </w:rPr>
        <w:t xml:space="preserve"> </w:t>
      </w:r>
      <w:proofErr w:type="spellStart"/>
      <w:r w:rsidR="049534DA">
        <w:rPr>
          <w:lang w:val="lv-LV"/>
        </w:rPr>
        <w:t>saskarn</w:t>
      </w:r>
      <w:r w:rsidR="6DBA8082">
        <w:rPr>
          <w:lang w:val="lv-LV"/>
        </w:rPr>
        <w:t>ēm</w:t>
      </w:r>
      <w:proofErr w:type="spellEnd"/>
      <w:r w:rsidR="6DBA8082">
        <w:rPr>
          <w:lang w:val="lv-LV"/>
        </w:rPr>
        <w:t xml:space="preserve"> </w:t>
      </w:r>
    </w:p>
    <w:p w14:paraId="1DFB8E61" w14:textId="7A79D4DE" w:rsidR="00A865E5" w:rsidRDefault="00BC4016" w:rsidP="00502D87">
      <w:pPr>
        <w:pStyle w:val="ListBullet"/>
        <w:numPr>
          <w:ilvl w:val="0"/>
          <w:numId w:val="0"/>
        </w:numPr>
        <w:spacing w:line="247" w:lineRule="auto"/>
        <w:jc w:val="both"/>
        <w:rPr>
          <w:lang w:val="lv-LV"/>
        </w:rPr>
      </w:pPr>
      <w:r w:rsidRPr="00E2406D">
        <w:rPr>
          <w:noProof/>
          <w:lang w:val="lv-LV"/>
        </w:rPr>
        <mc:AlternateContent>
          <mc:Choice Requires="wps">
            <w:drawing>
              <wp:anchor distT="0" distB="0" distL="114300" distR="114300" simplePos="0" relativeHeight="251658276" behindDoc="0" locked="0" layoutInCell="1" allowOverlap="1" wp14:anchorId="107994B6" wp14:editId="3F981EBB">
                <wp:simplePos x="0" y="0"/>
                <wp:positionH relativeFrom="column">
                  <wp:posOffset>0</wp:posOffset>
                </wp:positionH>
                <wp:positionV relativeFrom="paragraph">
                  <wp:posOffset>10795</wp:posOffset>
                </wp:positionV>
                <wp:extent cx="1828800" cy="1828800"/>
                <wp:effectExtent l="0" t="0" r="8890" b="10795"/>
                <wp:wrapTopAndBottom/>
                <wp:docPr id="126744934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5E65D58" w14:textId="77777777" w:rsidR="00CF63DE" w:rsidRDefault="00EB5543" w:rsidP="00CF63DE">
                            <w:pPr>
                              <w:pStyle w:val="ListParagraph"/>
                              <w:jc w:val="both"/>
                              <w:rPr>
                                <w:lang w:val="lv-LV"/>
                              </w:rPr>
                            </w:pPr>
                            <w:r>
                              <w:rPr>
                                <w:lang w:val="lv-LV"/>
                              </w:rPr>
                              <w:t xml:space="preserve">IKT risinājumu arhitektūrā jāpiemēro modularitāte, servisu orientētība un jānodrošina atvērtas lietojumprogrammu saskarnes </w:t>
                            </w:r>
                            <w:r w:rsidRPr="008E0F57">
                              <w:rPr>
                                <w:i/>
                                <w:iCs/>
                                <w:lang w:val="lv-LV"/>
                              </w:rPr>
                              <w:t xml:space="preserve">(API First). </w:t>
                            </w:r>
                          </w:p>
                          <w:p w14:paraId="160AF85D" w14:textId="00ADECC3" w:rsidR="00A0624A" w:rsidRPr="00CF63DE" w:rsidRDefault="00BC4016" w:rsidP="00CF63DE">
                            <w:pPr>
                              <w:ind w:left="709"/>
                              <w:jc w:val="both"/>
                              <w:rPr>
                                <w:lang w:val="lv-LV"/>
                              </w:rPr>
                            </w:pPr>
                            <w:r w:rsidRPr="00CF63DE">
                              <w:rPr>
                                <w:lang w:val="lv-LV"/>
                              </w:rPr>
                              <w:t xml:space="preserve">Modularitāte ir vienota elastīga un vieglāka pārvaldība sistēmu un risinājumu struktūra, kas veidota no neatkarīgiem un savstarpēji aizvietojamiem moduļiem. Modularitāte padara IKT </w:t>
                            </w:r>
                            <w:r w:rsidR="00BF7E69">
                              <w:rPr>
                                <w:lang w:val="lv-LV"/>
                              </w:rPr>
                              <w:t>risinājumus</w:t>
                            </w:r>
                            <w:r w:rsidRPr="00CF63DE">
                              <w:rPr>
                                <w:lang w:val="lv-LV"/>
                              </w:rPr>
                              <w:t xml:space="preserve"> elastīgāku</w:t>
                            </w:r>
                            <w:r w:rsidR="00BF7E69">
                              <w:rPr>
                                <w:lang w:val="lv-LV"/>
                              </w:rPr>
                              <w:t>s</w:t>
                            </w:r>
                            <w:r w:rsidRPr="00CF63DE">
                              <w:rPr>
                                <w:lang w:val="lv-LV"/>
                              </w:rPr>
                              <w:t>, pielāgojamāku</w:t>
                            </w:r>
                            <w:r w:rsidR="00BF7E69">
                              <w:rPr>
                                <w:lang w:val="lv-LV"/>
                              </w:rPr>
                              <w:t>s</w:t>
                            </w:r>
                            <w:r w:rsidRPr="00CF63DE">
                              <w:rPr>
                                <w:lang w:val="lv-LV"/>
                              </w:rPr>
                              <w:t>, vairākkārt izmantojamu</w:t>
                            </w:r>
                            <w:r w:rsidR="00BF7E69">
                              <w:rPr>
                                <w:lang w:val="lv-LV"/>
                              </w:rPr>
                              <w:t>s</w:t>
                            </w:r>
                            <w:r w:rsidRPr="00CF63DE">
                              <w:rPr>
                                <w:lang w:val="lv-LV"/>
                              </w:rPr>
                              <w:t xml:space="preserve"> un uzturēšanai draudzīgāku</w:t>
                            </w:r>
                            <w:r w:rsidR="00BF7E69">
                              <w:rPr>
                                <w:lang w:val="lv-LV"/>
                              </w:rPr>
                              <w:t>s</w:t>
                            </w:r>
                            <w:r w:rsidRPr="00CF63DE">
                              <w:rPr>
                                <w:lang w:val="lv-LV"/>
                              </w:rPr>
                              <w:t>, kas palīdz veidot ilgtermiņā ilgtspējīgus un drošus risinājumus.</w:t>
                            </w:r>
                          </w:p>
                          <w:p w14:paraId="1B741977" w14:textId="591A0C3B" w:rsidR="00CF63DE" w:rsidRDefault="00A0624A" w:rsidP="00CF63DE">
                            <w:pPr>
                              <w:pStyle w:val="ListParagraph"/>
                              <w:jc w:val="both"/>
                            </w:pPr>
                            <w:r>
                              <w:rPr>
                                <w:lang w:val="lv-LV"/>
                              </w:rPr>
                              <w:t xml:space="preserve">Servisu orientētība </w:t>
                            </w:r>
                            <w:r w:rsidRPr="00A0624A">
                              <w:rPr>
                                <w:lang w:val="lv-LV"/>
                              </w:rPr>
                              <w:t xml:space="preserve">ir arhitektūras </w:t>
                            </w:r>
                            <w:r w:rsidR="00C56D00">
                              <w:rPr>
                                <w:lang w:val="lv-LV"/>
                              </w:rPr>
                              <w:t>veids</w:t>
                            </w:r>
                            <w:r w:rsidRPr="00A0624A">
                              <w:rPr>
                                <w:lang w:val="lv-LV"/>
                              </w:rPr>
                              <w:t>, kur sistēma tiek veidota, izmantojot mazus, neatkarīgus pakalpojumus, kuri mijiedarbojas, lai izpildītu kopēju mērķi.</w:t>
                            </w:r>
                            <w:r>
                              <w:rPr>
                                <w:lang w:val="lv-LV"/>
                              </w:rPr>
                              <w:t xml:space="preserve"> Mikroservisu arhitektūra </w:t>
                            </w:r>
                            <w:r w:rsidRPr="00A0624A">
                              <w:t>ir pieeja sistēmas izstrādei, kurā monolīta lietojumprogramma tiek sadalīta vairākos mazos, autonomos servis</w:t>
                            </w:r>
                            <w:r>
                              <w:t xml:space="preserve">os </w:t>
                            </w:r>
                            <w:r w:rsidRPr="00A0624A">
                              <w:t>(mikroservisos). Katrs serviss koncentrējas uz konkrētu biznesa funkciju, darbojas neatkarīgi un savstarpēji sadarbojas, izmantojot standartizētas saskarnes, piemēram, API.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w:pict w14:anchorId="6BE525AA">
              <v:shape id="_x0000_s1045" style="position:absolute;left:0;text-align:left;margin-left:0;margin-top:.85pt;width:2in;height:2in;z-index:251658276;visibility:visible;mso-wrap-style:none;mso-wrap-distance-left:9pt;mso-wrap-distance-top:0;mso-wrap-distance-right:9pt;mso-wrap-distance-bottom:0;mso-position-horizontal:absolute;mso-position-horizontal-relative:text;mso-position-vertical:absolute;mso-position-vertical-relative:text;v-text-anchor:top" fillcolor="white [3201]" strokecolor="#196b24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d4XAIAAA0FAAAOAAAAZHJzL2Uyb0RvYy54bWysVN9v2jAQfp+0/8Hy+wgwtlFEqBgV06Sq&#10;rdpOfTaODdEcn2UfJOyv39khoet4mvbinH333Y/v7jK/birDDsqHEmzOR4MhZ8pKKEq7zfmP5/WH&#10;KWcBhS2EAatyflSBXy/ev5vXbqbGsANTKM/IiQ2z2uV8h+hmWRbkTlUiDMApS0oNvhJIV7/NCi9q&#10;8l6ZbDwcfs5q8IXzIFUI9HrTKvki+ddaSbzXOihkJueUG6bTp3MTz2wxF7OtF25XylMa4h+yqERp&#10;KWjv6kagYHtf/uWqKqWHABoHEqoMtC6lSjVQNaPhm2qedsKpVAuRE1xPU/h/buXd4ck9eIbNV2io&#10;gZGQ2oVZoMdYT6N9Fb+UKSM9UXjsaVMNMhlB0/F0OiSVJF13IT/ZGe58wG8KKhaFnHvqS6JLHG4D&#10;tqadSYxmbHw755EkPBrVKh+VZmVBkcfJSRoWtTKeHQS1WUipLH6MlVAGxpJ1hOnSmB44ugQ0mMon&#10;0Mk2wlQaoh44vAT8M2KPSFHBYg+uSgv+koPiZx+5te+qb2uO5WOzaahoIviq69EGiiO1zkM71cHJ&#10;dUn03oqAD8LTGFNLaDXxng5toM45nCTOduB/XXqP9jRdpOWsprXIuaW95cx8tzR1V6PJJG5Rukw+&#10;fRnTxb/WbF5r7L5aATVkRL8AJ5MY7dF0ovZQvdD+LmNMUgkrKXLOsRNX2K4q7b9Uy2Uyor1xAm/t&#10;k5PRdSQ5js5z8yK8O80X0mjeQbc+YvZmzFrbiAxuuUdYl2kGI80tpyf6aefSDJ3+D3GpX9+T1fkv&#10;tvgNAAD//wMAUEsDBBQABgAIAAAAIQBqr0uq2gAAAAYBAAAPAAAAZHJzL2Rvd25yZXYueG1sTI/N&#10;TsNADITvSLzDykjc6IYG0TRkUxUk4EypOLtZ54dmvVF22waeHvdUbh6PNf6mWE2uV0caQ+fZwP0s&#10;AUVcedtxY2D7+XqXgQoR2WLvmQz8UIBVeX1VYG79iT/ouImNkhAOORpoYxxyrUPVksMw8wOxeLUf&#10;HUaRY6PtiCcJd72eJ8mjdtixfGhxoJeWqv3m4AykX+9pbae6e3tI0vBM6+3y93tvzO3NtH4CFWmK&#10;l2M44ws6lMK08we2QfUGpEiU7QKUmPMsE707D8sF6LLQ//HLPwAAAP//AwBQSwECLQAUAAYACAAA&#10;ACEAtoM4kv4AAADhAQAAEwAAAAAAAAAAAAAAAAAAAAAAW0NvbnRlbnRfVHlwZXNdLnhtbFBLAQIt&#10;ABQABgAIAAAAIQA4/SH/1gAAAJQBAAALAAAAAAAAAAAAAAAAAC8BAABfcmVscy8ucmVsc1BLAQIt&#10;ABQABgAIAAAAIQAuEHd4XAIAAA0FAAAOAAAAAAAAAAAAAAAAAC4CAABkcnMvZTJvRG9jLnhtbFBL&#10;AQItABQABgAIAAAAIQBqr0uq2gAAAAYBAAAPAAAAAAAAAAAAAAAAALYEAABkcnMvZG93bnJldi54&#10;bWxQSwUGAAAAAAQABADzAAAAvQUAAAAA&#10;" w14:anchorId="107994B6">
                <v:textbox style="mso-fit-shape-to-text:t">
                  <w:txbxContent>
                    <w:p w:rsidR="00CF63DE" w:rsidP="00CF63DE" w:rsidRDefault="00EB5543" w14:paraId="626296A4" w14:textId="77777777">
                      <w:pPr>
                        <w:pStyle w:val="ListParagraph"/>
                        <w:jc w:val="both"/>
                        <w:rPr>
                          <w:lang w:val="lv-LV"/>
                        </w:rPr>
                      </w:pPr>
                      <w:r>
                        <w:rPr>
                          <w:lang w:val="lv-LV"/>
                        </w:rPr>
                        <w:t xml:space="preserve">IKT risinājumu arhitektūrā jāpiemēro modularitāte, servisu </w:t>
                      </w:r>
                      <w:r>
                        <w:rPr>
                          <w:lang w:val="lv-LV"/>
                        </w:rPr>
                        <w:t xml:space="preserve">orientētība un jānodrošina atvērtas lietojumprogrammu saskarnes </w:t>
                      </w:r>
                      <w:r w:rsidRPr="008E0F57">
                        <w:rPr>
                          <w:i/>
                          <w:iCs/>
                          <w:lang w:val="lv-LV"/>
                        </w:rPr>
                        <w:t xml:space="preserve">(API First). </w:t>
                      </w:r>
                    </w:p>
                    <w:p w:rsidRPr="00CF63DE" w:rsidR="00A0624A" w:rsidP="00CF63DE" w:rsidRDefault="00BC4016" w14:paraId="6FD87981" w14:textId="00ADECC3">
                      <w:pPr>
                        <w:ind w:left="709"/>
                        <w:jc w:val="both"/>
                        <w:rPr>
                          <w:lang w:val="lv-LV"/>
                        </w:rPr>
                      </w:pPr>
                      <w:r w:rsidRPr="00CF63DE">
                        <w:rPr>
                          <w:lang w:val="lv-LV"/>
                        </w:rPr>
                        <w:t xml:space="preserve">Modularitāte ir vienota elastīga un vieglāka pārvaldība sistēmu un risinājumu struktūra, kas veidota no neatkarīgiem un savstarpēji aizvietojamiem moduļiem. Modularitāte padara IKT </w:t>
                      </w:r>
                      <w:r w:rsidR="00BF7E69">
                        <w:rPr>
                          <w:lang w:val="lv-LV"/>
                        </w:rPr>
                        <w:t>risinājumus</w:t>
                      </w:r>
                      <w:r w:rsidRPr="00CF63DE">
                        <w:rPr>
                          <w:lang w:val="lv-LV"/>
                        </w:rPr>
                        <w:t xml:space="preserve"> elastīgāku</w:t>
                      </w:r>
                      <w:r w:rsidR="00BF7E69">
                        <w:rPr>
                          <w:lang w:val="lv-LV"/>
                        </w:rPr>
                        <w:t>s</w:t>
                      </w:r>
                      <w:r w:rsidRPr="00CF63DE">
                        <w:rPr>
                          <w:lang w:val="lv-LV"/>
                        </w:rPr>
                        <w:t>, pielāgojamāku</w:t>
                      </w:r>
                      <w:r w:rsidR="00BF7E69">
                        <w:rPr>
                          <w:lang w:val="lv-LV"/>
                        </w:rPr>
                        <w:t>s</w:t>
                      </w:r>
                      <w:r w:rsidRPr="00CF63DE">
                        <w:rPr>
                          <w:lang w:val="lv-LV"/>
                        </w:rPr>
                        <w:t>, vairākkārt izmantojamu</w:t>
                      </w:r>
                      <w:r w:rsidR="00BF7E69">
                        <w:rPr>
                          <w:lang w:val="lv-LV"/>
                        </w:rPr>
                        <w:t>s</w:t>
                      </w:r>
                      <w:r w:rsidRPr="00CF63DE">
                        <w:rPr>
                          <w:lang w:val="lv-LV"/>
                        </w:rPr>
                        <w:t xml:space="preserve"> un uzturēšanai draudzīgāku</w:t>
                      </w:r>
                      <w:r w:rsidR="00BF7E69">
                        <w:rPr>
                          <w:lang w:val="lv-LV"/>
                        </w:rPr>
                        <w:t>s</w:t>
                      </w:r>
                      <w:r w:rsidRPr="00CF63DE">
                        <w:rPr>
                          <w:lang w:val="lv-LV"/>
                        </w:rPr>
                        <w:t>, kas palīdz veidot ilgtermiņā ilgtspējīgus un drošus risinājumus.</w:t>
                      </w:r>
                    </w:p>
                    <w:p w:rsidR="00CF63DE" w:rsidP="00CF63DE" w:rsidRDefault="00A0624A" w14:paraId="0C3A2185" w14:textId="591A0C3B">
                      <w:pPr>
                        <w:pStyle w:val="ListParagraph"/>
                        <w:jc w:val="both"/>
                      </w:pPr>
                      <w:r>
                        <w:rPr>
                          <w:lang w:val="lv-LV"/>
                        </w:rPr>
                        <w:t xml:space="preserve">Servisu orientētība </w:t>
                      </w:r>
                      <w:r w:rsidRPr="00A0624A">
                        <w:rPr>
                          <w:lang w:val="lv-LV"/>
                        </w:rPr>
                        <w:t xml:space="preserve">ir arhitektūras </w:t>
                      </w:r>
                      <w:r w:rsidR="00C56D00">
                        <w:rPr>
                          <w:lang w:val="lv-LV"/>
                        </w:rPr>
                        <w:t>veids</w:t>
                      </w:r>
                      <w:r w:rsidRPr="00A0624A">
                        <w:rPr>
                          <w:lang w:val="lv-LV"/>
                        </w:rPr>
                        <w:t>, kur sistēma tiek veidota, izmantojot mazus, neatkarīgus pakalpojumus, kuri mijiedarbojas, lai izpildītu kopēju mērķi.</w:t>
                      </w:r>
                      <w:r>
                        <w:rPr>
                          <w:lang w:val="lv-LV"/>
                        </w:rPr>
                        <w:t xml:space="preserve"> Mikroservisu arhitektūra </w:t>
                      </w:r>
                      <w:r w:rsidRPr="00A0624A">
                        <w:t>ir pieeja sistēmas izstrādei, kurā monolīta lietojumprogramma tiek sadalīta vairākos mazos, autonomos servis</w:t>
                      </w:r>
                      <w:r>
                        <w:t xml:space="preserve">os </w:t>
                      </w:r>
                      <w:r w:rsidRPr="00A0624A">
                        <w:t>(mikroservisos). Katrs serviss koncentrējas uz konkrētu biznesa funkciju, darbojas neatkarīgi un savstarpēji sadarbojas, izmantojot standartizētas saskarnes, piemēram, API.</w:t>
                      </w:r>
                    </w:p>
                  </w:txbxContent>
                </v:textbox>
                <w10:wrap type="topAndBottom"/>
              </v:shape>
            </w:pict>
          </mc:Fallback>
        </mc:AlternateContent>
      </w:r>
    </w:p>
    <w:p w14:paraId="41CFE54F" w14:textId="77777777" w:rsidR="00502D87" w:rsidRDefault="00502D87" w:rsidP="00502D87">
      <w:pPr>
        <w:rPr>
          <w:lang w:val="lv-LV"/>
        </w:rPr>
      </w:pPr>
      <w:r w:rsidRPr="00AE17B5">
        <w:rPr>
          <w:lang w:val="lv-LV"/>
        </w:rPr>
        <w:t>Piemērošanas vadlīnijas:</w:t>
      </w:r>
    </w:p>
    <w:p w14:paraId="2A2DB268" w14:textId="77777777" w:rsidR="00C70C3F" w:rsidRPr="009E65DD" w:rsidRDefault="00192890" w:rsidP="00C70C3F">
      <w:pPr>
        <w:pStyle w:val="ListParagraph"/>
        <w:numPr>
          <w:ilvl w:val="0"/>
          <w:numId w:val="34"/>
        </w:numPr>
        <w:rPr>
          <w:lang w:val="lv-LV"/>
        </w:rPr>
      </w:pPr>
      <w:r w:rsidRPr="009E65DD">
        <w:rPr>
          <w:lang w:val="lv-LV"/>
        </w:rPr>
        <w:t>Veidojiet modulārus un/vai servisu orientētus risinājumus</w:t>
      </w:r>
      <w:r w:rsidR="00C70C3F" w:rsidRPr="009E65DD">
        <w:rPr>
          <w:lang w:val="lv-LV"/>
        </w:rPr>
        <w:t>:</w:t>
      </w:r>
    </w:p>
    <w:p w14:paraId="44BE6C92" w14:textId="33F2B971" w:rsidR="00441363" w:rsidRPr="009E65DD" w:rsidRDefault="00C70C3F" w:rsidP="00F1262C">
      <w:pPr>
        <w:pStyle w:val="ListParagraph"/>
        <w:numPr>
          <w:ilvl w:val="1"/>
          <w:numId w:val="34"/>
        </w:numPr>
        <w:rPr>
          <w:lang w:val="lv-LV"/>
        </w:rPr>
      </w:pPr>
      <w:r w:rsidRPr="009E65DD">
        <w:rPr>
          <w:lang w:val="lv-LV"/>
        </w:rPr>
        <w:t>Veidojiet sistēmas no neatkarīgiem moduļiem, kas ir elastīgi, atkārtoti izmantojami un viegli uzturami.</w:t>
      </w:r>
      <w:r w:rsidR="00F1262C" w:rsidRPr="009E65DD">
        <w:rPr>
          <w:lang w:val="lv-LV"/>
        </w:rPr>
        <w:t xml:space="preserve"> </w:t>
      </w:r>
      <w:r w:rsidRPr="009E65DD">
        <w:rPr>
          <w:lang w:val="lv-LV"/>
        </w:rPr>
        <w:t>Nodrošiniet moduļu savietojamību ar standartizētiem protokoliem.</w:t>
      </w:r>
    </w:p>
    <w:p w14:paraId="60410EE2" w14:textId="15CC8944" w:rsidR="00F1262C" w:rsidRPr="009E65DD" w:rsidRDefault="00F1262C" w:rsidP="00F1262C">
      <w:pPr>
        <w:pStyle w:val="ListParagraph"/>
        <w:numPr>
          <w:ilvl w:val="1"/>
          <w:numId w:val="34"/>
        </w:numPr>
        <w:rPr>
          <w:lang w:val="lv-LV"/>
        </w:rPr>
      </w:pPr>
      <w:r w:rsidRPr="00F1262C">
        <w:rPr>
          <w:lang w:val="lv-LV"/>
        </w:rPr>
        <w:t xml:space="preserve">Izstrādājiet sistēmas, izmantojot neatkarīgus </w:t>
      </w:r>
      <w:proofErr w:type="spellStart"/>
      <w:r w:rsidRPr="00F1262C">
        <w:rPr>
          <w:lang w:val="lv-LV"/>
        </w:rPr>
        <w:t>mikroservisus</w:t>
      </w:r>
      <w:proofErr w:type="spellEnd"/>
      <w:r w:rsidRPr="00F1262C">
        <w:rPr>
          <w:lang w:val="lv-LV"/>
        </w:rPr>
        <w:t>, kas mijiedarbojas caur standartizētām API.</w:t>
      </w:r>
      <w:r w:rsidR="005A3C40" w:rsidRPr="009E65DD">
        <w:rPr>
          <w:lang w:val="lv-LV"/>
        </w:rPr>
        <w:t xml:space="preserve"> </w:t>
      </w:r>
      <w:r w:rsidRPr="009E65DD">
        <w:rPr>
          <w:lang w:val="lv-LV"/>
        </w:rPr>
        <w:t>Nodrošiniet, ka katrs serviss koncentrējas uz konkrētu biznesa funkciju.</w:t>
      </w:r>
    </w:p>
    <w:p w14:paraId="2F914905" w14:textId="44CEF6E8" w:rsidR="005A3C40" w:rsidRPr="009E65DD" w:rsidRDefault="005A3C40" w:rsidP="005A3C40">
      <w:pPr>
        <w:pStyle w:val="ListParagraph"/>
        <w:numPr>
          <w:ilvl w:val="0"/>
          <w:numId w:val="34"/>
        </w:numPr>
        <w:rPr>
          <w:lang w:val="lv-LV"/>
        </w:rPr>
      </w:pPr>
      <w:r w:rsidRPr="009E65DD">
        <w:rPr>
          <w:lang w:val="lv-LV"/>
        </w:rPr>
        <w:t xml:space="preserve">Primāri izstrādājiet atvērtas, standartizētas un labi dokumentētas API, kas veicina funkcionalitātes un datu pieejamību. </w:t>
      </w:r>
    </w:p>
    <w:p w14:paraId="201AE198" w14:textId="77777777" w:rsidR="00502D87" w:rsidRDefault="00502D87" w:rsidP="00502D87">
      <w:pPr>
        <w:rPr>
          <w:lang w:val="lv-LV"/>
        </w:rPr>
      </w:pPr>
      <w:r w:rsidRPr="00C20AD0">
        <w:rPr>
          <w:lang w:val="lv-LV"/>
        </w:rPr>
        <w:t>Novērtēšanas vadlīnijas:</w:t>
      </w:r>
    </w:p>
    <w:p w14:paraId="46A68D31" w14:textId="2DC15B59" w:rsidR="00A94EB5" w:rsidRDefault="002A2BE0" w:rsidP="00A94EB5">
      <w:pPr>
        <w:pStyle w:val="ListParagraph"/>
        <w:numPr>
          <w:ilvl w:val="0"/>
          <w:numId w:val="11"/>
        </w:numPr>
        <w:jc w:val="both"/>
        <w:rPr>
          <w:lang w:val="lv-LV"/>
        </w:rPr>
      </w:pPr>
      <w:r>
        <w:rPr>
          <w:lang w:val="lv-LV"/>
        </w:rPr>
        <w:t>TPK</w:t>
      </w:r>
      <w:r w:rsidR="00E46D09">
        <w:rPr>
          <w:lang w:val="lv-LV"/>
        </w:rPr>
        <w:t>9</w:t>
      </w:r>
      <w:r>
        <w:rPr>
          <w:lang w:val="lv-LV"/>
        </w:rPr>
        <w:t xml:space="preserve">. </w:t>
      </w:r>
      <w:r w:rsidR="00A94EB5">
        <w:rPr>
          <w:lang w:val="lv-LV"/>
        </w:rPr>
        <w:t xml:space="preserve">Vai </w:t>
      </w:r>
      <w:proofErr w:type="spellStart"/>
      <w:r w:rsidR="00A94EB5">
        <w:rPr>
          <w:lang w:val="lv-LV"/>
        </w:rPr>
        <w:t>mērķarhitektūras</w:t>
      </w:r>
      <w:proofErr w:type="spellEnd"/>
      <w:r w:rsidR="00A94EB5">
        <w:rPr>
          <w:lang w:val="lv-LV"/>
        </w:rPr>
        <w:t xml:space="preserve"> </w:t>
      </w:r>
      <w:r w:rsidR="002550B1">
        <w:rPr>
          <w:lang w:val="lv-LV"/>
        </w:rPr>
        <w:t xml:space="preserve">IKT </w:t>
      </w:r>
      <w:r w:rsidR="00A94EB5">
        <w:rPr>
          <w:lang w:val="lv-LV"/>
        </w:rPr>
        <w:t>risinājum</w:t>
      </w:r>
      <w:r w:rsidR="002550B1">
        <w:rPr>
          <w:lang w:val="lv-LV"/>
        </w:rPr>
        <w:t xml:space="preserve">us paredzēts </w:t>
      </w:r>
      <w:r w:rsidR="00A94EB5">
        <w:rPr>
          <w:lang w:val="lv-LV"/>
        </w:rPr>
        <w:t>projektēt kā modulār</w:t>
      </w:r>
      <w:r w:rsidR="002550B1">
        <w:rPr>
          <w:lang w:val="lv-LV"/>
        </w:rPr>
        <w:t>us</w:t>
      </w:r>
      <w:r w:rsidR="00A94EB5">
        <w:rPr>
          <w:lang w:val="lv-LV"/>
        </w:rPr>
        <w:t xml:space="preserve"> vai servisu orientēt</w:t>
      </w:r>
      <w:r w:rsidR="002550B1">
        <w:rPr>
          <w:lang w:val="lv-LV"/>
        </w:rPr>
        <w:t>us</w:t>
      </w:r>
      <w:r w:rsidR="00A94EB5">
        <w:rPr>
          <w:lang w:val="lv-LV"/>
        </w:rPr>
        <w:t>?</w:t>
      </w:r>
    </w:p>
    <w:p w14:paraId="7E835F2C" w14:textId="5B091BFE" w:rsidR="00A94EB5" w:rsidRDefault="002A2BE0" w:rsidP="00A94EB5">
      <w:pPr>
        <w:pStyle w:val="ListParagraph"/>
        <w:numPr>
          <w:ilvl w:val="0"/>
          <w:numId w:val="11"/>
        </w:numPr>
        <w:jc w:val="both"/>
        <w:rPr>
          <w:lang w:val="lv-LV"/>
        </w:rPr>
      </w:pPr>
      <w:r>
        <w:rPr>
          <w:lang w:val="lv-LV"/>
        </w:rPr>
        <w:lastRenderedPageBreak/>
        <w:t>TPK1</w:t>
      </w:r>
      <w:r w:rsidR="00E46D09">
        <w:rPr>
          <w:lang w:val="lv-LV"/>
        </w:rPr>
        <w:t>0</w:t>
      </w:r>
      <w:r>
        <w:rPr>
          <w:lang w:val="lv-LV"/>
        </w:rPr>
        <w:t xml:space="preserve">. </w:t>
      </w:r>
      <w:r w:rsidR="00A94EB5">
        <w:rPr>
          <w:lang w:val="lv-LV"/>
        </w:rPr>
        <w:t>Vai</w:t>
      </w:r>
      <w:r w:rsidR="002550B1">
        <w:rPr>
          <w:lang w:val="lv-LV"/>
        </w:rPr>
        <w:t xml:space="preserve"> </w:t>
      </w:r>
      <w:proofErr w:type="spellStart"/>
      <w:r w:rsidR="002550B1">
        <w:rPr>
          <w:lang w:val="lv-LV"/>
        </w:rPr>
        <w:t>mērķarhitektūras</w:t>
      </w:r>
      <w:proofErr w:type="spellEnd"/>
      <w:r w:rsidR="002550B1">
        <w:rPr>
          <w:lang w:val="lv-LV"/>
        </w:rPr>
        <w:t xml:space="preserve"> IKT risinājumiem</w:t>
      </w:r>
      <w:r w:rsidR="00A94EB5">
        <w:rPr>
          <w:lang w:val="lv-LV"/>
        </w:rPr>
        <w:t xml:space="preserve"> paredzēts pielietot </w:t>
      </w:r>
      <w:proofErr w:type="spellStart"/>
      <w:r w:rsidR="00A94EB5">
        <w:rPr>
          <w:lang w:val="lv-LV"/>
        </w:rPr>
        <w:t>mikroservisu</w:t>
      </w:r>
      <w:proofErr w:type="spellEnd"/>
      <w:r w:rsidR="00A94EB5">
        <w:rPr>
          <w:lang w:val="lv-LV"/>
        </w:rPr>
        <w:t xml:space="preserve"> arhitektūru?</w:t>
      </w:r>
    </w:p>
    <w:p w14:paraId="0F7ECBEA" w14:textId="018C04E1" w:rsidR="005F5F54" w:rsidRDefault="002A2BE0" w:rsidP="00A94EB5">
      <w:pPr>
        <w:pStyle w:val="ListParagraph"/>
        <w:numPr>
          <w:ilvl w:val="0"/>
          <w:numId w:val="11"/>
        </w:numPr>
        <w:jc w:val="both"/>
        <w:rPr>
          <w:lang w:val="lv-LV"/>
        </w:rPr>
        <w:sectPr w:rsidR="005F5F54">
          <w:pgSz w:w="12240" w:h="15840"/>
          <w:pgMar w:top="1440" w:right="1440" w:bottom="1440" w:left="1440" w:header="720" w:footer="720" w:gutter="0"/>
          <w:cols w:space="720"/>
          <w:docGrid w:linePitch="360"/>
        </w:sectPr>
      </w:pPr>
      <w:r>
        <w:rPr>
          <w:lang w:val="lv-LV"/>
        </w:rPr>
        <w:t>TPK1</w:t>
      </w:r>
      <w:r w:rsidR="00E46D09">
        <w:rPr>
          <w:lang w:val="lv-LV"/>
        </w:rPr>
        <w:t>1</w:t>
      </w:r>
      <w:r>
        <w:rPr>
          <w:lang w:val="lv-LV"/>
        </w:rPr>
        <w:t xml:space="preserve">. </w:t>
      </w:r>
      <w:r w:rsidR="00A94EB5">
        <w:rPr>
          <w:lang w:val="lv-LV"/>
        </w:rPr>
        <w:t xml:space="preserve">Vai </w:t>
      </w:r>
      <w:proofErr w:type="spellStart"/>
      <w:r w:rsidR="00A94EB5">
        <w:rPr>
          <w:lang w:val="lv-LV"/>
        </w:rPr>
        <w:t>mērķarhitektūras</w:t>
      </w:r>
      <w:proofErr w:type="spellEnd"/>
      <w:r w:rsidR="00A94EB5">
        <w:rPr>
          <w:lang w:val="lv-LV"/>
        </w:rPr>
        <w:t xml:space="preserve"> </w:t>
      </w:r>
      <w:r w:rsidR="002550B1">
        <w:rPr>
          <w:lang w:val="lv-LV"/>
        </w:rPr>
        <w:t xml:space="preserve">IKT risinājumiem </w:t>
      </w:r>
      <w:r w:rsidR="00A94EB5">
        <w:rPr>
          <w:lang w:val="lv-LV"/>
        </w:rPr>
        <w:t xml:space="preserve">plānots nodrošināt atvērtas lietojumprogrammu </w:t>
      </w:r>
      <w:proofErr w:type="spellStart"/>
      <w:r w:rsidR="00A94EB5">
        <w:rPr>
          <w:lang w:val="lv-LV"/>
        </w:rPr>
        <w:t>saskarnes</w:t>
      </w:r>
      <w:proofErr w:type="spellEnd"/>
      <w:r w:rsidR="008701D5">
        <w:rPr>
          <w:lang w:val="lv-LV"/>
        </w:rPr>
        <w:t xml:space="preserve"> (API)</w:t>
      </w:r>
      <w:r w:rsidR="00A94EB5">
        <w:rPr>
          <w:lang w:val="lv-LV"/>
        </w:rPr>
        <w:t>?</w:t>
      </w:r>
    </w:p>
    <w:p w14:paraId="460B786E" w14:textId="69CD0D5D" w:rsidR="005F5F54" w:rsidRDefault="005F5F54" w:rsidP="005F5F54">
      <w:pPr>
        <w:pStyle w:val="Heading1"/>
        <w:ind w:left="360"/>
        <w:rPr>
          <w:lang w:val="lv-LV"/>
        </w:rPr>
      </w:pPr>
      <w:r>
        <w:rPr>
          <w:lang w:val="lv-LV"/>
        </w:rPr>
        <w:lastRenderedPageBreak/>
        <w:t>Pielikumi</w:t>
      </w:r>
    </w:p>
    <w:p w14:paraId="1A52EBFE" w14:textId="46C4C7A6" w:rsidR="005F5F54" w:rsidRDefault="00BD1CEF" w:rsidP="00BD1CEF">
      <w:pPr>
        <w:pStyle w:val="Heading2"/>
        <w:rPr>
          <w:lang w:val="lv-LV"/>
        </w:rPr>
      </w:pPr>
      <w:r>
        <w:rPr>
          <w:lang w:val="lv-LV"/>
        </w:rPr>
        <w:t xml:space="preserve">1.pielikums – jomas </w:t>
      </w:r>
      <w:proofErr w:type="spellStart"/>
      <w:r>
        <w:rPr>
          <w:lang w:val="lv-LV"/>
        </w:rPr>
        <w:t>mērķarhitektūras</w:t>
      </w:r>
      <w:proofErr w:type="spellEnd"/>
      <w:r>
        <w:rPr>
          <w:lang w:val="lv-LV"/>
        </w:rPr>
        <w:t xml:space="preserve"> pašvērtējuma </w:t>
      </w:r>
      <w:r w:rsidR="005114A4">
        <w:rPr>
          <w:lang w:val="lv-LV"/>
        </w:rPr>
        <w:t>kontrolsaraksts</w:t>
      </w:r>
    </w:p>
    <w:p w14:paraId="76F72D5E" w14:textId="062AD109" w:rsidR="00BD1CEF" w:rsidRPr="00BD1CEF" w:rsidRDefault="00BD1CEF" w:rsidP="00BD1CEF">
      <w:pPr>
        <w:pStyle w:val="Heading2"/>
        <w:rPr>
          <w:lang w:val="lv-LV"/>
        </w:rPr>
      </w:pPr>
      <w:r>
        <w:rPr>
          <w:lang w:val="lv-LV"/>
        </w:rPr>
        <w:t xml:space="preserve">2.pielikums – risinājuma arhitektūras pašvērtējuma </w:t>
      </w:r>
      <w:r w:rsidR="005114A4">
        <w:rPr>
          <w:lang w:val="lv-LV"/>
        </w:rPr>
        <w:t>kontrolsaraksts</w:t>
      </w:r>
    </w:p>
    <w:p w14:paraId="10E71B0A" w14:textId="6543FD5E" w:rsidR="00A94EB5" w:rsidRPr="005F5F54" w:rsidRDefault="00A94EB5" w:rsidP="005F5F54">
      <w:pPr>
        <w:ind w:left="360"/>
        <w:jc w:val="both"/>
        <w:rPr>
          <w:lang w:val="lv-LV"/>
        </w:rPr>
      </w:pPr>
    </w:p>
    <w:p w14:paraId="2ED1EE0F" w14:textId="77777777" w:rsidR="00A94EB5" w:rsidRDefault="00A94EB5" w:rsidP="00502D87">
      <w:pPr>
        <w:rPr>
          <w:lang w:val="lv-LV"/>
        </w:rPr>
      </w:pPr>
    </w:p>
    <w:p w14:paraId="59D4550E" w14:textId="77777777" w:rsidR="00502D87" w:rsidRPr="00414C58" w:rsidRDefault="00502D87" w:rsidP="00502D87">
      <w:pPr>
        <w:pStyle w:val="ListBullet"/>
        <w:numPr>
          <w:ilvl w:val="0"/>
          <w:numId w:val="0"/>
        </w:numPr>
        <w:spacing w:line="247" w:lineRule="auto"/>
        <w:jc w:val="both"/>
        <w:rPr>
          <w:lang w:val="lv-LV"/>
        </w:rPr>
      </w:pPr>
    </w:p>
    <w:p w14:paraId="12D6AEF9" w14:textId="5F5364D3" w:rsidR="00137A2C" w:rsidRPr="00137A2C" w:rsidRDefault="00137A2C" w:rsidP="00137A2C">
      <w:pPr>
        <w:rPr>
          <w:lang w:val="lv-LV"/>
        </w:rPr>
      </w:pPr>
    </w:p>
    <w:sectPr w:rsidR="00137A2C" w:rsidRPr="00137A2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artins.zviedris@vid.gov.lv" w:date="2025-01-10T09:29:00Z" w:initials="ma">
    <w:p w14:paraId="08EE2FD7" w14:textId="77777777" w:rsidR="002D035C" w:rsidRDefault="002D035C" w:rsidP="002D035C">
      <w:pPr>
        <w:pStyle w:val="CommentText"/>
      </w:pPr>
      <w:r>
        <w:rPr>
          <w:rStyle w:val="CommentReference"/>
        </w:rPr>
        <w:annotationRef/>
      </w:r>
      <w:r w:rsidRPr="2090D7AA">
        <w:t>Lūdzu minēto principu pārcelt kā pirmo principu.</w:t>
      </w:r>
    </w:p>
  </w:comment>
  <w:comment w:id="4" w:author="Rūta Pirta" w:date="2025-01-15T16:22:00Z" w:initials="RP">
    <w:p w14:paraId="34AE0194" w14:textId="77777777" w:rsidR="002D035C" w:rsidRDefault="002D035C" w:rsidP="002D035C">
      <w:pPr>
        <w:pStyle w:val="CommentText"/>
      </w:pPr>
      <w:r>
        <w:rPr>
          <w:rStyle w:val="CommentReference"/>
        </w:rPr>
        <w:annotationRef/>
      </w:r>
      <w:r>
        <w:rPr>
          <w:lang w:val="lv-LV"/>
        </w:rPr>
        <w:t xml:space="preserve">Liekam kā pirmo. + tas neatceļ obligātās prasības (papildinām). </w:t>
      </w:r>
    </w:p>
  </w:comment>
  <w:comment w:id="5" w:author="martins.zviedris@vid.gov.lv" w:date="2025-01-10T09:33:00Z" w:initials="ma">
    <w:p w14:paraId="602625EC" w14:textId="2C53E516" w:rsidR="001C4F27" w:rsidRDefault="001C4F27">
      <w:pPr>
        <w:pStyle w:val="CommentText"/>
      </w:pPr>
      <w:r>
        <w:rPr>
          <w:rStyle w:val="CommentReference"/>
        </w:rPr>
        <w:annotationRef/>
      </w:r>
      <w:r w:rsidRPr="161928BC">
        <w:t xml:space="preserve">Lūdzu koriģēt principu. </w:t>
      </w:r>
    </w:p>
    <w:p w14:paraId="73592926" w14:textId="16000F75" w:rsidR="001C4F27" w:rsidRDefault="001C4F27">
      <w:pPr>
        <w:pStyle w:val="CommentText"/>
      </w:pPr>
      <w:r w:rsidRPr="16A42AFF">
        <w:t xml:space="preserve">Šis teksts akcentē nepieciešamību pēc IKT risinājumiem, kas veicina valsts pārvaldes efektivitāti un sabiedrības vērtības radīšanu. Tomēr, lai nodrošinātu sekmīgu stratēģisko mērķu sasniegšanu, ir būtiski precizēt biznesa stratēģijas un prioritātes, pirms tiek īstenoti konkrēti IT mērķarhitektūras principi. Bez skaidras biznesa stratēģijas IT risinājumi var nesasniegt cerēto ietekmi uz organizācijas mērķiem un klientu apmierinātību. </w:t>
      </w:r>
      <w:r w:rsidRPr="48A8F40C">
        <w:rPr>
          <w:b/>
          <w:bCs/>
        </w:rPr>
        <w:t>Primāra uzmanība jāvelta biznesa vajadzību un stratēģisko mērķu definēšanai, pēc kā IT mērķarhitektūras principi tiek pielāgoti šo mērķu sasniegšanai.</w:t>
      </w:r>
    </w:p>
    <w:p w14:paraId="327E1CEF" w14:textId="70030C61" w:rsidR="001C4F27" w:rsidRPr="00951C37" w:rsidRDefault="001C4F27">
      <w:pPr>
        <w:pStyle w:val="CommentText"/>
        <w:rPr>
          <w:lang w:val="lv-LV"/>
        </w:rPr>
      </w:pPr>
      <w:r w:rsidRPr="2CBAF1BD">
        <w:t>Tas nozīmē, ka IT risinājumu attīstība nedrīkst tikt veikta izolēti no organizācijas vispārējās stratēģijas un sabiedrības interesēm. Tāpat ir svarīgi paredzēt arī iespējamo normatīvās vides attīstību, lai veicinātu ilgtspējīgus risinājumus un samazinātu potenciālos riskus. Tādējādi IT risinājumi kļūst par līdzekli biznesa stratēģijas realizācijai, nevis pašmērķīgu pieeju tehnoloģiju ieviešanai.</w:t>
      </w:r>
    </w:p>
  </w:comment>
  <w:comment w:id="6" w:author="Rūta Pirta" w:date="2025-01-15T15:34:00Z" w:initials="RP">
    <w:p w14:paraId="0BFE6F7D" w14:textId="77777777" w:rsidR="00951C37" w:rsidRDefault="00951C37" w:rsidP="00951C37">
      <w:pPr>
        <w:pStyle w:val="CommentText"/>
      </w:pPr>
      <w:r>
        <w:rPr>
          <w:rStyle w:val="CommentReference"/>
        </w:rPr>
        <w:annotationRef/>
      </w:r>
      <w:r>
        <w:t>M</w:t>
      </w:r>
      <w:r>
        <w:rPr>
          <w:lang w:val="lv-LV"/>
        </w:rPr>
        <w:t xml:space="preserve">ērķarhitektūrai jāatbilst iestādes stratēģijai (pie paša principa varam papildināt). </w:t>
      </w:r>
    </w:p>
  </w:comment>
  <w:comment w:id="7" w:author="martins.zviedris@vid.gov.lv" w:date="2025-01-10T08:53:00Z" w:initials="ma">
    <w:p w14:paraId="4B2E70DD" w14:textId="7C5D7DC2" w:rsidR="001C4F27" w:rsidRDefault="001C4F27">
      <w:pPr>
        <w:pStyle w:val="CommentText"/>
      </w:pPr>
      <w:r>
        <w:rPr>
          <w:rStyle w:val="CommentReference"/>
        </w:rPr>
        <w:annotationRef/>
      </w:r>
      <w:r w:rsidRPr="331C8C51">
        <w:t>Pie attēla komentēt nebija iespējams, tomēr ir šeit nav pārskaitīti visi pakalpojumu. Jo ir pakalpojumi, ko vasts pārvalde sniedz sabiedrībai kā kopumam. Piemēram, armija sniedz pakalpojumu sabiedrībai - drošības nodrošināšana, arī policija un citas iestādes sniedz pakalpojumus sabiedrībai. Nebūtu pareizi teikt, ka fokusam ir jābūt tikai uz pakalpojumiem, kur ir kāds identificējams pakalpojuma saņēmējs. Pakalpojumi sabiedrībai tiek uzskaitīti tikai kā īstenojamās funkcijas. Piemēram, kā tiek sagaidīts - ka būs superīgs pakalpojums, kurš klientu informēs par papildus nodokļa apmaksu?</w:t>
      </w:r>
    </w:p>
  </w:comment>
  <w:comment w:id="8" w:author="Rūta Pirta" w:date="2025-01-15T15:39:00Z" w:initials="RP">
    <w:p w14:paraId="29AE6F8B" w14:textId="77777777" w:rsidR="00951C37" w:rsidRDefault="00951C37" w:rsidP="00951C37">
      <w:pPr>
        <w:pStyle w:val="CommentText"/>
      </w:pPr>
      <w:r>
        <w:rPr>
          <w:rStyle w:val="CommentReference"/>
        </w:rPr>
        <w:annotationRef/>
      </w:r>
      <w:r>
        <w:rPr>
          <w:lang w:val="lv-LV"/>
        </w:rPr>
        <w:t xml:space="preserve">Papildinām, ka ir arī sabiedriskā labuma pakalpojumi/funkcijas (pie paša principa). </w:t>
      </w:r>
    </w:p>
  </w:comment>
  <w:comment w:id="9" w:author="martins.zviedris@vid.gov.lv" w:date="2025-01-10T09:00:00Z" w:initials="ma">
    <w:p w14:paraId="13C70EE5" w14:textId="012AAABA" w:rsidR="001C4F27" w:rsidRDefault="001C4F27">
      <w:pPr>
        <w:pStyle w:val="CommentText"/>
      </w:pPr>
      <w:r>
        <w:rPr>
          <w:rStyle w:val="CommentReference"/>
        </w:rPr>
        <w:annotationRef/>
      </w:r>
      <w:r w:rsidRPr="70C41607">
        <w:t>Kāds ir pamatojums - kāpēc mērķarhitektūrā ir jāiesaista pakalpojumu saņēmēji? Saprotams, ka tas ir jāņem vērā pie risinājumiem, kā arī to atsauksmes ietekmē stratēģiju, bet ja pirmajā principā ir - ka mērķarhitektūra ir pakārtota stratēģijai, tad nav skaidrs - kā šis iet kopā.</w:t>
      </w:r>
    </w:p>
  </w:comment>
  <w:comment w:id="10" w:author="Rūta Pirta" w:date="2025-01-15T15:43:00Z" w:initials="RP">
    <w:p w14:paraId="5CE45B90" w14:textId="77777777" w:rsidR="00951C37" w:rsidRDefault="00951C37" w:rsidP="00951C37">
      <w:pPr>
        <w:pStyle w:val="CommentText"/>
      </w:pPr>
      <w:r>
        <w:rPr>
          <w:rStyle w:val="CommentReference"/>
        </w:rPr>
        <w:annotationRef/>
      </w:r>
      <w:r>
        <w:rPr>
          <w:lang w:val="lv-LV"/>
        </w:rPr>
        <w:t xml:space="preserve">Šo punktu var atstāt pie risinājumu novērtēšanas. </w:t>
      </w:r>
    </w:p>
  </w:comment>
  <w:comment w:id="12" w:author="martins.zviedris@vid.gov.lv" w:date="2025-01-10T09:05:00Z" w:initials="ma">
    <w:p w14:paraId="3775C8FA" w14:textId="7ABF63A2" w:rsidR="001C4F27" w:rsidRDefault="001C4F27">
      <w:pPr>
        <w:pStyle w:val="CommentText"/>
      </w:pPr>
      <w:r>
        <w:rPr>
          <w:rStyle w:val="CommentReference"/>
        </w:rPr>
        <w:annotationRef/>
      </w:r>
      <w:r w:rsidRPr="49F5FF94">
        <w:t>Lūdzu svītrot principu - šis attiecas uz arhitektūras ieviešanu, nevis arhitektūras plānošanu.</w:t>
      </w:r>
    </w:p>
    <w:p w14:paraId="5DB7BB8D" w14:textId="4C8C3787" w:rsidR="001C4F27" w:rsidRDefault="001C4F27">
      <w:pPr>
        <w:pStyle w:val="CommentText"/>
      </w:pPr>
      <w:r w:rsidRPr="7DA079F7">
        <w:t>Turklāt, kā tiek sagaidīta vienota lietotāju pieredze EDS, Latvija.lv, e-veselībā un citos portālos?</w:t>
      </w:r>
    </w:p>
  </w:comment>
  <w:comment w:id="13" w:author="Rūta Pirta" w:date="2025-01-15T15:52:00Z" w:initials="RP">
    <w:p w14:paraId="5B094B6F" w14:textId="77777777" w:rsidR="00F30134" w:rsidRDefault="00F30134" w:rsidP="00F30134">
      <w:pPr>
        <w:pStyle w:val="CommentText"/>
      </w:pPr>
      <w:r>
        <w:rPr>
          <w:rStyle w:val="CommentReference"/>
        </w:rPr>
        <w:annotationRef/>
      </w:r>
      <w:r>
        <w:rPr>
          <w:lang w:val="lv-LV"/>
        </w:rPr>
        <w:t>Koplietošanas risinājumu reģistrs (nākotnē jāatrisina).</w:t>
      </w:r>
    </w:p>
  </w:comment>
  <w:comment w:id="14" w:author="martins.zviedris@vid.gov.lv" w:date="2025-01-10T09:06:00Z" w:initials="ma">
    <w:p w14:paraId="67BC9AB9" w14:textId="4BCCA790" w:rsidR="001C4F27" w:rsidRDefault="001C4F27">
      <w:pPr>
        <w:pStyle w:val="CommentText"/>
      </w:pPr>
      <w:r>
        <w:rPr>
          <w:rStyle w:val="CommentReference"/>
        </w:rPr>
        <w:annotationRef/>
      </w:r>
      <w:r w:rsidRPr="6A70ECD2">
        <w:t>Princips attiecas uz realizāciju, nevis plānošanu. Lūdzu svītrot.</w:t>
      </w:r>
    </w:p>
  </w:comment>
  <w:comment w:id="15" w:author="martins.zviedris@vid.gov.lv" w:date="2025-01-10T09:42:00Z" w:initials="ma">
    <w:p w14:paraId="3D217108" w14:textId="7BB65327" w:rsidR="001C4F27" w:rsidRDefault="001C4F27">
      <w:pPr>
        <w:pStyle w:val="CommentText"/>
      </w:pPr>
      <w:r>
        <w:rPr>
          <w:rStyle w:val="CommentReference"/>
        </w:rPr>
        <w:annotationRef/>
      </w:r>
      <w:r w:rsidRPr="23CDBDB6">
        <w:t>Turklāt, daļa pārklājas ar tehnoloģijas principiem.</w:t>
      </w:r>
    </w:p>
  </w:comment>
  <w:comment w:id="16" w:author="Rūta Pirta" w:date="2025-01-15T16:07:00Z" w:initials="RP">
    <w:p w14:paraId="0A339014" w14:textId="77777777" w:rsidR="00DE2F12" w:rsidRDefault="00DE2F12" w:rsidP="00DE2F12">
      <w:pPr>
        <w:pStyle w:val="CommentText"/>
      </w:pPr>
      <w:r>
        <w:rPr>
          <w:rStyle w:val="CommentReference"/>
        </w:rPr>
        <w:annotationRef/>
      </w:r>
      <w:r>
        <w:rPr>
          <w:lang w:val="lv-LV"/>
        </w:rPr>
        <w:t xml:space="preserve">Risinājuma čeklists. </w:t>
      </w:r>
    </w:p>
  </w:comment>
  <w:comment w:id="17" w:author="martins.zviedris@vid.gov.lv" w:date="2025-01-10T09:47:00Z" w:initials="ma">
    <w:p w14:paraId="47987059" w14:textId="40C14856" w:rsidR="001C4F27" w:rsidRDefault="001C4F27">
      <w:pPr>
        <w:pStyle w:val="CommentText"/>
      </w:pPr>
      <w:r>
        <w:rPr>
          <w:rStyle w:val="CommentReference"/>
        </w:rPr>
        <w:annotationRef/>
      </w:r>
      <w:r w:rsidRPr="6A7E2B2A">
        <w:t>Šis princips ir pretrunā ar tehnoloģisko neitralitāti. Vai šis nozīmē, ka tiek ierobežotas vai rekomendētas programmēšanas valodas attiecībā uz to resursu patēriņu? Attiecībā uz IKT infrastruktūru - jau šobrīd ir spēkā noteikumi par pāreju uz valsts mākoņpakalpojumiem, kas nozīmē, ka tur jau ir atrunāta ietekme uz vidi.</w:t>
      </w:r>
    </w:p>
  </w:comment>
  <w:comment w:id="18" w:author="Rūta Pirta" w:date="2025-01-15T16:14:00Z" w:initials="RP">
    <w:p w14:paraId="1FB871C6" w14:textId="77777777" w:rsidR="00DE2F12" w:rsidRDefault="00DE2F12" w:rsidP="00DE2F12">
      <w:pPr>
        <w:pStyle w:val="CommentText"/>
      </w:pPr>
      <w:r>
        <w:rPr>
          <w:rStyle w:val="CommentReference"/>
        </w:rPr>
        <w:annotationRef/>
      </w:r>
      <w:r>
        <w:rPr>
          <w:lang w:val="lv-LV"/>
        </w:rPr>
        <w:t xml:space="preserve">Izvirzīt biznesa nepārtrauktības nodrošināšanai nepieciešamās resursu prasības (RTO, RPO), kā arī optimāli plānot IKT infrastruktūras resursus (vides, utml.). </w:t>
      </w:r>
    </w:p>
  </w:comment>
  <w:comment w:id="19" w:author="martins.zviedris@vid.gov.lv" w:date="2025-01-10T09:12:00Z" w:initials="ma">
    <w:p w14:paraId="5A97FC3C" w14:textId="680A6CA3" w:rsidR="001C4F27" w:rsidRDefault="001C4F27">
      <w:pPr>
        <w:pStyle w:val="CommentText"/>
      </w:pPr>
      <w:r>
        <w:rPr>
          <w:rStyle w:val="CommentReference"/>
        </w:rPr>
        <w:annotationRef/>
      </w:r>
      <w:r w:rsidRPr="4B641F95">
        <w:t>Konkrētais princips būtu jāliek pie noteikumiem, nevis jāformulē pie principiem.  Principu vēl var pārformulēt, ka jaunveidojamie vai attīstāmie pakalpojumi tiek iekļauti kā digitāli pieejami.</w:t>
      </w:r>
    </w:p>
  </w:comment>
  <w:comment w:id="20" w:author="martins.zviedris@vid.gov.lv" w:date="2025-01-10T09:48:00Z" w:initials="ma">
    <w:p w14:paraId="7A4677B4" w14:textId="7182B06A" w:rsidR="001C4F27" w:rsidRDefault="001C4F27">
      <w:pPr>
        <w:pStyle w:val="CommentText"/>
      </w:pPr>
      <w:r>
        <w:rPr>
          <w:rStyle w:val="CommentReference"/>
        </w:rPr>
        <w:annotationRef/>
      </w:r>
      <w:r w:rsidRPr="445AFB9B">
        <w:t>Lūdzu principu svītrot.</w:t>
      </w:r>
    </w:p>
  </w:comment>
  <w:comment w:id="21" w:author="Rūta Pirta" w:date="2025-01-15T16:25:00Z" w:initials="RP">
    <w:p w14:paraId="444DA91C" w14:textId="77777777" w:rsidR="004A0ED9" w:rsidRDefault="004A0ED9" w:rsidP="004A0ED9">
      <w:pPr>
        <w:pStyle w:val="CommentText"/>
      </w:pPr>
      <w:r>
        <w:rPr>
          <w:rStyle w:val="CommentReference"/>
        </w:rPr>
        <w:annotationRef/>
      </w:r>
      <w:r>
        <w:rPr>
          <w:lang w:val="lv-LV"/>
        </w:rPr>
        <w:t xml:space="preserve">Papildinām aprakstu. </w:t>
      </w:r>
    </w:p>
  </w:comment>
  <w:comment w:id="22" w:author="martins.zviedris@vid.gov.lv" w:date="2025-01-10T09:53:00Z" w:initials="ma">
    <w:p w14:paraId="1FADD5D2" w14:textId="14416452" w:rsidR="001C4F27" w:rsidRDefault="001C4F27">
      <w:pPr>
        <w:pStyle w:val="CommentText"/>
      </w:pPr>
      <w:r>
        <w:rPr>
          <w:rStyle w:val="CommentReference"/>
        </w:rPr>
        <w:annotationRef/>
      </w:r>
      <w:r w:rsidRPr="612DAA8A">
        <w:t>Lūdzu svītrot principu un to pārcelt uz konkrētiem noteikumiem. Esošajā situācijā sanāk, ka caur arhitektūras principiemiem, kur apakšā nav paredzēta finanšu plānošana tiek mēģināts panākt, ka tagad katram portālam ir jānodrošina konkrētas lietas, tā nav labā prakse kā šādas pārmaiņas īstenot.</w:t>
      </w:r>
    </w:p>
  </w:comment>
  <w:comment w:id="24" w:author="martins.zviedris@vid.gov.lv" w:date="2025-01-10T09:55:00Z" w:initials="ma">
    <w:p w14:paraId="43379A7C" w14:textId="1345E674" w:rsidR="001C4F27" w:rsidRDefault="001C4F27">
      <w:pPr>
        <w:pStyle w:val="CommentText"/>
      </w:pPr>
      <w:r>
        <w:rPr>
          <w:rStyle w:val="CommentReference"/>
        </w:rPr>
        <w:annotationRef/>
      </w:r>
      <w:r w:rsidRPr="23B69875">
        <w:t>IKT arhitektūras principiem nebūtu jābūt par pamatu datu pārvaldības ieviešanai iestādēs. Tam būtu jābūt kā atsevišķai aktivitātei/projektam.</w:t>
      </w:r>
    </w:p>
  </w:comment>
  <w:comment w:id="25" w:author="martins.zviedris@vid.gov.lv" w:date="2025-01-10T09:21:00Z" w:initials="ma">
    <w:p w14:paraId="0E585230" w14:textId="795B2F9C" w:rsidR="001C4F27" w:rsidRDefault="001C4F27">
      <w:pPr>
        <w:pStyle w:val="CommentText"/>
      </w:pPr>
      <w:r>
        <w:rPr>
          <w:rStyle w:val="CommentReference"/>
        </w:rPr>
        <w:annotationRef/>
      </w:r>
      <w:r w:rsidRPr="48AE1CEC">
        <w:t>Lūdzu pārdomāt principu. Šādā formulējumā sanāk, ka piegādātājs ir pārāks par pasūtītāju un var sākt uzspiest īpatnējas tehnoloģijas, kurās, piemēram, nav konkurence. Piemēram, mērķarhitektūras tehnoloģīju izvēle veicina piegādātāju konkurenci un optimizē iestādes uzturēšanas darbu.</w:t>
      </w:r>
    </w:p>
  </w:comment>
  <w:comment w:id="26" w:author="Rūta Pirta" w:date="2025-01-15T16:39:00Z" w:initials="RP">
    <w:p w14:paraId="6528A81F" w14:textId="77777777" w:rsidR="008E5CC4" w:rsidRDefault="008E5CC4" w:rsidP="008E5CC4">
      <w:pPr>
        <w:pStyle w:val="CommentText"/>
      </w:pPr>
      <w:r>
        <w:rPr>
          <w:rStyle w:val="CommentReference"/>
        </w:rPr>
        <w:annotationRef/>
      </w:r>
      <w:r>
        <w:rPr>
          <w:lang w:val="lv-LV"/>
        </w:rPr>
        <w:t>Konkurences veicināšanas princips?</w:t>
      </w:r>
    </w:p>
  </w:comment>
  <w:comment w:id="27" w:author="martins.zviedris@vid.gov.lv" w:date="2025-01-10T10:00:00Z" w:initials="ma">
    <w:p w14:paraId="523B62A7" w14:textId="1236A6DE" w:rsidR="001C4F27" w:rsidRDefault="001C4F27">
      <w:pPr>
        <w:pStyle w:val="CommentText"/>
      </w:pPr>
      <w:r>
        <w:rPr>
          <w:rStyle w:val="CommentReference"/>
        </w:rPr>
        <w:annotationRef/>
      </w:r>
      <w:r w:rsidRPr="021CB294">
        <w:t>Piedāvāju pārformulēt - ka primārais ir TCO (total costs of ownership) izvērtējums - nevis vienkārši - īrēt, pirkt, būvēt secība. Ja TCO būvēšanai ir labāks kā īrēt, tad kāpēc nē?</w:t>
      </w:r>
    </w:p>
  </w:comment>
  <w:comment w:id="28" w:author="Rūta Pirta" w:date="2025-01-15T16:45:00Z" w:initials="RP">
    <w:p w14:paraId="1F6FD866" w14:textId="77777777" w:rsidR="008E5CC4" w:rsidRDefault="008E5CC4" w:rsidP="008E5CC4">
      <w:pPr>
        <w:pStyle w:val="CommentText"/>
      </w:pPr>
      <w:r>
        <w:rPr>
          <w:rStyle w:val="CommentReference"/>
        </w:rPr>
        <w:annotationRef/>
      </w:r>
      <w:r>
        <w:rPr>
          <w:lang w:val="lv-LV"/>
        </w:rPr>
        <w:t xml:space="preserve">Papildināt, ka jāņem vērā TCO (vērtējot atbilstību prasibām). </w:t>
      </w:r>
    </w:p>
  </w:comment>
  <w:comment w:id="29" w:author="Rūta Pirta" w:date="2025-01-15T16:46:00Z" w:initials="RP">
    <w:p w14:paraId="44846BF5" w14:textId="77777777" w:rsidR="008E5CC4" w:rsidRDefault="008E5CC4" w:rsidP="008E5CC4">
      <w:pPr>
        <w:pStyle w:val="CommentText"/>
      </w:pPr>
      <w:r>
        <w:rPr>
          <w:rStyle w:val="CommentReference"/>
        </w:rPr>
        <w:annotationRef/>
      </w:r>
      <w:r>
        <w:rPr>
          <w:lang w:val="lv-LV"/>
        </w:rPr>
        <w:t>Kontekstā ar ilgtremiņa izmaksām</w:t>
      </w:r>
    </w:p>
  </w:comment>
  <w:comment w:id="30" w:author="martins.zviedris@vid.gov.lv" w:date="2025-01-10T09:26:00Z" w:initials="ma">
    <w:p w14:paraId="41CEFDBE" w14:textId="0D01B500" w:rsidR="001C4F27" w:rsidRDefault="001C4F27">
      <w:pPr>
        <w:pStyle w:val="CommentText"/>
      </w:pPr>
      <w:r>
        <w:rPr>
          <w:rStyle w:val="CommentReference"/>
        </w:rPr>
        <w:annotationRef/>
      </w:r>
      <w:r w:rsidRPr="030BDA3E">
        <w:t>Lūdzu pārdomāt principu. Vienkāršiem pakalpojumiem - prioritizēt mobilās ierīces, sarežģītiem pakalpojumiem prioritizēt pakalpojuma apstrādes soļus. Piemēram, man būtu grūti iedomāties - kurš pēc noklusējuma mēģinās tiesvedības pieteikumu iesniegt no mobilā telefona.</w:t>
      </w:r>
    </w:p>
  </w:comment>
  <w:comment w:id="31" w:author="Rūta Pirta" w:date="2025-01-15T16:47:00Z" w:initials="RP">
    <w:p w14:paraId="735AB271" w14:textId="77777777" w:rsidR="008816FF" w:rsidRDefault="008816FF" w:rsidP="008816FF">
      <w:pPr>
        <w:pStyle w:val="CommentText"/>
      </w:pPr>
      <w:r>
        <w:rPr>
          <w:rStyle w:val="CommentReference"/>
        </w:rPr>
        <w:annotationRef/>
      </w:r>
      <w:r>
        <w:rPr>
          <w:lang w:val="lv-LV"/>
        </w:rPr>
        <w:t>Akcentēt, ka jāņem vērā arī pakalpojuma konteksts // atbilstošos gadījumos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EE2FD7" w15:done="1"/>
  <w15:commentEx w15:paraId="34AE0194" w15:paraIdParent="08EE2FD7" w15:done="1"/>
  <w15:commentEx w15:paraId="327E1CEF" w15:done="1"/>
  <w15:commentEx w15:paraId="0BFE6F7D" w15:paraIdParent="327E1CEF" w15:done="1"/>
  <w15:commentEx w15:paraId="4B2E70DD" w15:done="1"/>
  <w15:commentEx w15:paraId="29AE6F8B" w15:paraIdParent="4B2E70DD" w15:done="1"/>
  <w15:commentEx w15:paraId="13C70EE5" w15:done="1"/>
  <w15:commentEx w15:paraId="5CE45B90" w15:paraIdParent="13C70EE5" w15:done="1"/>
  <w15:commentEx w15:paraId="5DB7BB8D" w15:done="1"/>
  <w15:commentEx w15:paraId="5B094B6F" w15:paraIdParent="5DB7BB8D" w15:done="1"/>
  <w15:commentEx w15:paraId="67BC9AB9" w15:done="1"/>
  <w15:commentEx w15:paraId="3D217108" w15:paraIdParent="67BC9AB9" w15:done="1"/>
  <w15:commentEx w15:paraId="0A339014" w15:paraIdParent="67BC9AB9" w15:done="1"/>
  <w15:commentEx w15:paraId="47987059" w15:done="1"/>
  <w15:commentEx w15:paraId="1FB871C6" w15:paraIdParent="47987059" w15:done="1"/>
  <w15:commentEx w15:paraId="5A97FC3C" w15:done="1"/>
  <w15:commentEx w15:paraId="7A4677B4" w15:paraIdParent="5A97FC3C" w15:done="1"/>
  <w15:commentEx w15:paraId="444DA91C" w15:paraIdParent="5A97FC3C" w15:done="1"/>
  <w15:commentEx w15:paraId="1FADD5D2" w15:done="1"/>
  <w15:commentEx w15:paraId="43379A7C" w15:done="1"/>
  <w15:commentEx w15:paraId="0E585230" w15:done="1"/>
  <w15:commentEx w15:paraId="6528A81F" w15:paraIdParent="0E585230" w15:done="1"/>
  <w15:commentEx w15:paraId="523B62A7" w15:done="1"/>
  <w15:commentEx w15:paraId="1F6FD866" w15:paraIdParent="523B62A7" w15:done="1"/>
  <w15:commentEx w15:paraId="44846BF5" w15:paraIdParent="523B62A7" w15:done="1"/>
  <w15:commentEx w15:paraId="41CEFDBE" w15:done="1"/>
  <w15:commentEx w15:paraId="735AB271" w15:paraIdParent="41CEFDB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F8AA96" w16cex:dateUtc="2025-01-10T07:29:00Z"/>
  <w16cex:commentExtensible w16cex:durableId="17BB2954" w16cex:dateUtc="2025-01-15T14:22:00Z"/>
  <w16cex:commentExtensible w16cex:durableId="3B1627C0" w16cex:dateUtc="2025-01-10T07:33:00Z"/>
  <w16cex:commentExtensible w16cex:durableId="3FEAA044" w16cex:dateUtc="2025-01-15T13:34:00Z"/>
  <w16cex:commentExtensible w16cex:durableId="06AE6846" w16cex:dateUtc="2025-01-10T06:53:00Z"/>
  <w16cex:commentExtensible w16cex:durableId="30D1C263" w16cex:dateUtc="2025-01-15T13:39:00Z"/>
  <w16cex:commentExtensible w16cex:durableId="60D7B252" w16cex:dateUtc="2025-01-10T07:00:00Z"/>
  <w16cex:commentExtensible w16cex:durableId="57D7BDB9" w16cex:dateUtc="2025-01-15T13:43:00Z"/>
  <w16cex:commentExtensible w16cex:durableId="140BDB95" w16cex:dateUtc="2025-01-10T07:05:00Z"/>
  <w16cex:commentExtensible w16cex:durableId="31D2CF51" w16cex:dateUtc="2025-01-15T13:52:00Z"/>
  <w16cex:commentExtensible w16cex:durableId="653E48FE" w16cex:dateUtc="2025-01-10T07:06:00Z"/>
  <w16cex:commentExtensible w16cex:durableId="02DCA7EF" w16cex:dateUtc="2025-01-10T07:42:00Z"/>
  <w16cex:commentExtensible w16cex:durableId="76A37A14" w16cex:dateUtc="2025-01-15T14:07:00Z"/>
  <w16cex:commentExtensible w16cex:durableId="388FCFB8" w16cex:dateUtc="2025-01-10T07:47:00Z"/>
  <w16cex:commentExtensible w16cex:durableId="646E5EFA" w16cex:dateUtc="2025-01-15T14:14:00Z"/>
  <w16cex:commentExtensible w16cex:durableId="5B4B296C" w16cex:dateUtc="2025-01-10T07:12:00Z"/>
  <w16cex:commentExtensible w16cex:durableId="739BD7DF" w16cex:dateUtc="2025-01-10T07:48:00Z"/>
  <w16cex:commentExtensible w16cex:durableId="10A78957" w16cex:dateUtc="2025-01-15T14:25:00Z"/>
  <w16cex:commentExtensible w16cex:durableId="3BB9AE3E" w16cex:dateUtc="2025-01-10T07:53:00Z"/>
  <w16cex:commentExtensible w16cex:durableId="5AC046BC" w16cex:dateUtc="2025-01-10T07:55:00Z"/>
  <w16cex:commentExtensible w16cex:durableId="330B17FA" w16cex:dateUtc="2025-01-10T07:21:00Z"/>
  <w16cex:commentExtensible w16cex:durableId="4F2DACDA" w16cex:dateUtc="2025-01-15T14:39:00Z"/>
  <w16cex:commentExtensible w16cex:durableId="199A41E8" w16cex:dateUtc="2025-01-10T08:00:00Z"/>
  <w16cex:commentExtensible w16cex:durableId="0BF17600" w16cex:dateUtc="2025-01-15T14:45:00Z"/>
  <w16cex:commentExtensible w16cex:durableId="5CBED9C0" w16cex:dateUtc="2025-01-15T14:46:00Z"/>
  <w16cex:commentExtensible w16cex:durableId="5C54624B" w16cex:dateUtc="2025-01-10T07:26:00Z"/>
  <w16cex:commentExtensible w16cex:durableId="5CC1720E" w16cex:dateUtc="2025-01-15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EE2FD7" w16cid:durableId="5BF8AA96"/>
  <w16cid:commentId w16cid:paraId="34AE0194" w16cid:durableId="17BB2954"/>
  <w16cid:commentId w16cid:paraId="327E1CEF" w16cid:durableId="3B1627C0"/>
  <w16cid:commentId w16cid:paraId="0BFE6F7D" w16cid:durableId="3FEAA044"/>
  <w16cid:commentId w16cid:paraId="4B2E70DD" w16cid:durableId="06AE6846"/>
  <w16cid:commentId w16cid:paraId="29AE6F8B" w16cid:durableId="30D1C263"/>
  <w16cid:commentId w16cid:paraId="13C70EE5" w16cid:durableId="60D7B252"/>
  <w16cid:commentId w16cid:paraId="5CE45B90" w16cid:durableId="57D7BDB9"/>
  <w16cid:commentId w16cid:paraId="5DB7BB8D" w16cid:durableId="140BDB95"/>
  <w16cid:commentId w16cid:paraId="5B094B6F" w16cid:durableId="31D2CF51"/>
  <w16cid:commentId w16cid:paraId="67BC9AB9" w16cid:durableId="653E48FE"/>
  <w16cid:commentId w16cid:paraId="3D217108" w16cid:durableId="02DCA7EF"/>
  <w16cid:commentId w16cid:paraId="0A339014" w16cid:durableId="76A37A14"/>
  <w16cid:commentId w16cid:paraId="47987059" w16cid:durableId="388FCFB8"/>
  <w16cid:commentId w16cid:paraId="1FB871C6" w16cid:durableId="646E5EFA"/>
  <w16cid:commentId w16cid:paraId="5A97FC3C" w16cid:durableId="5B4B296C"/>
  <w16cid:commentId w16cid:paraId="7A4677B4" w16cid:durableId="739BD7DF"/>
  <w16cid:commentId w16cid:paraId="444DA91C" w16cid:durableId="10A78957"/>
  <w16cid:commentId w16cid:paraId="1FADD5D2" w16cid:durableId="3BB9AE3E"/>
  <w16cid:commentId w16cid:paraId="43379A7C" w16cid:durableId="5AC046BC"/>
  <w16cid:commentId w16cid:paraId="0E585230" w16cid:durableId="330B17FA"/>
  <w16cid:commentId w16cid:paraId="6528A81F" w16cid:durableId="4F2DACDA"/>
  <w16cid:commentId w16cid:paraId="523B62A7" w16cid:durableId="199A41E8"/>
  <w16cid:commentId w16cid:paraId="1F6FD866" w16cid:durableId="0BF17600"/>
  <w16cid:commentId w16cid:paraId="44846BF5" w16cid:durableId="5CBED9C0"/>
  <w16cid:commentId w16cid:paraId="41CEFDBE" w16cid:durableId="5C54624B"/>
  <w16cid:commentId w16cid:paraId="735AB271" w16cid:durableId="5CC172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CCBEB" w14:textId="77777777" w:rsidR="002B192B" w:rsidRDefault="002B192B" w:rsidP="000B6EE7">
      <w:pPr>
        <w:spacing w:after="0" w:line="240" w:lineRule="auto"/>
      </w:pPr>
      <w:r>
        <w:separator/>
      </w:r>
    </w:p>
  </w:endnote>
  <w:endnote w:type="continuationSeparator" w:id="0">
    <w:p w14:paraId="04713909" w14:textId="77777777" w:rsidR="002B192B" w:rsidRDefault="002B192B" w:rsidP="000B6EE7">
      <w:pPr>
        <w:spacing w:after="0" w:line="240" w:lineRule="auto"/>
      </w:pPr>
      <w:r>
        <w:continuationSeparator/>
      </w:r>
    </w:p>
  </w:endnote>
  <w:endnote w:type="continuationNotice" w:id="1">
    <w:p w14:paraId="1EB91D10" w14:textId="77777777" w:rsidR="002B192B" w:rsidRDefault="002B1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633185"/>
      <w:docPartObj>
        <w:docPartGallery w:val="Page Numbers (Bottom of Page)"/>
        <w:docPartUnique/>
      </w:docPartObj>
    </w:sdtPr>
    <w:sdtEndPr>
      <w:rPr>
        <w:rFonts w:asciiTheme="majorBidi" w:hAnsiTheme="majorBidi" w:cstheme="majorBidi"/>
      </w:rPr>
    </w:sdtEndPr>
    <w:sdtContent>
      <w:p w14:paraId="32E3B947" w14:textId="77777777" w:rsidR="00F23E30" w:rsidRPr="009E1F3A" w:rsidRDefault="00F23E30">
        <w:pPr>
          <w:pStyle w:val="Footer"/>
          <w:jc w:val="center"/>
          <w:rPr>
            <w:rFonts w:asciiTheme="majorBidi" w:hAnsiTheme="majorBidi" w:cstheme="majorBidi"/>
          </w:rPr>
        </w:pPr>
        <w:r w:rsidRPr="009E1F3A">
          <w:rPr>
            <w:rFonts w:asciiTheme="majorBidi" w:hAnsiTheme="majorBidi" w:cstheme="majorBidi"/>
          </w:rPr>
          <w:fldChar w:fldCharType="begin"/>
        </w:r>
        <w:r w:rsidRPr="009E1F3A">
          <w:rPr>
            <w:rFonts w:asciiTheme="majorBidi" w:hAnsiTheme="majorBidi" w:cstheme="majorBidi"/>
          </w:rPr>
          <w:instrText>PAGE   \* MERGEFORMAT</w:instrText>
        </w:r>
        <w:r w:rsidRPr="009E1F3A">
          <w:rPr>
            <w:rFonts w:asciiTheme="majorBidi" w:hAnsiTheme="majorBidi" w:cstheme="majorBidi"/>
          </w:rPr>
          <w:fldChar w:fldCharType="separate"/>
        </w:r>
        <w:r w:rsidRPr="009E1F3A">
          <w:rPr>
            <w:rFonts w:asciiTheme="majorBidi" w:hAnsiTheme="majorBidi" w:cstheme="majorBidi"/>
            <w:lang w:val="lv-LV"/>
          </w:rPr>
          <w:t>2</w:t>
        </w:r>
        <w:r w:rsidRPr="009E1F3A">
          <w:rPr>
            <w:rFonts w:asciiTheme="majorBidi" w:hAnsiTheme="majorBidi" w:cstheme="majorBidi"/>
          </w:rPr>
          <w:fldChar w:fldCharType="end"/>
        </w:r>
      </w:p>
    </w:sdtContent>
  </w:sdt>
  <w:p w14:paraId="6547B879" w14:textId="77777777" w:rsidR="00F23E30" w:rsidRPr="009E1F3A" w:rsidRDefault="00F23E30" w:rsidP="001C4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5"/>
      <w:gridCol w:w="3085"/>
      <w:gridCol w:w="3085"/>
    </w:tblGrid>
    <w:tr w:rsidR="00F23E30" w14:paraId="6AB899B3" w14:textId="77777777" w:rsidTr="001C4F27">
      <w:trPr>
        <w:trHeight w:val="300"/>
      </w:trPr>
      <w:tc>
        <w:tcPr>
          <w:tcW w:w="3085" w:type="dxa"/>
        </w:tcPr>
        <w:p w14:paraId="02FDF1BE" w14:textId="77777777" w:rsidR="00F23E30" w:rsidRDefault="00F23E30" w:rsidP="001C4F27">
          <w:pPr>
            <w:pStyle w:val="Header"/>
            <w:ind w:left="-115"/>
          </w:pPr>
        </w:p>
      </w:tc>
      <w:tc>
        <w:tcPr>
          <w:tcW w:w="3085" w:type="dxa"/>
        </w:tcPr>
        <w:p w14:paraId="632FAFAF" w14:textId="77777777" w:rsidR="00F23E30" w:rsidRDefault="00F23E30" w:rsidP="001C4F27">
          <w:pPr>
            <w:pStyle w:val="Header"/>
            <w:jc w:val="center"/>
          </w:pPr>
        </w:p>
      </w:tc>
      <w:tc>
        <w:tcPr>
          <w:tcW w:w="3085" w:type="dxa"/>
        </w:tcPr>
        <w:p w14:paraId="3773A61E" w14:textId="77777777" w:rsidR="00F23E30" w:rsidRDefault="00F23E30" w:rsidP="001C4F27">
          <w:pPr>
            <w:pStyle w:val="Header"/>
            <w:ind w:right="-115"/>
            <w:jc w:val="right"/>
          </w:pPr>
        </w:p>
      </w:tc>
    </w:tr>
  </w:tbl>
  <w:p w14:paraId="46ED48D6" w14:textId="77777777" w:rsidR="00F23E30" w:rsidRDefault="00F23E30" w:rsidP="001C4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C3C88" w14:textId="77777777" w:rsidR="002B192B" w:rsidRDefault="002B192B" w:rsidP="000B6EE7">
      <w:pPr>
        <w:spacing w:after="0" w:line="240" w:lineRule="auto"/>
      </w:pPr>
      <w:r>
        <w:separator/>
      </w:r>
    </w:p>
  </w:footnote>
  <w:footnote w:type="continuationSeparator" w:id="0">
    <w:p w14:paraId="326565DF" w14:textId="77777777" w:rsidR="002B192B" w:rsidRDefault="002B192B" w:rsidP="000B6EE7">
      <w:pPr>
        <w:spacing w:after="0" w:line="240" w:lineRule="auto"/>
      </w:pPr>
      <w:r>
        <w:continuationSeparator/>
      </w:r>
    </w:p>
  </w:footnote>
  <w:footnote w:type="continuationNotice" w:id="1">
    <w:p w14:paraId="224FB1B6" w14:textId="77777777" w:rsidR="002B192B" w:rsidRDefault="002B1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42C7" w14:textId="77777777" w:rsidR="00F23E30" w:rsidRDefault="00F23E30">
    <w:pPr>
      <w:pBdr>
        <w:top w:val="nil"/>
        <w:left w:val="nil"/>
        <w:bottom w:val="nil"/>
        <w:right w:val="nil"/>
        <w:between w:val="nil"/>
      </w:pBdr>
      <w:tabs>
        <w:tab w:val="center" w:pos="4153"/>
        <w:tab w:val="right" w:pos="8306"/>
      </w:tabs>
      <w:spacing w:before="48" w:after="48"/>
      <w:jc w:val="center"/>
      <w:rPr>
        <w:color w:val="000000"/>
        <w:sz w:val="40"/>
        <w:szCs w:val="40"/>
      </w:rPr>
    </w:pPr>
    <w:r>
      <w:rPr>
        <w:rFonts w:ascii="Calibri" w:eastAsia="Calibri" w:hAnsi="Calibri" w:cs="Calibri"/>
        <w:color w:val="000000"/>
      </w:rPr>
      <w:tab/>
      <w:t xml:space="preserve"> </w:t>
    </w:r>
  </w:p>
  <w:p w14:paraId="3F2CB14C" w14:textId="77777777" w:rsidR="00F23E30" w:rsidRDefault="00F23E30">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AB8A" w14:textId="629EF652" w:rsidR="00F23E30" w:rsidRDefault="00F23E30" w:rsidP="001C4F27">
    <w:pPr>
      <w:pStyle w:val="Header"/>
      <w:tabs>
        <w:tab w:val="clear" w:pos="4153"/>
        <w:tab w:val="clear" w:pos="8306"/>
      </w:tabs>
      <w:ind w:left="142" w:right="41" w:hanging="142"/>
    </w:pPr>
    <w:r>
      <w:rPr>
        <w:noProof/>
      </w:rPr>
      <w:ptab w:relativeTo="margin" w:alignment="center" w:leader="none"/>
    </w:r>
    <w:r w:rsidRPr="0068043B">
      <w:rPr>
        <w:noProof/>
        <w:kern w:val="2"/>
        <w:sz w:val="20"/>
        <w:szCs w:val="20"/>
        <w:lang w:eastAsia="en-US"/>
      </w:rPr>
      <w:drawing>
        <wp:inline distT="0" distB="0" distL="0" distR="0" wp14:anchorId="39F4A203" wp14:editId="78F817CA">
          <wp:extent cx="1113034" cy="952500"/>
          <wp:effectExtent l="0" t="0" r="0" b="0"/>
          <wp:docPr id="2118935552" name="Picture 211893555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90263"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9" cy="955046"/>
                  </a:xfrm>
                  <a:prstGeom prst="rect">
                    <a:avLst/>
                  </a:prstGeom>
                  <a:noFill/>
                  <a:ln>
                    <a:noFill/>
                  </a:ln>
                </pic:spPr>
              </pic:pic>
            </a:graphicData>
          </a:graphic>
        </wp:inline>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DE9"/>
    <w:multiLevelType w:val="hybridMultilevel"/>
    <w:tmpl w:val="7FB01A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A569E2"/>
    <w:multiLevelType w:val="hybridMultilevel"/>
    <w:tmpl w:val="E6468DFE"/>
    <w:lvl w:ilvl="0" w:tplc="08090001">
      <w:start w:val="1"/>
      <w:numFmt w:val="bullet"/>
      <w:lvlText w:val=""/>
      <w:lvlJc w:val="left"/>
      <w:pPr>
        <w:ind w:left="1080" w:hanging="360"/>
      </w:pPr>
      <w:rPr>
        <w:rFonts w:ascii="Symbol" w:hAnsi="Symbol" w:hint="default"/>
        <w:color w:val="auto"/>
        <w:sz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4859CA"/>
    <w:multiLevelType w:val="hybridMultilevel"/>
    <w:tmpl w:val="C1C2A6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8479D"/>
    <w:multiLevelType w:val="multilevel"/>
    <w:tmpl w:val="43CA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757C5"/>
    <w:multiLevelType w:val="hybridMultilevel"/>
    <w:tmpl w:val="B96A9A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F6B26"/>
    <w:multiLevelType w:val="hybridMultilevel"/>
    <w:tmpl w:val="A448E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84446"/>
    <w:multiLevelType w:val="hybridMultilevel"/>
    <w:tmpl w:val="D6F622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76397"/>
    <w:multiLevelType w:val="hybridMultilevel"/>
    <w:tmpl w:val="C262D074"/>
    <w:lvl w:ilvl="0" w:tplc="04260001">
      <w:start w:val="1"/>
      <w:numFmt w:val="bullet"/>
      <w:pStyle w:val="List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F326D6D"/>
    <w:multiLevelType w:val="hybridMultilevel"/>
    <w:tmpl w:val="5EE869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B5499"/>
    <w:multiLevelType w:val="hybridMultilevel"/>
    <w:tmpl w:val="98102F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A5A3A"/>
    <w:multiLevelType w:val="hybridMultilevel"/>
    <w:tmpl w:val="3F448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3F2B55"/>
    <w:multiLevelType w:val="multilevel"/>
    <w:tmpl w:val="5472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75173"/>
    <w:multiLevelType w:val="hybridMultilevel"/>
    <w:tmpl w:val="F618A9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9052A"/>
    <w:multiLevelType w:val="hybridMultilevel"/>
    <w:tmpl w:val="BCEE7E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375CA"/>
    <w:multiLevelType w:val="hybridMultilevel"/>
    <w:tmpl w:val="3CDE8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C3608"/>
    <w:multiLevelType w:val="hybridMultilevel"/>
    <w:tmpl w:val="0B109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E5733"/>
    <w:multiLevelType w:val="hybridMultilevel"/>
    <w:tmpl w:val="22488D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FD7ED"/>
    <w:multiLevelType w:val="hybridMultilevel"/>
    <w:tmpl w:val="8E6EBA18"/>
    <w:lvl w:ilvl="0" w:tplc="D84EA82E">
      <w:start w:val="1"/>
      <w:numFmt w:val="bullet"/>
      <w:lvlText w:val="·"/>
      <w:lvlJc w:val="left"/>
      <w:pPr>
        <w:ind w:left="720" w:hanging="360"/>
      </w:pPr>
      <w:rPr>
        <w:rFonts w:ascii="Symbol" w:hAnsi="Symbol" w:hint="default"/>
      </w:rPr>
    </w:lvl>
    <w:lvl w:ilvl="1" w:tplc="7B760324">
      <w:start w:val="1"/>
      <w:numFmt w:val="bullet"/>
      <w:lvlText w:val="o"/>
      <w:lvlJc w:val="left"/>
      <w:pPr>
        <w:ind w:left="1440" w:hanging="360"/>
      </w:pPr>
      <w:rPr>
        <w:rFonts w:ascii="Courier New" w:hAnsi="Courier New" w:hint="default"/>
      </w:rPr>
    </w:lvl>
    <w:lvl w:ilvl="2" w:tplc="C4D4748A">
      <w:start w:val="1"/>
      <w:numFmt w:val="bullet"/>
      <w:lvlText w:val=""/>
      <w:lvlJc w:val="left"/>
      <w:pPr>
        <w:ind w:left="2160" w:hanging="360"/>
      </w:pPr>
      <w:rPr>
        <w:rFonts w:ascii="Wingdings" w:hAnsi="Wingdings" w:hint="default"/>
      </w:rPr>
    </w:lvl>
    <w:lvl w:ilvl="3" w:tplc="4978D322">
      <w:start w:val="1"/>
      <w:numFmt w:val="bullet"/>
      <w:lvlText w:val=""/>
      <w:lvlJc w:val="left"/>
      <w:pPr>
        <w:ind w:left="2880" w:hanging="360"/>
      </w:pPr>
      <w:rPr>
        <w:rFonts w:ascii="Symbol" w:hAnsi="Symbol" w:hint="default"/>
      </w:rPr>
    </w:lvl>
    <w:lvl w:ilvl="4" w:tplc="58320D96">
      <w:start w:val="1"/>
      <w:numFmt w:val="bullet"/>
      <w:lvlText w:val="o"/>
      <w:lvlJc w:val="left"/>
      <w:pPr>
        <w:ind w:left="3600" w:hanging="360"/>
      </w:pPr>
      <w:rPr>
        <w:rFonts w:ascii="Courier New" w:hAnsi="Courier New" w:hint="default"/>
      </w:rPr>
    </w:lvl>
    <w:lvl w:ilvl="5" w:tplc="9ED00FEE">
      <w:start w:val="1"/>
      <w:numFmt w:val="bullet"/>
      <w:lvlText w:val=""/>
      <w:lvlJc w:val="left"/>
      <w:pPr>
        <w:ind w:left="4320" w:hanging="360"/>
      </w:pPr>
      <w:rPr>
        <w:rFonts w:ascii="Wingdings" w:hAnsi="Wingdings" w:hint="default"/>
      </w:rPr>
    </w:lvl>
    <w:lvl w:ilvl="6" w:tplc="70E09D94">
      <w:start w:val="1"/>
      <w:numFmt w:val="bullet"/>
      <w:lvlText w:val=""/>
      <w:lvlJc w:val="left"/>
      <w:pPr>
        <w:ind w:left="5040" w:hanging="360"/>
      </w:pPr>
      <w:rPr>
        <w:rFonts w:ascii="Symbol" w:hAnsi="Symbol" w:hint="default"/>
      </w:rPr>
    </w:lvl>
    <w:lvl w:ilvl="7" w:tplc="DBD04BCA">
      <w:start w:val="1"/>
      <w:numFmt w:val="bullet"/>
      <w:lvlText w:val="o"/>
      <w:lvlJc w:val="left"/>
      <w:pPr>
        <w:ind w:left="5760" w:hanging="360"/>
      </w:pPr>
      <w:rPr>
        <w:rFonts w:ascii="Courier New" w:hAnsi="Courier New" w:hint="default"/>
      </w:rPr>
    </w:lvl>
    <w:lvl w:ilvl="8" w:tplc="0D38660E">
      <w:start w:val="1"/>
      <w:numFmt w:val="bullet"/>
      <w:lvlText w:val=""/>
      <w:lvlJc w:val="left"/>
      <w:pPr>
        <w:ind w:left="6480" w:hanging="360"/>
      </w:pPr>
      <w:rPr>
        <w:rFonts w:ascii="Wingdings" w:hAnsi="Wingdings" w:hint="default"/>
      </w:rPr>
    </w:lvl>
  </w:abstractNum>
  <w:abstractNum w:abstractNumId="18" w15:restartNumberingAfterBreak="0">
    <w:nsid w:val="41A52008"/>
    <w:multiLevelType w:val="hybridMultilevel"/>
    <w:tmpl w:val="2DF2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6455C"/>
    <w:multiLevelType w:val="hybridMultilevel"/>
    <w:tmpl w:val="5B2ACB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2AB4D52"/>
    <w:multiLevelType w:val="hybridMultilevel"/>
    <w:tmpl w:val="973C7F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5EE7FC6"/>
    <w:multiLevelType w:val="hybridMultilevel"/>
    <w:tmpl w:val="D7267A6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75386B"/>
    <w:multiLevelType w:val="hybridMultilevel"/>
    <w:tmpl w:val="2AE63F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2350B"/>
    <w:multiLevelType w:val="hybridMultilevel"/>
    <w:tmpl w:val="30CC6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A620B"/>
    <w:multiLevelType w:val="hybridMultilevel"/>
    <w:tmpl w:val="1BD041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D52DF"/>
    <w:multiLevelType w:val="multilevel"/>
    <w:tmpl w:val="D936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2439A"/>
    <w:multiLevelType w:val="hybridMultilevel"/>
    <w:tmpl w:val="70CE2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C6DF9"/>
    <w:multiLevelType w:val="hybridMultilevel"/>
    <w:tmpl w:val="B2B69A2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5F0EC6"/>
    <w:multiLevelType w:val="hybridMultilevel"/>
    <w:tmpl w:val="F2EE1A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9FE12B5"/>
    <w:multiLevelType w:val="multilevel"/>
    <w:tmpl w:val="D4A8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72008"/>
    <w:multiLevelType w:val="hybridMultilevel"/>
    <w:tmpl w:val="FF806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04BD6"/>
    <w:multiLevelType w:val="hybridMultilevel"/>
    <w:tmpl w:val="2C3EC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92417"/>
    <w:multiLevelType w:val="hybridMultilevel"/>
    <w:tmpl w:val="A0D810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F31E1"/>
    <w:multiLevelType w:val="hybridMultilevel"/>
    <w:tmpl w:val="5E845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740F2"/>
    <w:multiLevelType w:val="hybridMultilevel"/>
    <w:tmpl w:val="682E1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487555">
    <w:abstractNumId w:val="1"/>
  </w:num>
  <w:num w:numId="2" w16cid:durableId="1797407846">
    <w:abstractNumId w:val="7"/>
  </w:num>
  <w:num w:numId="3" w16cid:durableId="773288646">
    <w:abstractNumId w:val="21"/>
  </w:num>
  <w:num w:numId="4" w16cid:durableId="611522819">
    <w:abstractNumId w:val="18"/>
  </w:num>
  <w:num w:numId="5" w16cid:durableId="766848704">
    <w:abstractNumId w:val="28"/>
  </w:num>
  <w:num w:numId="6" w16cid:durableId="478159555">
    <w:abstractNumId w:val="24"/>
  </w:num>
  <w:num w:numId="7" w16cid:durableId="1119298343">
    <w:abstractNumId w:val="23"/>
  </w:num>
  <w:num w:numId="8" w16cid:durableId="1576823145">
    <w:abstractNumId w:val="16"/>
  </w:num>
  <w:num w:numId="9" w16cid:durableId="603153117">
    <w:abstractNumId w:val="33"/>
  </w:num>
  <w:num w:numId="10" w16cid:durableId="241645915">
    <w:abstractNumId w:val="4"/>
  </w:num>
  <w:num w:numId="11" w16cid:durableId="785739473">
    <w:abstractNumId w:val="2"/>
  </w:num>
  <w:num w:numId="12" w16cid:durableId="148182764">
    <w:abstractNumId w:val="6"/>
  </w:num>
  <w:num w:numId="13" w16cid:durableId="2030061715">
    <w:abstractNumId w:val="30"/>
  </w:num>
  <w:num w:numId="14" w16cid:durableId="415589910">
    <w:abstractNumId w:val="5"/>
  </w:num>
  <w:num w:numId="15" w16cid:durableId="792938429">
    <w:abstractNumId w:val="26"/>
  </w:num>
  <w:num w:numId="16" w16cid:durableId="795563892">
    <w:abstractNumId w:val="17"/>
  </w:num>
  <w:num w:numId="17" w16cid:durableId="761032136">
    <w:abstractNumId w:val="11"/>
  </w:num>
  <w:num w:numId="18" w16cid:durableId="943683078">
    <w:abstractNumId w:val="25"/>
  </w:num>
  <w:num w:numId="19" w16cid:durableId="1507357836">
    <w:abstractNumId w:val="3"/>
  </w:num>
  <w:num w:numId="20" w16cid:durableId="1971862539">
    <w:abstractNumId w:val="0"/>
  </w:num>
  <w:num w:numId="21" w16cid:durableId="2106420430">
    <w:abstractNumId w:val="10"/>
  </w:num>
  <w:num w:numId="22" w16cid:durableId="1888954207">
    <w:abstractNumId w:val="19"/>
  </w:num>
  <w:num w:numId="23" w16cid:durableId="1382628617">
    <w:abstractNumId w:val="20"/>
  </w:num>
  <w:num w:numId="24" w16cid:durableId="695271425">
    <w:abstractNumId w:val="27"/>
  </w:num>
  <w:num w:numId="25" w16cid:durableId="1563253975">
    <w:abstractNumId w:val="29"/>
  </w:num>
  <w:num w:numId="26" w16cid:durableId="1003584245">
    <w:abstractNumId w:val="32"/>
  </w:num>
  <w:num w:numId="27" w16cid:durableId="620038191">
    <w:abstractNumId w:val="8"/>
  </w:num>
  <w:num w:numId="28" w16cid:durableId="1307200041">
    <w:abstractNumId w:val="14"/>
  </w:num>
  <w:num w:numId="29" w16cid:durableId="830563961">
    <w:abstractNumId w:val="31"/>
  </w:num>
  <w:num w:numId="30" w16cid:durableId="1481191271">
    <w:abstractNumId w:val="12"/>
  </w:num>
  <w:num w:numId="31" w16cid:durableId="1000081959">
    <w:abstractNumId w:val="9"/>
  </w:num>
  <w:num w:numId="32" w16cid:durableId="1218053149">
    <w:abstractNumId w:val="34"/>
  </w:num>
  <w:num w:numId="33" w16cid:durableId="335039361">
    <w:abstractNumId w:val="22"/>
  </w:num>
  <w:num w:numId="34" w16cid:durableId="1217545181">
    <w:abstractNumId w:val="13"/>
  </w:num>
  <w:num w:numId="35" w16cid:durableId="400718307">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s.zviedris@vid.gov.lv">
    <w15:presenceInfo w15:providerId="AD" w15:userId="S::urn:spo:guest#martins.zviedris@vid.gov.lv::"/>
  </w15:person>
  <w15:person w15:author="Rūta Pirta">
    <w15:presenceInfo w15:providerId="AD" w15:userId="S::Ruta.Pirta@rtu.lv::b863fdae-7f49-4465-bca3-f39e35bde3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25"/>
    <w:rsid w:val="00003336"/>
    <w:rsid w:val="00006999"/>
    <w:rsid w:val="000120A1"/>
    <w:rsid w:val="00012204"/>
    <w:rsid w:val="000131F3"/>
    <w:rsid w:val="00022365"/>
    <w:rsid w:val="00023153"/>
    <w:rsid w:val="00024B16"/>
    <w:rsid w:val="0002679A"/>
    <w:rsid w:val="00027EED"/>
    <w:rsid w:val="0003443B"/>
    <w:rsid w:val="000345FF"/>
    <w:rsid w:val="000415F0"/>
    <w:rsid w:val="000446D4"/>
    <w:rsid w:val="00044A51"/>
    <w:rsid w:val="00045775"/>
    <w:rsid w:val="000477EA"/>
    <w:rsid w:val="00047E47"/>
    <w:rsid w:val="000539BF"/>
    <w:rsid w:val="00062165"/>
    <w:rsid w:val="0006266B"/>
    <w:rsid w:val="00062E26"/>
    <w:rsid w:val="00065266"/>
    <w:rsid w:val="000706DD"/>
    <w:rsid w:val="00072292"/>
    <w:rsid w:val="0007431F"/>
    <w:rsid w:val="00080CC6"/>
    <w:rsid w:val="0009120C"/>
    <w:rsid w:val="0009249A"/>
    <w:rsid w:val="00092E36"/>
    <w:rsid w:val="00095632"/>
    <w:rsid w:val="00096FC8"/>
    <w:rsid w:val="000970BB"/>
    <w:rsid w:val="00097898"/>
    <w:rsid w:val="000A31D0"/>
    <w:rsid w:val="000A5834"/>
    <w:rsid w:val="000A7683"/>
    <w:rsid w:val="000B614A"/>
    <w:rsid w:val="000B6EE7"/>
    <w:rsid w:val="000C15AA"/>
    <w:rsid w:val="000C201B"/>
    <w:rsid w:val="000C71E7"/>
    <w:rsid w:val="000D2ECD"/>
    <w:rsid w:val="000D3EDC"/>
    <w:rsid w:val="000E1597"/>
    <w:rsid w:val="000E50B6"/>
    <w:rsid w:val="000E63DC"/>
    <w:rsid w:val="000F5360"/>
    <w:rsid w:val="000F656A"/>
    <w:rsid w:val="001019DB"/>
    <w:rsid w:val="001174CE"/>
    <w:rsid w:val="00117E90"/>
    <w:rsid w:val="001260E6"/>
    <w:rsid w:val="00126ED8"/>
    <w:rsid w:val="00127CC0"/>
    <w:rsid w:val="00137A2C"/>
    <w:rsid w:val="001406C7"/>
    <w:rsid w:val="00140953"/>
    <w:rsid w:val="00141A09"/>
    <w:rsid w:val="00150D91"/>
    <w:rsid w:val="0015165F"/>
    <w:rsid w:val="00157074"/>
    <w:rsid w:val="00161245"/>
    <w:rsid w:val="00161793"/>
    <w:rsid w:val="001664F1"/>
    <w:rsid w:val="0017064E"/>
    <w:rsid w:val="00177679"/>
    <w:rsid w:val="0018075D"/>
    <w:rsid w:val="00187FB5"/>
    <w:rsid w:val="001908C4"/>
    <w:rsid w:val="00190DCB"/>
    <w:rsid w:val="00192890"/>
    <w:rsid w:val="0019416D"/>
    <w:rsid w:val="00195834"/>
    <w:rsid w:val="00195D74"/>
    <w:rsid w:val="00195E22"/>
    <w:rsid w:val="00196367"/>
    <w:rsid w:val="0019725C"/>
    <w:rsid w:val="001A291D"/>
    <w:rsid w:val="001A3F1A"/>
    <w:rsid w:val="001A435E"/>
    <w:rsid w:val="001B0272"/>
    <w:rsid w:val="001B19E3"/>
    <w:rsid w:val="001B7BB2"/>
    <w:rsid w:val="001C4851"/>
    <w:rsid w:val="001C4F27"/>
    <w:rsid w:val="001C6AB8"/>
    <w:rsid w:val="001D1049"/>
    <w:rsid w:val="001D4569"/>
    <w:rsid w:val="001D50E4"/>
    <w:rsid w:val="001E4F5B"/>
    <w:rsid w:val="001F03C4"/>
    <w:rsid w:val="001F471A"/>
    <w:rsid w:val="001F7DD0"/>
    <w:rsid w:val="00204EA3"/>
    <w:rsid w:val="00213689"/>
    <w:rsid w:val="00214767"/>
    <w:rsid w:val="0022004A"/>
    <w:rsid w:val="002204BB"/>
    <w:rsid w:val="00227692"/>
    <w:rsid w:val="002322DC"/>
    <w:rsid w:val="00233190"/>
    <w:rsid w:val="00240117"/>
    <w:rsid w:val="00242021"/>
    <w:rsid w:val="002442E8"/>
    <w:rsid w:val="0024547E"/>
    <w:rsid w:val="00250EE7"/>
    <w:rsid w:val="00252A2F"/>
    <w:rsid w:val="00252D99"/>
    <w:rsid w:val="002550B1"/>
    <w:rsid w:val="00263BAE"/>
    <w:rsid w:val="00267117"/>
    <w:rsid w:val="002705AD"/>
    <w:rsid w:val="0027787B"/>
    <w:rsid w:val="0028048A"/>
    <w:rsid w:val="002821F7"/>
    <w:rsid w:val="00282A6F"/>
    <w:rsid w:val="002830F8"/>
    <w:rsid w:val="002841D7"/>
    <w:rsid w:val="00286613"/>
    <w:rsid w:val="0029342D"/>
    <w:rsid w:val="002A0A3E"/>
    <w:rsid w:val="002A2BE0"/>
    <w:rsid w:val="002A4A3D"/>
    <w:rsid w:val="002A6040"/>
    <w:rsid w:val="002B1506"/>
    <w:rsid w:val="002B192B"/>
    <w:rsid w:val="002B1DD8"/>
    <w:rsid w:val="002B3828"/>
    <w:rsid w:val="002C0691"/>
    <w:rsid w:val="002C4625"/>
    <w:rsid w:val="002D035C"/>
    <w:rsid w:val="002D0D22"/>
    <w:rsid w:val="002D34E5"/>
    <w:rsid w:val="002E0A24"/>
    <w:rsid w:val="002E6794"/>
    <w:rsid w:val="002F0282"/>
    <w:rsid w:val="002F05D2"/>
    <w:rsid w:val="002F1E1B"/>
    <w:rsid w:val="002F6D56"/>
    <w:rsid w:val="00300FF1"/>
    <w:rsid w:val="00305259"/>
    <w:rsid w:val="00307FF9"/>
    <w:rsid w:val="00313B76"/>
    <w:rsid w:val="003203CE"/>
    <w:rsid w:val="00322C9E"/>
    <w:rsid w:val="00323666"/>
    <w:rsid w:val="00327953"/>
    <w:rsid w:val="00345DA6"/>
    <w:rsid w:val="0034646E"/>
    <w:rsid w:val="0034658A"/>
    <w:rsid w:val="003467CA"/>
    <w:rsid w:val="00347428"/>
    <w:rsid w:val="00357292"/>
    <w:rsid w:val="00363A6C"/>
    <w:rsid w:val="0037070B"/>
    <w:rsid w:val="00372307"/>
    <w:rsid w:val="003820B5"/>
    <w:rsid w:val="00384F3A"/>
    <w:rsid w:val="003876C5"/>
    <w:rsid w:val="0039427D"/>
    <w:rsid w:val="003A35D0"/>
    <w:rsid w:val="003B052B"/>
    <w:rsid w:val="003B0FC0"/>
    <w:rsid w:val="003B7985"/>
    <w:rsid w:val="003C220E"/>
    <w:rsid w:val="003D1368"/>
    <w:rsid w:val="003D6E81"/>
    <w:rsid w:val="003D76C1"/>
    <w:rsid w:val="003E79B7"/>
    <w:rsid w:val="003F0F69"/>
    <w:rsid w:val="003F3DC2"/>
    <w:rsid w:val="003F75C0"/>
    <w:rsid w:val="00402377"/>
    <w:rsid w:val="00411BE4"/>
    <w:rsid w:val="00412F48"/>
    <w:rsid w:val="00413822"/>
    <w:rsid w:val="00414796"/>
    <w:rsid w:val="00414C58"/>
    <w:rsid w:val="00434999"/>
    <w:rsid w:val="004402D0"/>
    <w:rsid w:val="00441363"/>
    <w:rsid w:val="00443BD0"/>
    <w:rsid w:val="004464A3"/>
    <w:rsid w:val="004479F2"/>
    <w:rsid w:val="004519A7"/>
    <w:rsid w:val="0045345F"/>
    <w:rsid w:val="0045692D"/>
    <w:rsid w:val="004571A3"/>
    <w:rsid w:val="00460BE3"/>
    <w:rsid w:val="00465932"/>
    <w:rsid w:val="00474EBE"/>
    <w:rsid w:val="0048618D"/>
    <w:rsid w:val="004869E9"/>
    <w:rsid w:val="00490AFF"/>
    <w:rsid w:val="004929EC"/>
    <w:rsid w:val="004A0ED9"/>
    <w:rsid w:val="004B03EC"/>
    <w:rsid w:val="004B6286"/>
    <w:rsid w:val="004C2471"/>
    <w:rsid w:val="004C3B43"/>
    <w:rsid w:val="004C3CB2"/>
    <w:rsid w:val="004C42C0"/>
    <w:rsid w:val="004C58EB"/>
    <w:rsid w:val="004C6E32"/>
    <w:rsid w:val="004C7941"/>
    <w:rsid w:val="004D0E9D"/>
    <w:rsid w:val="004D31D4"/>
    <w:rsid w:val="004D3556"/>
    <w:rsid w:val="004E0D2B"/>
    <w:rsid w:val="004E3240"/>
    <w:rsid w:val="004E5320"/>
    <w:rsid w:val="004E6F90"/>
    <w:rsid w:val="004F364F"/>
    <w:rsid w:val="004F5631"/>
    <w:rsid w:val="00502031"/>
    <w:rsid w:val="00502D87"/>
    <w:rsid w:val="00506BB4"/>
    <w:rsid w:val="00510133"/>
    <w:rsid w:val="005114A4"/>
    <w:rsid w:val="00524C97"/>
    <w:rsid w:val="00525395"/>
    <w:rsid w:val="005316A0"/>
    <w:rsid w:val="00554C02"/>
    <w:rsid w:val="00554DC2"/>
    <w:rsid w:val="00555750"/>
    <w:rsid w:val="0056127C"/>
    <w:rsid w:val="00564FB7"/>
    <w:rsid w:val="00565F37"/>
    <w:rsid w:val="00574A62"/>
    <w:rsid w:val="00575CF8"/>
    <w:rsid w:val="00584003"/>
    <w:rsid w:val="00593B17"/>
    <w:rsid w:val="0059415B"/>
    <w:rsid w:val="005A0493"/>
    <w:rsid w:val="005A3C40"/>
    <w:rsid w:val="005B4BA9"/>
    <w:rsid w:val="005B5AD3"/>
    <w:rsid w:val="005C0B53"/>
    <w:rsid w:val="005C4346"/>
    <w:rsid w:val="005C57A9"/>
    <w:rsid w:val="005C70A7"/>
    <w:rsid w:val="005D0DA0"/>
    <w:rsid w:val="005D1342"/>
    <w:rsid w:val="005D153F"/>
    <w:rsid w:val="005E02C2"/>
    <w:rsid w:val="005E0B7B"/>
    <w:rsid w:val="005E4573"/>
    <w:rsid w:val="005F51B4"/>
    <w:rsid w:val="005F5F54"/>
    <w:rsid w:val="00601D05"/>
    <w:rsid w:val="0060250A"/>
    <w:rsid w:val="00611E14"/>
    <w:rsid w:val="00612C71"/>
    <w:rsid w:val="00612D47"/>
    <w:rsid w:val="006158B8"/>
    <w:rsid w:val="006178DA"/>
    <w:rsid w:val="006262E8"/>
    <w:rsid w:val="006376F8"/>
    <w:rsid w:val="00641027"/>
    <w:rsid w:val="006466AF"/>
    <w:rsid w:val="00672038"/>
    <w:rsid w:val="00672499"/>
    <w:rsid w:val="00672B56"/>
    <w:rsid w:val="00676840"/>
    <w:rsid w:val="0068188E"/>
    <w:rsid w:val="0068201D"/>
    <w:rsid w:val="00682571"/>
    <w:rsid w:val="006858E4"/>
    <w:rsid w:val="00687824"/>
    <w:rsid w:val="00694273"/>
    <w:rsid w:val="0069687F"/>
    <w:rsid w:val="00696C36"/>
    <w:rsid w:val="006A0F24"/>
    <w:rsid w:val="006A14C8"/>
    <w:rsid w:val="006A3A44"/>
    <w:rsid w:val="006A5AB3"/>
    <w:rsid w:val="006B2013"/>
    <w:rsid w:val="006B245F"/>
    <w:rsid w:val="006B2D12"/>
    <w:rsid w:val="006B3B6E"/>
    <w:rsid w:val="006B6F48"/>
    <w:rsid w:val="006D1755"/>
    <w:rsid w:val="006E089B"/>
    <w:rsid w:val="006E5B75"/>
    <w:rsid w:val="006E6756"/>
    <w:rsid w:val="006F25D2"/>
    <w:rsid w:val="006F700D"/>
    <w:rsid w:val="0070410B"/>
    <w:rsid w:val="007236EE"/>
    <w:rsid w:val="007273B5"/>
    <w:rsid w:val="00744F60"/>
    <w:rsid w:val="00746A4A"/>
    <w:rsid w:val="00752186"/>
    <w:rsid w:val="00755BBA"/>
    <w:rsid w:val="00760727"/>
    <w:rsid w:val="0076224A"/>
    <w:rsid w:val="0076395D"/>
    <w:rsid w:val="00771C5A"/>
    <w:rsid w:val="0077306A"/>
    <w:rsid w:val="00775E42"/>
    <w:rsid w:val="007818DA"/>
    <w:rsid w:val="007823D3"/>
    <w:rsid w:val="00786003"/>
    <w:rsid w:val="007864D0"/>
    <w:rsid w:val="00787374"/>
    <w:rsid w:val="00791818"/>
    <w:rsid w:val="0079379D"/>
    <w:rsid w:val="007940AB"/>
    <w:rsid w:val="00794CC4"/>
    <w:rsid w:val="007966D1"/>
    <w:rsid w:val="007A4DE5"/>
    <w:rsid w:val="007A6E22"/>
    <w:rsid w:val="007B211D"/>
    <w:rsid w:val="007B2243"/>
    <w:rsid w:val="007B2A8E"/>
    <w:rsid w:val="007C10D6"/>
    <w:rsid w:val="007C473C"/>
    <w:rsid w:val="007D2770"/>
    <w:rsid w:val="007D43ED"/>
    <w:rsid w:val="007D56D0"/>
    <w:rsid w:val="007E15D3"/>
    <w:rsid w:val="007E344E"/>
    <w:rsid w:val="007E5035"/>
    <w:rsid w:val="007E698D"/>
    <w:rsid w:val="007E7C49"/>
    <w:rsid w:val="007F7DB2"/>
    <w:rsid w:val="008044C4"/>
    <w:rsid w:val="00806E58"/>
    <w:rsid w:val="008167FC"/>
    <w:rsid w:val="00821EAD"/>
    <w:rsid w:val="0082250C"/>
    <w:rsid w:val="008251C2"/>
    <w:rsid w:val="0083789F"/>
    <w:rsid w:val="00840FB1"/>
    <w:rsid w:val="00844C7E"/>
    <w:rsid w:val="008504C5"/>
    <w:rsid w:val="0085443A"/>
    <w:rsid w:val="00855660"/>
    <w:rsid w:val="00861127"/>
    <w:rsid w:val="00863594"/>
    <w:rsid w:val="00864B02"/>
    <w:rsid w:val="00864F06"/>
    <w:rsid w:val="008701D5"/>
    <w:rsid w:val="00870468"/>
    <w:rsid w:val="008816FF"/>
    <w:rsid w:val="0089061E"/>
    <w:rsid w:val="008A28AD"/>
    <w:rsid w:val="008A6581"/>
    <w:rsid w:val="008B23F8"/>
    <w:rsid w:val="008B28FE"/>
    <w:rsid w:val="008B3FD4"/>
    <w:rsid w:val="008C3751"/>
    <w:rsid w:val="008C573E"/>
    <w:rsid w:val="008D19AA"/>
    <w:rsid w:val="008E0BC1"/>
    <w:rsid w:val="008E0F57"/>
    <w:rsid w:val="008E1F57"/>
    <w:rsid w:val="008E3886"/>
    <w:rsid w:val="008E5CC4"/>
    <w:rsid w:val="008E5E24"/>
    <w:rsid w:val="008F4E63"/>
    <w:rsid w:val="009077C6"/>
    <w:rsid w:val="00916D3E"/>
    <w:rsid w:val="00920441"/>
    <w:rsid w:val="00924AF5"/>
    <w:rsid w:val="0093096E"/>
    <w:rsid w:val="00942698"/>
    <w:rsid w:val="00942E14"/>
    <w:rsid w:val="00945E38"/>
    <w:rsid w:val="00951BD6"/>
    <w:rsid w:val="00951C37"/>
    <w:rsid w:val="0095268B"/>
    <w:rsid w:val="00956551"/>
    <w:rsid w:val="009568B7"/>
    <w:rsid w:val="00960BA3"/>
    <w:rsid w:val="00963C35"/>
    <w:rsid w:val="00965155"/>
    <w:rsid w:val="009701C0"/>
    <w:rsid w:val="00971D87"/>
    <w:rsid w:val="00972A8D"/>
    <w:rsid w:val="00984640"/>
    <w:rsid w:val="00984A25"/>
    <w:rsid w:val="009913D5"/>
    <w:rsid w:val="00992610"/>
    <w:rsid w:val="0099321E"/>
    <w:rsid w:val="009968F2"/>
    <w:rsid w:val="00996D31"/>
    <w:rsid w:val="009A41D8"/>
    <w:rsid w:val="009A780A"/>
    <w:rsid w:val="009B7016"/>
    <w:rsid w:val="009C3B02"/>
    <w:rsid w:val="009D08AD"/>
    <w:rsid w:val="009E2170"/>
    <w:rsid w:val="009E65DD"/>
    <w:rsid w:val="009F69E3"/>
    <w:rsid w:val="00A0624A"/>
    <w:rsid w:val="00A078B8"/>
    <w:rsid w:val="00A1737F"/>
    <w:rsid w:val="00A17874"/>
    <w:rsid w:val="00A17B39"/>
    <w:rsid w:val="00A27D70"/>
    <w:rsid w:val="00A41358"/>
    <w:rsid w:val="00A44CF0"/>
    <w:rsid w:val="00A462C6"/>
    <w:rsid w:val="00A463F9"/>
    <w:rsid w:val="00A469A1"/>
    <w:rsid w:val="00A52D22"/>
    <w:rsid w:val="00A53042"/>
    <w:rsid w:val="00A547F4"/>
    <w:rsid w:val="00A614BF"/>
    <w:rsid w:val="00A61D3F"/>
    <w:rsid w:val="00A620B1"/>
    <w:rsid w:val="00A6528B"/>
    <w:rsid w:val="00A82A04"/>
    <w:rsid w:val="00A839B6"/>
    <w:rsid w:val="00A84DA8"/>
    <w:rsid w:val="00A865E5"/>
    <w:rsid w:val="00A94EB5"/>
    <w:rsid w:val="00AA12F3"/>
    <w:rsid w:val="00AA21F5"/>
    <w:rsid w:val="00AA5424"/>
    <w:rsid w:val="00AA552D"/>
    <w:rsid w:val="00AA678A"/>
    <w:rsid w:val="00AB4826"/>
    <w:rsid w:val="00AC3192"/>
    <w:rsid w:val="00AC772B"/>
    <w:rsid w:val="00AD1B0E"/>
    <w:rsid w:val="00AD49B9"/>
    <w:rsid w:val="00AD4B1E"/>
    <w:rsid w:val="00AD546F"/>
    <w:rsid w:val="00AE17B5"/>
    <w:rsid w:val="00AE57ED"/>
    <w:rsid w:val="00AE73BB"/>
    <w:rsid w:val="00AF5552"/>
    <w:rsid w:val="00AF5A1B"/>
    <w:rsid w:val="00AF7C53"/>
    <w:rsid w:val="00B00263"/>
    <w:rsid w:val="00B0196E"/>
    <w:rsid w:val="00B036F7"/>
    <w:rsid w:val="00B101D8"/>
    <w:rsid w:val="00B163CD"/>
    <w:rsid w:val="00B21390"/>
    <w:rsid w:val="00B23F9A"/>
    <w:rsid w:val="00B257E2"/>
    <w:rsid w:val="00B30479"/>
    <w:rsid w:val="00B30A08"/>
    <w:rsid w:val="00B3154D"/>
    <w:rsid w:val="00B32F9C"/>
    <w:rsid w:val="00B34AE1"/>
    <w:rsid w:val="00B35816"/>
    <w:rsid w:val="00B42FB7"/>
    <w:rsid w:val="00B439C5"/>
    <w:rsid w:val="00B43F4A"/>
    <w:rsid w:val="00B519C2"/>
    <w:rsid w:val="00B531EA"/>
    <w:rsid w:val="00B538E8"/>
    <w:rsid w:val="00B56B15"/>
    <w:rsid w:val="00B62268"/>
    <w:rsid w:val="00B75E4C"/>
    <w:rsid w:val="00B822C0"/>
    <w:rsid w:val="00B8638E"/>
    <w:rsid w:val="00B87237"/>
    <w:rsid w:val="00B925B8"/>
    <w:rsid w:val="00B928A1"/>
    <w:rsid w:val="00BA1FF4"/>
    <w:rsid w:val="00BA389D"/>
    <w:rsid w:val="00BA6357"/>
    <w:rsid w:val="00BA7BA7"/>
    <w:rsid w:val="00BC0219"/>
    <w:rsid w:val="00BC0F1D"/>
    <w:rsid w:val="00BC1308"/>
    <w:rsid w:val="00BC4016"/>
    <w:rsid w:val="00BC4349"/>
    <w:rsid w:val="00BC60B3"/>
    <w:rsid w:val="00BD1CEF"/>
    <w:rsid w:val="00BD2F4B"/>
    <w:rsid w:val="00BD502C"/>
    <w:rsid w:val="00BD6B1F"/>
    <w:rsid w:val="00BE0BC5"/>
    <w:rsid w:val="00BF3118"/>
    <w:rsid w:val="00BF3545"/>
    <w:rsid w:val="00BF4A3A"/>
    <w:rsid w:val="00BF7E69"/>
    <w:rsid w:val="00C032BE"/>
    <w:rsid w:val="00C05F0B"/>
    <w:rsid w:val="00C0741D"/>
    <w:rsid w:val="00C07F7D"/>
    <w:rsid w:val="00C14D24"/>
    <w:rsid w:val="00C15F23"/>
    <w:rsid w:val="00C20AD0"/>
    <w:rsid w:val="00C25F7C"/>
    <w:rsid w:val="00C31D78"/>
    <w:rsid w:val="00C32118"/>
    <w:rsid w:val="00C4219C"/>
    <w:rsid w:val="00C4397C"/>
    <w:rsid w:val="00C46321"/>
    <w:rsid w:val="00C50134"/>
    <w:rsid w:val="00C56D00"/>
    <w:rsid w:val="00C60DBD"/>
    <w:rsid w:val="00C6120B"/>
    <w:rsid w:val="00C6441B"/>
    <w:rsid w:val="00C70C3F"/>
    <w:rsid w:val="00C72475"/>
    <w:rsid w:val="00C84548"/>
    <w:rsid w:val="00C85E8A"/>
    <w:rsid w:val="00C868F7"/>
    <w:rsid w:val="00C924F5"/>
    <w:rsid w:val="00C9750A"/>
    <w:rsid w:val="00CA21A1"/>
    <w:rsid w:val="00CB0FB2"/>
    <w:rsid w:val="00CB4FF0"/>
    <w:rsid w:val="00CB5331"/>
    <w:rsid w:val="00CB724D"/>
    <w:rsid w:val="00CB7D82"/>
    <w:rsid w:val="00CC0295"/>
    <w:rsid w:val="00CC37CD"/>
    <w:rsid w:val="00CC47BE"/>
    <w:rsid w:val="00CC68D7"/>
    <w:rsid w:val="00CD7FFE"/>
    <w:rsid w:val="00CE200C"/>
    <w:rsid w:val="00CF63DE"/>
    <w:rsid w:val="00D00965"/>
    <w:rsid w:val="00D10162"/>
    <w:rsid w:val="00D1237B"/>
    <w:rsid w:val="00D1652B"/>
    <w:rsid w:val="00D16663"/>
    <w:rsid w:val="00D210CA"/>
    <w:rsid w:val="00D221D0"/>
    <w:rsid w:val="00D2303B"/>
    <w:rsid w:val="00D23D80"/>
    <w:rsid w:val="00D31A14"/>
    <w:rsid w:val="00D32CCD"/>
    <w:rsid w:val="00D3358F"/>
    <w:rsid w:val="00D335B1"/>
    <w:rsid w:val="00D401B8"/>
    <w:rsid w:val="00D46BEC"/>
    <w:rsid w:val="00D5520A"/>
    <w:rsid w:val="00D64A01"/>
    <w:rsid w:val="00D73806"/>
    <w:rsid w:val="00D7404D"/>
    <w:rsid w:val="00D7561B"/>
    <w:rsid w:val="00D774EE"/>
    <w:rsid w:val="00D77E65"/>
    <w:rsid w:val="00D831D9"/>
    <w:rsid w:val="00D8738F"/>
    <w:rsid w:val="00D87428"/>
    <w:rsid w:val="00D92683"/>
    <w:rsid w:val="00DA3FA9"/>
    <w:rsid w:val="00DA5E8E"/>
    <w:rsid w:val="00DA7817"/>
    <w:rsid w:val="00DB1EAE"/>
    <w:rsid w:val="00DC6E57"/>
    <w:rsid w:val="00DC74FD"/>
    <w:rsid w:val="00DD110C"/>
    <w:rsid w:val="00DD5D0A"/>
    <w:rsid w:val="00DD658F"/>
    <w:rsid w:val="00DD70A0"/>
    <w:rsid w:val="00DE2F12"/>
    <w:rsid w:val="00DE75FF"/>
    <w:rsid w:val="00DF7B09"/>
    <w:rsid w:val="00E021D5"/>
    <w:rsid w:val="00E045C5"/>
    <w:rsid w:val="00E05B22"/>
    <w:rsid w:val="00E079CE"/>
    <w:rsid w:val="00E10798"/>
    <w:rsid w:val="00E203F8"/>
    <w:rsid w:val="00E24404"/>
    <w:rsid w:val="00E300E2"/>
    <w:rsid w:val="00E30433"/>
    <w:rsid w:val="00E313EB"/>
    <w:rsid w:val="00E319B1"/>
    <w:rsid w:val="00E3596F"/>
    <w:rsid w:val="00E36981"/>
    <w:rsid w:val="00E37790"/>
    <w:rsid w:val="00E40818"/>
    <w:rsid w:val="00E41401"/>
    <w:rsid w:val="00E42559"/>
    <w:rsid w:val="00E43D18"/>
    <w:rsid w:val="00E43E9B"/>
    <w:rsid w:val="00E460FB"/>
    <w:rsid w:val="00E46D09"/>
    <w:rsid w:val="00E47D33"/>
    <w:rsid w:val="00E517EB"/>
    <w:rsid w:val="00E543CB"/>
    <w:rsid w:val="00E555F1"/>
    <w:rsid w:val="00E62454"/>
    <w:rsid w:val="00E62DCB"/>
    <w:rsid w:val="00E7265F"/>
    <w:rsid w:val="00E84847"/>
    <w:rsid w:val="00E86FDB"/>
    <w:rsid w:val="00E914AA"/>
    <w:rsid w:val="00E924EA"/>
    <w:rsid w:val="00EA5C02"/>
    <w:rsid w:val="00EB0798"/>
    <w:rsid w:val="00EB1536"/>
    <w:rsid w:val="00EB33C2"/>
    <w:rsid w:val="00EB5543"/>
    <w:rsid w:val="00EC0E02"/>
    <w:rsid w:val="00EC2916"/>
    <w:rsid w:val="00EC5731"/>
    <w:rsid w:val="00ED4047"/>
    <w:rsid w:val="00EF0199"/>
    <w:rsid w:val="00EF082D"/>
    <w:rsid w:val="00EF0B1A"/>
    <w:rsid w:val="00EF494C"/>
    <w:rsid w:val="00F03AB0"/>
    <w:rsid w:val="00F058B6"/>
    <w:rsid w:val="00F066AD"/>
    <w:rsid w:val="00F06D92"/>
    <w:rsid w:val="00F06E6B"/>
    <w:rsid w:val="00F07DCB"/>
    <w:rsid w:val="00F1262C"/>
    <w:rsid w:val="00F13D4E"/>
    <w:rsid w:val="00F23E30"/>
    <w:rsid w:val="00F2609C"/>
    <w:rsid w:val="00F30134"/>
    <w:rsid w:val="00F34377"/>
    <w:rsid w:val="00F36F3A"/>
    <w:rsid w:val="00F40A58"/>
    <w:rsid w:val="00F41B29"/>
    <w:rsid w:val="00F42F35"/>
    <w:rsid w:val="00F46F77"/>
    <w:rsid w:val="00F561EC"/>
    <w:rsid w:val="00F577F8"/>
    <w:rsid w:val="00F60AE4"/>
    <w:rsid w:val="00F61BB8"/>
    <w:rsid w:val="00F61E80"/>
    <w:rsid w:val="00F6282C"/>
    <w:rsid w:val="00F62B9E"/>
    <w:rsid w:val="00F670DC"/>
    <w:rsid w:val="00F67CD8"/>
    <w:rsid w:val="00F72D89"/>
    <w:rsid w:val="00F8133E"/>
    <w:rsid w:val="00F82897"/>
    <w:rsid w:val="00F859D1"/>
    <w:rsid w:val="00F925F5"/>
    <w:rsid w:val="00F96024"/>
    <w:rsid w:val="00FA363E"/>
    <w:rsid w:val="00FA7ECA"/>
    <w:rsid w:val="00FB28A5"/>
    <w:rsid w:val="00FB2E2D"/>
    <w:rsid w:val="00FC0A51"/>
    <w:rsid w:val="00FC236C"/>
    <w:rsid w:val="00FC259A"/>
    <w:rsid w:val="00FC2CBB"/>
    <w:rsid w:val="00FC4F1B"/>
    <w:rsid w:val="00FC66E9"/>
    <w:rsid w:val="00FC7625"/>
    <w:rsid w:val="00FD411D"/>
    <w:rsid w:val="00FE6424"/>
    <w:rsid w:val="00FF0EA5"/>
    <w:rsid w:val="00FF37C0"/>
    <w:rsid w:val="00FF477B"/>
    <w:rsid w:val="00FF5899"/>
    <w:rsid w:val="01D62940"/>
    <w:rsid w:val="0270E8BC"/>
    <w:rsid w:val="047743CD"/>
    <w:rsid w:val="049534DA"/>
    <w:rsid w:val="04C61DFC"/>
    <w:rsid w:val="0594684D"/>
    <w:rsid w:val="05D2EDCA"/>
    <w:rsid w:val="068B6A08"/>
    <w:rsid w:val="06A2DFA6"/>
    <w:rsid w:val="08F0AD48"/>
    <w:rsid w:val="09F4B9D4"/>
    <w:rsid w:val="0EE4A961"/>
    <w:rsid w:val="0F6E4D35"/>
    <w:rsid w:val="10E0CCA2"/>
    <w:rsid w:val="10FDA836"/>
    <w:rsid w:val="129C94BC"/>
    <w:rsid w:val="1384C479"/>
    <w:rsid w:val="14BF5085"/>
    <w:rsid w:val="16EA72AF"/>
    <w:rsid w:val="1FBB3D68"/>
    <w:rsid w:val="23F03C09"/>
    <w:rsid w:val="24963812"/>
    <w:rsid w:val="24BBEC9C"/>
    <w:rsid w:val="26B77D75"/>
    <w:rsid w:val="28A17D02"/>
    <w:rsid w:val="2AC89502"/>
    <w:rsid w:val="30BEE7A1"/>
    <w:rsid w:val="3145C92B"/>
    <w:rsid w:val="34B47F94"/>
    <w:rsid w:val="3626E42D"/>
    <w:rsid w:val="38DD6EE7"/>
    <w:rsid w:val="39CE3F6E"/>
    <w:rsid w:val="39D583A1"/>
    <w:rsid w:val="3BE604D6"/>
    <w:rsid w:val="3D3736F2"/>
    <w:rsid w:val="3E10AB71"/>
    <w:rsid w:val="3EA79781"/>
    <w:rsid w:val="3F9335DD"/>
    <w:rsid w:val="409864A3"/>
    <w:rsid w:val="41F84CA0"/>
    <w:rsid w:val="422617A6"/>
    <w:rsid w:val="44E9A9BD"/>
    <w:rsid w:val="4508B9AB"/>
    <w:rsid w:val="48415DD7"/>
    <w:rsid w:val="48505437"/>
    <w:rsid w:val="4921DCCF"/>
    <w:rsid w:val="4E44023D"/>
    <w:rsid w:val="54C1413D"/>
    <w:rsid w:val="576C23BB"/>
    <w:rsid w:val="59E46ADE"/>
    <w:rsid w:val="5CB1EC1C"/>
    <w:rsid w:val="5DD5261C"/>
    <w:rsid w:val="5E752E58"/>
    <w:rsid w:val="5F5152AA"/>
    <w:rsid w:val="60D90D1B"/>
    <w:rsid w:val="62ECDF6B"/>
    <w:rsid w:val="63F7178F"/>
    <w:rsid w:val="6452A711"/>
    <w:rsid w:val="670976BF"/>
    <w:rsid w:val="67DA771C"/>
    <w:rsid w:val="6880C6F5"/>
    <w:rsid w:val="6A9F4315"/>
    <w:rsid w:val="6DBA8082"/>
    <w:rsid w:val="6DBD636B"/>
    <w:rsid w:val="6EAE934A"/>
    <w:rsid w:val="6F04AA25"/>
    <w:rsid w:val="6F06ED6C"/>
    <w:rsid w:val="7025F67C"/>
    <w:rsid w:val="703556A7"/>
    <w:rsid w:val="73BD019C"/>
    <w:rsid w:val="74E537E5"/>
    <w:rsid w:val="752BB31B"/>
    <w:rsid w:val="754A9EB2"/>
    <w:rsid w:val="76EC17A0"/>
    <w:rsid w:val="77387E1B"/>
    <w:rsid w:val="79924EDD"/>
    <w:rsid w:val="7CFC0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4EED"/>
  <w15:chartTrackingRefBased/>
  <w15:docId w15:val="{F6DB5AAB-D977-41CC-AFDD-593BC718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EA"/>
  </w:style>
  <w:style w:type="paragraph" w:styleId="Heading1">
    <w:name w:val="heading 1"/>
    <w:basedOn w:val="Normal"/>
    <w:next w:val="Normal"/>
    <w:link w:val="Heading1Char"/>
    <w:uiPriority w:val="9"/>
    <w:qFormat/>
    <w:rsid w:val="00984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4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4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84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4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4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84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A25"/>
    <w:rPr>
      <w:rFonts w:eastAsiaTheme="majorEastAsia" w:cstheme="majorBidi"/>
      <w:color w:val="272727" w:themeColor="text1" w:themeTint="D8"/>
    </w:rPr>
  </w:style>
  <w:style w:type="paragraph" w:styleId="Title">
    <w:name w:val="Title"/>
    <w:basedOn w:val="Normal"/>
    <w:next w:val="Normal"/>
    <w:link w:val="TitleChar"/>
    <w:uiPriority w:val="10"/>
    <w:qFormat/>
    <w:rsid w:val="00984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A25"/>
    <w:pPr>
      <w:spacing w:before="160"/>
      <w:jc w:val="center"/>
    </w:pPr>
    <w:rPr>
      <w:i/>
      <w:iCs/>
      <w:color w:val="404040" w:themeColor="text1" w:themeTint="BF"/>
    </w:rPr>
  </w:style>
  <w:style w:type="character" w:customStyle="1" w:styleId="QuoteChar">
    <w:name w:val="Quote Char"/>
    <w:basedOn w:val="DefaultParagraphFont"/>
    <w:link w:val="Quote"/>
    <w:uiPriority w:val="29"/>
    <w:rsid w:val="00984A25"/>
    <w:rPr>
      <w:i/>
      <w:iCs/>
      <w:color w:val="404040" w:themeColor="text1" w:themeTint="BF"/>
    </w:r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Bull,St"/>
    <w:basedOn w:val="Normal"/>
    <w:link w:val="ListParagraphChar"/>
    <w:uiPriority w:val="34"/>
    <w:qFormat/>
    <w:rsid w:val="00984A25"/>
    <w:pPr>
      <w:ind w:left="720"/>
      <w:contextualSpacing/>
    </w:pPr>
  </w:style>
  <w:style w:type="character" w:styleId="IntenseEmphasis">
    <w:name w:val="Intense Emphasis"/>
    <w:basedOn w:val="DefaultParagraphFont"/>
    <w:uiPriority w:val="21"/>
    <w:qFormat/>
    <w:rsid w:val="00984A25"/>
    <w:rPr>
      <w:i/>
      <w:iCs/>
      <w:color w:val="0F4761" w:themeColor="accent1" w:themeShade="BF"/>
    </w:rPr>
  </w:style>
  <w:style w:type="paragraph" w:styleId="IntenseQuote">
    <w:name w:val="Intense Quote"/>
    <w:basedOn w:val="Normal"/>
    <w:next w:val="Normal"/>
    <w:link w:val="IntenseQuoteChar"/>
    <w:uiPriority w:val="30"/>
    <w:qFormat/>
    <w:rsid w:val="00984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A25"/>
    <w:rPr>
      <w:i/>
      <w:iCs/>
      <w:color w:val="0F4761" w:themeColor="accent1" w:themeShade="BF"/>
    </w:rPr>
  </w:style>
  <w:style w:type="character" w:styleId="IntenseReference">
    <w:name w:val="Intense Reference"/>
    <w:basedOn w:val="DefaultParagraphFont"/>
    <w:uiPriority w:val="32"/>
    <w:qFormat/>
    <w:rsid w:val="00984A25"/>
    <w:rPr>
      <w:b/>
      <w:bCs/>
      <w:smallCaps/>
      <w:color w:val="0F4761" w:themeColor="accent1" w:themeShade="BF"/>
      <w:spacing w:val="5"/>
    </w:rPr>
  </w:style>
  <w:style w:type="table" w:styleId="TableGrid">
    <w:name w:val="Table Grid"/>
    <w:basedOn w:val="TableNormal"/>
    <w:uiPriority w:val="39"/>
    <w:rsid w:val="0077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BVI f"/>
    <w:basedOn w:val="DefaultParagraphFont"/>
    <w:link w:val="FootnotesymbolCarZchn"/>
    <w:uiPriority w:val="99"/>
    <w:unhideWhenUsed/>
    <w:qFormat/>
    <w:rsid w:val="00F925F5"/>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925F5"/>
    <w:pPr>
      <w:spacing w:line="240" w:lineRule="exact"/>
      <w:jc w:val="both"/>
    </w:pPr>
    <w:rPr>
      <w:vertAlign w:val="superscript"/>
    </w:rPr>
  </w:style>
  <w:style w:type="paragraph" w:styleId="CommentText">
    <w:name w:val="annotation text"/>
    <w:basedOn w:val="Normal"/>
    <w:link w:val="CommentTextChar"/>
    <w:uiPriority w:val="99"/>
    <w:unhideWhenUsed/>
    <w:rsid w:val="0024547E"/>
    <w:pPr>
      <w:spacing w:line="240" w:lineRule="auto"/>
    </w:pPr>
    <w:rPr>
      <w:sz w:val="20"/>
      <w:szCs w:val="20"/>
    </w:rPr>
  </w:style>
  <w:style w:type="character" w:customStyle="1" w:styleId="CommentTextChar">
    <w:name w:val="Comment Text Char"/>
    <w:basedOn w:val="DefaultParagraphFont"/>
    <w:link w:val="CommentText"/>
    <w:uiPriority w:val="99"/>
    <w:rsid w:val="0024547E"/>
    <w:rPr>
      <w:sz w:val="20"/>
      <w:szCs w:val="20"/>
    </w:rPr>
  </w:style>
  <w:style w:type="character" w:styleId="CommentReference">
    <w:name w:val="annotation reference"/>
    <w:uiPriority w:val="99"/>
    <w:rsid w:val="0024547E"/>
    <w:rPr>
      <w:sz w:val="16"/>
      <w:szCs w:val="16"/>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Bull Char"/>
    <w:link w:val="ListParagraph"/>
    <w:uiPriority w:val="34"/>
    <w:qFormat/>
    <w:locked/>
    <w:rsid w:val="00AA21F5"/>
  </w:style>
  <w:style w:type="paragraph" w:styleId="FootnoteText">
    <w:name w:val="footnote text"/>
    <w:basedOn w:val="Normal"/>
    <w:link w:val="FootnoteTextChar"/>
    <w:uiPriority w:val="99"/>
    <w:semiHidden/>
    <w:unhideWhenUsed/>
    <w:rsid w:val="000B6E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EE7"/>
    <w:rPr>
      <w:sz w:val="20"/>
      <w:szCs w:val="20"/>
    </w:rPr>
  </w:style>
  <w:style w:type="paragraph" w:customStyle="1" w:styleId="Headingsmall">
    <w:name w:val="Heading small"/>
    <w:basedOn w:val="ListBullet"/>
    <w:rsid w:val="001A3F1A"/>
    <w:pPr>
      <w:keepNext/>
      <w:numPr>
        <w:numId w:val="0"/>
      </w:numPr>
      <w:spacing w:before="240" w:after="120" w:line="259" w:lineRule="auto"/>
      <w:contextualSpacing w:val="0"/>
    </w:pPr>
    <w:rPr>
      <w:rFonts w:eastAsiaTheme="minorEastAsia"/>
      <w:b/>
      <w:bCs/>
      <w:i/>
      <w:iCs/>
      <w:kern w:val="0"/>
      <w:szCs w:val="22"/>
      <w:lang w:val="lv-LV" w:eastAsia="en-AU"/>
      <w14:ligatures w14:val="none"/>
    </w:rPr>
  </w:style>
  <w:style w:type="paragraph" w:styleId="ListBullet">
    <w:name w:val="List Bullet"/>
    <w:basedOn w:val="Normal"/>
    <w:uiPriority w:val="99"/>
    <w:unhideWhenUsed/>
    <w:rsid w:val="001A3F1A"/>
    <w:pPr>
      <w:numPr>
        <w:numId w:val="2"/>
      </w:numPr>
      <w:contextualSpacing/>
    </w:pPr>
  </w:style>
  <w:style w:type="paragraph" w:customStyle="1" w:styleId="buletsss">
    <w:name w:val="buletsss"/>
    <w:basedOn w:val="ListBullet"/>
    <w:link w:val="buletsssChar"/>
    <w:rsid w:val="00760727"/>
    <w:pPr>
      <w:numPr>
        <w:numId w:val="0"/>
      </w:numPr>
      <w:tabs>
        <w:tab w:val="num" w:pos="360"/>
      </w:tabs>
      <w:spacing w:before="120" w:after="120" w:line="259" w:lineRule="auto"/>
      <w:ind w:left="360" w:hanging="360"/>
      <w:contextualSpacing w:val="0"/>
      <w:jc w:val="both"/>
    </w:pPr>
    <w:rPr>
      <w:rFonts w:ascii="Arial" w:eastAsiaTheme="minorEastAsia" w:hAnsi="Arial"/>
      <w:kern w:val="0"/>
      <w:szCs w:val="18"/>
      <w:lang w:val="lv-LV" w:eastAsia="en-AU"/>
      <w14:ligatures w14:val="none"/>
    </w:rPr>
  </w:style>
  <w:style w:type="character" w:customStyle="1" w:styleId="buletsssChar">
    <w:name w:val="buletsss Char"/>
    <w:basedOn w:val="DefaultParagraphFont"/>
    <w:link w:val="buletsss"/>
    <w:rsid w:val="00760727"/>
    <w:rPr>
      <w:rFonts w:ascii="Arial" w:eastAsiaTheme="minorEastAsia" w:hAnsi="Arial"/>
      <w:kern w:val="0"/>
      <w:szCs w:val="18"/>
      <w:lang w:val="lv-LV" w:eastAsia="en-AU"/>
      <w14:ligatures w14:val="none"/>
    </w:rPr>
  </w:style>
  <w:style w:type="paragraph" w:styleId="NormalWeb">
    <w:name w:val="Normal (Web)"/>
    <w:basedOn w:val="Normal"/>
    <w:uiPriority w:val="99"/>
    <w:semiHidden/>
    <w:unhideWhenUsed/>
    <w:rsid w:val="001B7BB2"/>
    <w:rPr>
      <w:rFonts w:ascii="Times New Roman" w:hAnsi="Times New Roman" w:cs="Times New Roman"/>
    </w:rPr>
  </w:style>
  <w:style w:type="paragraph" w:styleId="Header">
    <w:name w:val="header"/>
    <w:basedOn w:val="Normal"/>
    <w:link w:val="HeaderChar"/>
    <w:uiPriority w:val="99"/>
    <w:rsid w:val="00F23E30"/>
    <w:pPr>
      <w:tabs>
        <w:tab w:val="center" w:pos="4153"/>
        <w:tab w:val="right" w:pos="8306"/>
      </w:tabs>
      <w:spacing w:line="259" w:lineRule="auto"/>
    </w:pPr>
    <w:rPr>
      <w:rFonts w:eastAsiaTheme="minorEastAsia"/>
      <w:kern w:val="0"/>
      <w:szCs w:val="22"/>
      <w:lang w:val="en-AU" w:eastAsia="en-AU"/>
      <w14:ligatures w14:val="none"/>
    </w:rPr>
  </w:style>
  <w:style w:type="character" w:customStyle="1" w:styleId="HeaderChar">
    <w:name w:val="Header Char"/>
    <w:basedOn w:val="DefaultParagraphFont"/>
    <w:link w:val="Header"/>
    <w:uiPriority w:val="99"/>
    <w:rsid w:val="00F23E30"/>
    <w:rPr>
      <w:rFonts w:eastAsiaTheme="minorEastAsia"/>
      <w:kern w:val="0"/>
      <w:szCs w:val="22"/>
      <w:lang w:val="en-AU" w:eastAsia="en-AU"/>
      <w14:ligatures w14:val="none"/>
    </w:rPr>
  </w:style>
  <w:style w:type="paragraph" w:styleId="Footer">
    <w:name w:val="footer"/>
    <w:basedOn w:val="Normal"/>
    <w:link w:val="FooterChar"/>
    <w:uiPriority w:val="99"/>
    <w:rsid w:val="00F23E30"/>
    <w:pPr>
      <w:tabs>
        <w:tab w:val="center" w:pos="4153"/>
        <w:tab w:val="right" w:pos="8306"/>
      </w:tabs>
      <w:spacing w:line="259" w:lineRule="auto"/>
    </w:pPr>
    <w:rPr>
      <w:rFonts w:eastAsiaTheme="minorEastAsia"/>
      <w:kern w:val="0"/>
      <w:szCs w:val="22"/>
      <w:lang w:val="en-AU" w:eastAsia="en-AU"/>
      <w14:ligatures w14:val="none"/>
    </w:rPr>
  </w:style>
  <w:style w:type="character" w:customStyle="1" w:styleId="FooterChar">
    <w:name w:val="Footer Char"/>
    <w:basedOn w:val="DefaultParagraphFont"/>
    <w:link w:val="Footer"/>
    <w:uiPriority w:val="99"/>
    <w:rsid w:val="00F23E30"/>
    <w:rPr>
      <w:rFonts w:eastAsiaTheme="minorEastAsia"/>
      <w:kern w:val="0"/>
      <w:szCs w:val="22"/>
      <w:lang w:val="en-AU" w:eastAsia="en-AU"/>
      <w14:ligatures w14:val="none"/>
    </w:rPr>
  </w:style>
  <w:style w:type="character" w:styleId="Hyperlink">
    <w:name w:val="Hyperlink"/>
    <w:uiPriority w:val="99"/>
    <w:rsid w:val="00140953"/>
    <w:rPr>
      <w:rFonts w:cs="Times New Roman"/>
      <w:color w:val="0000FF"/>
      <w:u w:val="single"/>
    </w:rPr>
  </w:style>
  <w:style w:type="table" w:customStyle="1" w:styleId="PwCTableText11331">
    <w:name w:val="PwC Table Text11331"/>
    <w:basedOn w:val="TableNormal"/>
    <w:uiPriority w:val="99"/>
    <w:rsid w:val="00E37790"/>
    <w:pPr>
      <w:spacing w:before="100" w:beforeAutospacing="1" w:after="100" w:afterAutospacing="1" w:line="240" w:lineRule="auto"/>
    </w:pPr>
    <w:rPr>
      <w:rFonts w:ascii="Arial" w:hAnsi="Arial"/>
      <w:kern w:val="0"/>
      <w:sz w:val="18"/>
      <w:szCs w:val="20"/>
      <w14:ligatures w14:val="none"/>
    </w:rPr>
    <w:tblPr>
      <w:tblBorders>
        <w:insideH w:val="dotted" w:sz="4" w:space="0" w:color="D04A02"/>
      </w:tblBorders>
      <w:tblCellMar>
        <w:top w:w="72" w:type="dxa"/>
        <w:left w:w="115" w:type="dxa"/>
        <w:bottom w:w="72" w:type="dxa"/>
        <w:right w:w="115" w:type="dxa"/>
      </w:tblCellMar>
    </w:tblPr>
    <w:tcPr>
      <w:vAlign w:val="center"/>
    </w:tcPr>
    <w:tblStylePr w:type="firstRow">
      <w:pPr>
        <w:jc w:val="left"/>
      </w:pPr>
      <w:rPr>
        <w:rFonts w:ascii="Arial" w:hAnsi="Arial"/>
        <w:b/>
        <w:color w:val="D04A02"/>
        <w:sz w:val="18"/>
      </w:rPr>
      <w:tblPr/>
      <w:tcPr>
        <w:tcBorders>
          <w:top w:val="single" w:sz="6" w:space="0" w:color="D04A02"/>
          <w:left w:val="nil"/>
          <w:bottom w:val="single" w:sz="6" w:space="0" w:color="D04A02"/>
          <w:right w:val="nil"/>
          <w:insideH w:val="nil"/>
          <w:insideV w:val="nil"/>
          <w:tl2br w:val="nil"/>
          <w:tr2bl w:val="nil"/>
        </w:tcBorders>
      </w:tcPr>
    </w:tblStylePr>
  </w:style>
  <w:style w:type="paragraph" w:styleId="CommentSubject">
    <w:name w:val="annotation subject"/>
    <w:basedOn w:val="CommentText"/>
    <w:next w:val="CommentText"/>
    <w:link w:val="CommentSubjectChar"/>
    <w:uiPriority w:val="99"/>
    <w:semiHidden/>
    <w:unhideWhenUsed/>
    <w:rsid w:val="00951C37"/>
    <w:rPr>
      <w:b/>
      <w:bCs/>
    </w:rPr>
  </w:style>
  <w:style w:type="character" w:customStyle="1" w:styleId="CommentSubjectChar">
    <w:name w:val="Comment Subject Char"/>
    <w:basedOn w:val="CommentTextChar"/>
    <w:link w:val="CommentSubject"/>
    <w:uiPriority w:val="99"/>
    <w:semiHidden/>
    <w:rsid w:val="00951C37"/>
    <w:rPr>
      <w:b/>
      <w:bCs/>
      <w:sz w:val="20"/>
      <w:szCs w:val="20"/>
    </w:rPr>
  </w:style>
  <w:style w:type="paragraph" w:styleId="Revision">
    <w:name w:val="Revision"/>
    <w:hidden/>
    <w:uiPriority w:val="99"/>
    <w:semiHidden/>
    <w:rsid w:val="00C07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6988">
      <w:bodyDiv w:val="1"/>
      <w:marLeft w:val="0"/>
      <w:marRight w:val="0"/>
      <w:marTop w:val="0"/>
      <w:marBottom w:val="0"/>
      <w:divBdr>
        <w:top w:val="none" w:sz="0" w:space="0" w:color="auto"/>
        <w:left w:val="none" w:sz="0" w:space="0" w:color="auto"/>
        <w:bottom w:val="none" w:sz="0" w:space="0" w:color="auto"/>
        <w:right w:val="none" w:sz="0" w:space="0" w:color="auto"/>
      </w:divBdr>
    </w:div>
    <w:div w:id="29841213">
      <w:bodyDiv w:val="1"/>
      <w:marLeft w:val="0"/>
      <w:marRight w:val="0"/>
      <w:marTop w:val="0"/>
      <w:marBottom w:val="0"/>
      <w:divBdr>
        <w:top w:val="none" w:sz="0" w:space="0" w:color="auto"/>
        <w:left w:val="none" w:sz="0" w:space="0" w:color="auto"/>
        <w:bottom w:val="none" w:sz="0" w:space="0" w:color="auto"/>
        <w:right w:val="none" w:sz="0" w:space="0" w:color="auto"/>
      </w:divBdr>
    </w:div>
    <w:div w:id="77675854">
      <w:bodyDiv w:val="1"/>
      <w:marLeft w:val="0"/>
      <w:marRight w:val="0"/>
      <w:marTop w:val="0"/>
      <w:marBottom w:val="0"/>
      <w:divBdr>
        <w:top w:val="none" w:sz="0" w:space="0" w:color="auto"/>
        <w:left w:val="none" w:sz="0" w:space="0" w:color="auto"/>
        <w:bottom w:val="none" w:sz="0" w:space="0" w:color="auto"/>
        <w:right w:val="none" w:sz="0" w:space="0" w:color="auto"/>
      </w:divBdr>
    </w:div>
    <w:div w:id="153380647">
      <w:bodyDiv w:val="1"/>
      <w:marLeft w:val="0"/>
      <w:marRight w:val="0"/>
      <w:marTop w:val="0"/>
      <w:marBottom w:val="0"/>
      <w:divBdr>
        <w:top w:val="none" w:sz="0" w:space="0" w:color="auto"/>
        <w:left w:val="none" w:sz="0" w:space="0" w:color="auto"/>
        <w:bottom w:val="none" w:sz="0" w:space="0" w:color="auto"/>
        <w:right w:val="none" w:sz="0" w:space="0" w:color="auto"/>
      </w:divBdr>
    </w:div>
    <w:div w:id="233858452">
      <w:bodyDiv w:val="1"/>
      <w:marLeft w:val="0"/>
      <w:marRight w:val="0"/>
      <w:marTop w:val="0"/>
      <w:marBottom w:val="0"/>
      <w:divBdr>
        <w:top w:val="none" w:sz="0" w:space="0" w:color="auto"/>
        <w:left w:val="none" w:sz="0" w:space="0" w:color="auto"/>
        <w:bottom w:val="none" w:sz="0" w:space="0" w:color="auto"/>
        <w:right w:val="none" w:sz="0" w:space="0" w:color="auto"/>
      </w:divBdr>
    </w:div>
    <w:div w:id="242642555">
      <w:bodyDiv w:val="1"/>
      <w:marLeft w:val="0"/>
      <w:marRight w:val="0"/>
      <w:marTop w:val="0"/>
      <w:marBottom w:val="0"/>
      <w:divBdr>
        <w:top w:val="none" w:sz="0" w:space="0" w:color="auto"/>
        <w:left w:val="none" w:sz="0" w:space="0" w:color="auto"/>
        <w:bottom w:val="none" w:sz="0" w:space="0" w:color="auto"/>
        <w:right w:val="none" w:sz="0" w:space="0" w:color="auto"/>
      </w:divBdr>
    </w:div>
    <w:div w:id="258148539">
      <w:bodyDiv w:val="1"/>
      <w:marLeft w:val="0"/>
      <w:marRight w:val="0"/>
      <w:marTop w:val="0"/>
      <w:marBottom w:val="0"/>
      <w:divBdr>
        <w:top w:val="none" w:sz="0" w:space="0" w:color="auto"/>
        <w:left w:val="none" w:sz="0" w:space="0" w:color="auto"/>
        <w:bottom w:val="none" w:sz="0" w:space="0" w:color="auto"/>
        <w:right w:val="none" w:sz="0" w:space="0" w:color="auto"/>
      </w:divBdr>
    </w:div>
    <w:div w:id="435833868">
      <w:bodyDiv w:val="1"/>
      <w:marLeft w:val="0"/>
      <w:marRight w:val="0"/>
      <w:marTop w:val="0"/>
      <w:marBottom w:val="0"/>
      <w:divBdr>
        <w:top w:val="none" w:sz="0" w:space="0" w:color="auto"/>
        <w:left w:val="none" w:sz="0" w:space="0" w:color="auto"/>
        <w:bottom w:val="none" w:sz="0" w:space="0" w:color="auto"/>
        <w:right w:val="none" w:sz="0" w:space="0" w:color="auto"/>
      </w:divBdr>
    </w:div>
    <w:div w:id="487671216">
      <w:bodyDiv w:val="1"/>
      <w:marLeft w:val="0"/>
      <w:marRight w:val="0"/>
      <w:marTop w:val="0"/>
      <w:marBottom w:val="0"/>
      <w:divBdr>
        <w:top w:val="none" w:sz="0" w:space="0" w:color="auto"/>
        <w:left w:val="none" w:sz="0" w:space="0" w:color="auto"/>
        <w:bottom w:val="none" w:sz="0" w:space="0" w:color="auto"/>
        <w:right w:val="none" w:sz="0" w:space="0" w:color="auto"/>
      </w:divBdr>
    </w:div>
    <w:div w:id="494077641">
      <w:bodyDiv w:val="1"/>
      <w:marLeft w:val="0"/>
      <w:marRight w:val="0"/>
      <w:marTop w:val="0"/>
      <w:marBottom w:val="0"/>
      <w:divBdr>
        <w:top w:val="none" w:sz="0" w:space="0" w:color="auto"/>
        <w:left w:val="none" w:sz="0" w:space="0" w:color="auto"/>
        <w:bottom w:val="none" w:sz="0" w:space="0" w:color="auto"/>
        <w:right w:val="none" w:sz="0" w:space="0" w:color="auto"/>
      </w:divBdr>
    </w:div>
    <w:div w:id="498472044">
      <w:bodyDiv w:val="1"/>
      <w:marLeft w:val="0"/>
      <w:marRight w:val="0"/>
      <w:marTop w:val="0"/>
      <w:marBottom w:val="0"/>
      <w:divBdr>
        <w:top w:val="none" w:sz="0" w:space="0" w:color="auto"/>
        <w:left w:val="none" w:sz="0" w:space="0" w:color="auto"/>
        <w:bottom w:val="none" w:sz="0" w:space="0" w:color="auto"/>
        <w:right w:val="none" w:sz="0" w:space="0" w:color="auto"/>
      </w:divBdr>
    </w:div>
    <w:div w:id="508299113">
      <w:bodyDiv w:val="1"/>
      <w:marLeft w:val="0"/>
      <w:marRight w:val="0"/>
      <w:marTop w:val="0"/>
      <w:marBottom w:val="0"/>
      <w:divBdr>
        <w:top w:val="none" w:sz="0" w:space="0" w:color="auto"/>
        <w:left w:val="none" w:sz="0" w:space="0" w:color="auto"/>
        <w:bottom w:val="none" w:sz="0" w:space="0" w:color="auto"/>
        <w:right w:val="none" w:sz="0" w:space="0" w:color="auto"/>
      </w:divBdr>
    </w:div>
    <w:div w:id="586307602">
      <w:bodyDiv w:val="1"/>
      <w:marLeft w:val="0"/>
      <w:marRight w:val="0"/>
      <w:marTop w:val="0"/>
      <w:marBottom w:val="0"/>
      <w:divBdr>
        <w:top w:val="none" w:sz="0" w:space="0" w:color="auto"/>
        <w:left w:val="none" w:sz="0" w:space="0" w:color="auto"/>
        <w:bottom w:val="none" w:sz="0" w:space="0" w:color="auto"/>
        <w:right w:val="none" w:sz="0" w:space="0" w:color="auto"/>
      </w:divBdr>
    </w:div>
    <w:div w:id="593906234">
      <w:bodyDiv w:val="1"/>
      <w:marLeft w:val="0"/>
      <w:marRight w:val="0"/>
      <w:marTop w:val="0"/>
      <w:marBottom w:val="0"/>
      <w:divBdr>
        <w:top w:val="none" w:sz="0" w:space="0" w:color="auto"/>
        <w:left w:val="none" w:sz="0" w:space="0" w:color="auto"/>
        <w:bottom w:val="none" w:sz="0" w:space="0" w:color="auto"/>
        <w:right w:val="none" w:sz="0" w:space="0" w:color="auto"/>
      </w:divBdr>
    </w:div>
    <w:div w:id="614213432">
      <w:bodyDiv w:val="1"/>
      <w:marLeft w:val="0"/>
      <w:marRight w:val="0"/>
      <w:marTop w:val="0"/>
      <w:marBottom w:val="0"/>
      <w:divBdr>
        <w:top w:val="none" w:sz="0" w:space="0" w:color="auto"/>
        <w:left w:val="none" w:sz="0" w:space="0" w:color="auto"/>
        <w:bottom w:val="none" w:sz="0" w:space="0" w:color="auto"/>
        <w:right w:val="none" w:sz="0" w:space="0" w:color="auto"/>
      </w:divBdr>
    </w:div>
    <w:div w:id="671491732">
      <w:bodyDiv w:val="1"/>
      <w:marLeft w:val="0"/>
      <w:marRight w:val="0"/>
      <w:marTop w:val="0"/>
      <w:marBottom w:val="0"/>
      <w:divBdr>
        <w:top w:val="none" w:sz="0" w:space="0" w:color="auto"/>
        <w:left w:val="none" w:sz="0" w:space="0" w:color="auto"/>
        <w:bottom w:val="none" w:sz="0" w:space="0" w:color="auto"/>
        <w:right w:val="none" w:sz="0" w:space="0" w:color="auto"/>
      </w:divBdr>
    </w:div>
    <w:div w:id="686374195">
      <w:bodyDiv w:val="1"/>
      <w:marLeft w:val="0"/>
      <w:marRight w:val="0"/>
      <w:marTop w:val="0"/>
      <w:marBottom w:val="0"/>
      <w:divBdr>
        <w:top w:val="none" w:sz="0" w:space="0" w:color="auto"/>
        <w:left w:val="none" w:sz="0" w:space="0" w:color="auto"/>
        <w:bottom w:val="none" w:sz="0" w:space="0" w:color="auto"/>
        <w:right w:val="none" w:sz="0" w:space="0" w:color="auto"/>
      </w:divBdr>
    </w:div>
    <w:div w:id="697509988">
      <w:bodyDiv w:val="1"/>
      <w:marLeft w:val="0"/>
      <w:marRight w:val="0"/>
      <w:marTop w:val="0"/>
      <w:marBottom w:val="0"/>
      <w:divBdr>
        <w:top w:val="none" w:sz="0" w:space="0" w:color="auto"/>
        <w:left w:val="none" w:sz="0" w:space="0" w:color="auto"/>
        <w:bottom w:val="none" w:sz="0" w:space="0" w:color="auto"/>
        <w:right w:val="none" w:sz="0" w:space="0" w:color="auto"/>
      </w:divBdr>
    </w:div>
    <w:div w:id="768090092">
      <w:bodyDiv w:val="1"/>
      <w:marLeft w:val="0"/>
      <w:marRight w:val="0"/>
      <w:marTop w:val="0"/>
      <w:marBottom w:val="0"/>
      <w:divBdr>
        <w:top w:val="none" w:sz="0" w:space="0" w:color="auto"/>
        <w:left w:val="none" w:sz="0" w:space="0" w:color="auto"/>
        <w:bottom w:val="none" w:sz="0" w:space="0" w:color="auto"/>
        <w:right w:val="none" w:sz="0" w:space="0" w:color="auto"/>
      </w:divBdr>
    </w:div>
    <w:div w:id="821507918">
      <w:bodyDiv w:val="1"/>
      <w:marLeft w:val="0"/>
      <w:marRight w:val="0"/>
      <w:marTop w:val="0"/>
      <w:marBottom w:val="0"/>
      <w:divBdr>
        <w:top w:val="none" w:sz="0" w:space="0" w:color="auto"/>
        <w:left w:val="none" w:sz="0" w:space="0" w:color="auto"/>
        <w:bottom w:val="none" w:sz="0" w:space="0" w:color="auto"/>
        <w:right w:val="none" w:sz="0" w:space="0" w:color="auto"/>
      </w:divBdr>
    </w:div>
    <w:div w:id="854657060">
      <w:bodyDiv w:val="1"/>
      <w:marLeft w:val="0"/>
      <w:marRight w:val="0"/>
      <w:marTop w:val="0"/>
      <w:marBottom w:val="0"/>
      <w:divBdr>
        <w:top w:val="none" w:sz="0" w:space="0" w:color="auto"/>
        <w:left w:val="none" w:sz="0" w:space="0" w:color="auto"/>
        <w:bottom w:val="none" w:sz="0" w:space="0" w:color="auto"/>
        <w:right w:val="none" w:sz="0" w:space="0" w:color="auto"/>
      </w:divBdr>
    </w:div>
    <w:div w:id="966933417">
      <w:bodyDiv w:val="1"/>
      <w:marLeft w:val="0"/>
      <w:marRight w:val="0"/>
      <w:marTop w:val="0"/>
      <w:marBottom w:val="0"/>
      <w:divBdr>
        <w:top w:val="none" w:sz="0" w:space="0" w:color="auto"/>
        <w:left w:val="none" w:sz="0" w:space="0" w:color="auto"/>
        <w:bottom w:val="none" w:sz="0" w:space="0" w:color="auto"/>
        <w:right w:val="none" w:sz="0" w:space="0" w:color="auto"/>
      </w:divBdr>
    </w:div>
    <w:div w:id="988363714">
      <w:bodyDiv w:val="1"/>
      <w:marLeft w:val="0"/>
      <w:marRight w:val="0"/>
      <w:marTop w:val="0"/>
      <w:marBottom w:val="0"/>
      <w:divBdr>
        <w:top w:val="none" w:sz="0" w:space="0" w:color="auto"/>
        <w:left w:val="none" w:sz="0" w:space="0" w:color="auto"/>
        <w:bottom w:val="none" w:sz="0" w:space="0" w:color="auto"/>
        <w:right w:val="none" w:sz="0" w:space="0" w:color="auto"/>
      </w:divBdr>
    </w:div>
    <w:div w:id="1007713249">
      <w:bodyDiv w:val="1"/>
      <w:marLeft w:val="0"/>
      <w:marRight w:val="0"/>
      <w:marTop w:val="0"/>
      <w:marBottom w:val="0"/>
      <w:divBdr>
        <w:top w:val="none" w:sz="0" w:space="0" w:color="auto"/>
        <w:left w:val="none" w:sz="0" w:space="0" w:color="auto"/>
        <w:bottom w:val="none" w:sz="0" w:space="0" w:color="auto"/>
        <w:right w:val="none" w:sz="0" w:space="0" w:color="auto"/>
      </w:divBdr>
    </w:div>
    <w:div w:id="1031107276">
      <w:bodyDiv w:val="1"/>
      <w:marLeft w:val="0"/>
      <w:marRight w:val="0"/>
      <w:marTop w:val="0"/>
      <w:marBottom w:val="0"/>
      <w:divBdr>
        <w:top w:val="none" w:sz="0" w:space="0" w:color="auto"/>
        <w:left w:val="none" w:sz="0" w:space="0" w:color="auto"/>
        <w:bottom w:val="none" w:sz="0" w:space="0" w:color="auto"/>
        <w:right w:val="none" w:sz="0" w:space="0" w:color="auto"/>
      </w:divBdr>
    </w:div>
    <w:div w:id="1064379493">
      <w:bodyDiv w:val="1"/>
      <w:marLeft w:val="0"/>
      <w:marRight w:val="0"/>
      <w:marTop w:val="0"/>
      <w:marBottom w:val="0"/>
      <w:divBdr>
        <w:top w:val="none" w:sz="0" w:space="0" w:color="auto"/>
        <w:left w:val="none" w:sz="0" w:space="0" w:color="auto"/>
        <w:bottom w:val="none" w:sz="0" w:space="0" w:color="auto"/>
        <w:right w:val="none" w:sz="0" w:space="0" w:color="auto"/>
      </w:divBdr>
    </w:div>
    <w:div w:id="1079522438">
      <w:bodyDiv w:val="1"/>
      <w:marLeft w:val="0"/>
      <w:marRight w:val="0"/>
      <w:marTop w:val="0"/>
      <w:marBottom w:val="0"/>
      <w:divBdr>
        <w:top w:val="none" w:sz="0" w:space="0" w:color="auto"/>
        <w:left w:val="none" w:sz="0" w:space="0" w:color="auto"/>
        <w:bottom w:val="none" w:sz="0" w:space="0" w:color="auto"/>
        <w:right w:val="none" w:sz="0" w:space="0" w:color="auto"/>
      </w:divBdr>
    </w:div>
    <w:div w:id="1080952532">
      <w:bodyDiv w:val="1"/>
      <w:marLeft w:val="0"/>
      <w:marRight w:val="0"/>
      <w:marTop w:val="0"/>
      <w:marBottom w:val="0"/>
      <w:divBdr>
        <w:top w:val="none" w:sz="0" w:space="0" w:color="auto"/>
        <w:left w:val="none" w:sz="0" w:space="0" w:color="auto"/>
        <w:bottom w:val="none" w:sz="0" w:space="0" w:color="auto"/>
        <w:right w:val="none" w:sz="0" w:space="0" w:color="auto"/>
      </w:divBdr>
    </w:div>
    <w:div w:id="1142574932">
      <w:bodyDiv w:val="1"/>
      <w:marLeft w:val="0"/>
      <w:marRight w:val="0"/>
      <w:marTop w:val="0"/>
      <w:marBottom w:val="0"/>
      <w:divBdr>
        <w:top w:val="none" w:sz="0" w:space="0" w:color="auto"/>
        <w:left w:val="none" w:sz="0" w:space="0" w:color="auto"/>
        <w:bottom w:val="none" w:sz="0" w:space="0" w:color="auto"/>
        <w:right w:val="none" w:sz="0" w:space="0" w:color="auto"/>
      </w:divBdr>
    </w:div>
    <w:div w:id="1151361853">
      <w:bodyDiv w:val="1"/>
      <w:marLeft w:val="0"/>
      <w:marRight w:val="0"/>
      <w:marTop w:val="0"/>
      <w:marBottom w:val="0"/>
      <w:divBdr>
        <w:top w:val="none" w:sz="0" w:space="0" w:color="auto"/>
        <w:left w:val="none" w:sz="0" w:space="0" w:color="auto"/>
        <w:bottom w:val="none" w:sz="0" w:space="0" w:color="auto"/>
        <w:right w:val="none" w:sz="0" w:space="0" w:color="auto"/>
      </w:divBdr>
    </w:div>
    <w:div w:id="1192694002">
      <w:bodyDiv w:val="1"/>
      <w:marLeft w:val="0"/>
      <w:marRight w:val="0"/>
      <w:marTop w:val="0"/>
      <w:marBottom w:val="0"/>
      <w:divBdr>
        <w:top w:val="none" w:sz="0" w:space="0" w:color="auto"/>
        <w:left w:val="none" w:sz="0" w:space="0" w:color="auto"/>
        <w:bottom w:val="none" w:sz="0" w:space="0" w:color="auto"/>
        <w:right w:val="none" w:sz="0" w:space="0" w:color="auto"/>
      </w:divBdr>
    </w:div>
    <w:div w:id="1205872676">
      <w:bodyDiv w:val="1"/>
      <w:marLeft w:val="0"/>
      <w:marRight w:val="0"/>
      <w:marTop w:val="0"/>
      <w:marBottom w:val="0"/>
      <w:divBdr>
        <w:top w:val="none" w:sz="0" w:space="0" w:color="auto"/>
        <w:left w:val="none" w:sz="0" w:space="0" w:color="auto"/>
        <w:bottom w:val="none" w:sz="0" w:space="0" w:color="auto"/>
        <w:right w:val="none" w:sz="0" w:space="0" w:color="auto"/>
      </w:divBdr>
    </w:div>
    <w:div w:id="1233203023">
      <w:bodyDiv w:val="1"/>
      <w:marLeft w:val="0"/>
      <w:marRight w:val="0"/>
      <w:marTop w:val="0"/>
      <w:marBottom w:val="0"/>
      <w:divBdr>
        <w:top w:val="none" w:sz="0" w:space="0" w:color="auto"/>
        <w:left w:val="none" w:sz="0" w:space="0" w:color="auto"/>
        <w:bottom w:val="none" w:sz="0" w:space="0" w:color="auto"/>
        <w:right w:val="none" w:sz="0" w:space="0" w:color="auto"/>
      </w:divBdr>
    </w:div>
    <w:div w:id="1288392252">
      <w:bodyDiv w:val="1"/>
      <w:marLeft w:val="0"/>
      <w:marRight w:val="0"/>
      <w:marTop w:val="0"/>
      <w:marBottom w:val="0"/>
      <w:divBdr>
        <w:top w:val="none" w:sz="0" w:space="0" w:color="auto"/>
        <w:left w:val="none" w:sz="0" w:space="0" w:color="auto"/>
        <w:bottom w:val="none" w:sz="0" w:space="0" w:color="auto"/>
        <w:right w:val="none" w:sz="0" w:space="0" w:color="auto"/>
      </w:divBdr>
    </w:div>
    <w:div w:id="1367485761">
      <w:bodyDiv w:val="1"/>
      <w:marLeft w:val="0"/>
      <w:marRight w:val="0"/>
      <w:marTop w:val="0"/>
      <w:marBottom w:val="0"/>
      <w:divBdr>
        <w:top w:val="none" w:sz="0" w:space="0" w:color="auto"/>
        <w:left w:val="none" w:sz="0" w:space="0" w:color="auto"/>
        <w:bottom w:val="none" w:sz="0" w:space="0" w:color="auto"/>
        <w:right w:val="none" w:sz="0" w:space="0" w:color="auto"/>
      </w:divBdr>
    </w:div>
    <w:div w:id="1374116426">
      <w:bodyDiv w:val="1"/>
      <w:marLeft w:val="0"/>
      <w:marRight w:val="0"/>
      <w:marTop w:val="0"/>
      <w:marBottom w:val="0"/>
      <w:divBdr>
        <w:top w:val="none" w:sz="0" w:space="0" w:color="auto"/>
        <w:left w:val="none" w:sz="0" w:space="0" w:color="auto"/>
        <w:bottom w:val="none" w:sz="0" w:space="0" w:color="auto"/>
        <w:right w:val="none" w:sz="0" w:space="0" w:color="auto"/>
      </w:divBdr>
    </w:div>
    <w:div w:id="1426413371">
      <w:bodyDiv w:val="1"/>
      <w:marLeft w:val="0"/>
      <w:marRight w:val="0"/>
      <w:marTop w:val="0"/>
      <w:marBottom w:val="0"/>
      <w:divBdr>
        <w:top w:val="none" w:sz="0" w:space="0" w:color="auto"/>
        <w:left w:val="none" w:sz="0" w:space="0" w:color="auto"/>
        <w:bottom w:val="none" w:sz="0" w:space="0" w:color="auto"/>
        <w:right w:val="none" w:sz="0" w:space="0" w:color="auto"/>
      </w:divBdr>
    </w:div>
    <w:div w:id="1426802464">
      <w:bodyDiv w:val="1"/>
      <w:marLeft w:val="0"/>
      <w:marRight w:val="0"/>
      <w:marTop w:val="0"/>
      <w:marBottom w:val="0"/>
      <w:divBdr>
        <w:top w:val="none" w:sz="0" w:space="0" w:color="auto"/>
        <w:left w:val="none" w:sz="0" w:space="0" w:color="auto"/>
        <w:bottom w:val="none" w:sz="0" w:space="0" w:color="auto"/>
        <w:right w:val="none" w:sz="0" w:space="0" w:color="auto"/>
      </w:divBdr>
    </w:div>
    <w:div w:id="1459568461">
      <w:bodyDiv w:val="1"/>
      <w:marLeft w:val="0"/>
      <w:marRight w:val="0"/>
      <w:marTop w:val="0"/>
      <w:marBottom w:val="0"/>
      <w:divBdr>
        <w:top w:val="none" w:sz="0" w:space="0" w:color="auto"/>
        <w:left w:val="none" w:sz="0" w:space="0" w:color="auto"/>
        <w:bottom w:val="none" w:sz="0" w:space="0" w:color="auto"/>
        <w:right w:val="none" w:sz="0" w:space="0" w:color="auto"/>
      </w:divBdr>
    </w:div>
    <w:div w:id="1468933353">
      <w:bodyDiv w:val="1"/>
      <w:marLeft w:val="0"/>
      <w:marRight w:val="0"/>
      <w:marTop w:val="0"/>
      <w:marBottom w:val="0"/>
      <w:divBdr>
        <w:top w:val="none" w:sz="0" w:space="0" w:color="auto"/>
        <w:left w:val="none" w:sz="0" w:space="0" w:color="auto"/>
        <w:bottom w:val="none" w:sz="0" w:space="0" w:color="auto"/>
        <w:right w:val="none" w:sz="0" w:space="0" w:color="auto"/>
      </w:divBdr>
    </w:div>
    <w:div w:id="1578633319">
      <w:bodyDiv w:val="1"/>
      <w:marLeft w:val="0"/>
      <w:marRight w:val="0"/>
      <w:marTop w:val="0"/>
      <w:marBottom w:val="0"/>
      <w:divBdr>
        <w:top w:val="none" w:sz="0" w:space="0" w:color="auto"/>
        <w:left w:val="none" w:sz="0" w:space="0" w:color="auto"/>
        <w:bottom w:val="none" w:sz="0" w:space="0" w:color="auto"/>
        <w:right w:val="none" w:sz="0" w:space="0" w:color="auto"/>
      </w:divBdr>
    </w:div>
    <w:div w:id="1605845361">
      <w:bodyDiv w:val="1"/>
      <w:marLeft w:val="0"/>
      <w:marRight w:val="0"/>
      <w:marTop w:val="0"/>
      <w:marBottom w:val="0"/>
      <w:divBdr>
        <w:top w:val="none" w:sz="0" w:space="0" w:color="auto"/>
        <w:left w:val="none" w:sz="0" w:space="0" w:color="auto"/>
        <w:bottom w:val="none" w:sz="0" w:space="0" w:color="auto"/>
        <w:right w:val="none" w:sz="0" w:space="0" w:color="auto"/>
      </w:divBdr>
    </w:div>
    <w:div w:id="1607731758">
      <w:bodyDiv w:val="1"/>
      <w:marLeft w:val="0"/>
      <w:marRight w:val="0"/>
      <w:marTop w:val="0"/>
      <w:marBottom w:val="0"/>
      <w:divBdr>
        <w:top w:val="none" w:sz="0" w:space="0" w:color="auto"/>
        <w:left w:val="none" w:sz="0" w:space="0" w:color="auto"/>
        <w:bottom w:val="none" w:sz="0" w:space="0" w:color="auto"/>
        <w:right w:val="none" w:sz="0" w:space="0" w:color="auto"/>
      </w:divBdr>
    </w:div>
    <w:div w:id="1625192776">
      <w:bodyDiv w:val="1"/>
      <w:marLeft w:val="0"/>
      <w:marRight w:val="0"/>
      <w:marTop w:val="0"/>
      <w:marBottom w:val="0"/>
      <w:divBdr>
        <w:top w:val="none" w:sz="0" w:space="0" w:color="auto"/>
        <w:left w:val="none" w:sz="0" w:space="0" w:color="auto"/>
        <w:bottom w:val="none" w:sz="0" w:space="0" w:color="auto"/>
        <w:right w:val="none" w:sz="0" w:space="0" w:color="auto"/>
      </w:divBdr>
    </w:div>
    <w:div w:id="1675373804">
      <w:bodyDiv w:val="1"/>
      <w:marLeft w:val="0"/>
      <w:marRight w:val="0"/>
      <w:marTop w:val="0"/>
      <w:marBottom w:val="0"/>
      <w:divBdr>
        <w:top w:val="none" w:sz="0" w:space="0" w:color="auto"/>
        <w:left w:val="none" w:sz="0" w:space="0" w:color="auto"/>
        <w:bottom w:val="none" w:sz="0" w:space="0" w:color="auto"/>
        <w:right w:val="none" w:sz="0" w:space="0" w:color="auto"/>
      </w:divBdr>
    </w:div>
    <w:div w:id="1745562836">
      <w:bodyDiv w:val="1"/>
      <w:marLeft w:val="0"/>
      <w:marRight w:val="0"/>
      <w:marTop w:val="0"/>
      <w:marBottom w:val="0"/>
      <w:divBdr>
        <w:top w:val="none" w:sz="0" w:space="0" w:color="auto"/>
        <w:left w:val="none" w:sz="0" w:space="0" w:color="auto"/>
        <w:bottom w:val="none" w:sz="0" w:space="0" w:color="auto"/>
        <w:right w:val="none" w:sz="0" w:space="0" w:color="auto"/>
      </w:divBdr>
    </w:div>
    <w:div w:id="1759400914">
      <w:bodyDiv w:val="1"/>
      <w:marLeft w:val="0"/>
      <w:marRight w:val="0"/>
      <w:marTop w:val="0"/>
      <w:marBottom w:val="0"/>
      <w:divBdr>
        <w:top w:val="none" w:sz="0" w:space="0" w:color="auto"/>
        <w:left w:val="none" w:sz="0" w:space="0" w:color="auto"/>
        <w:bottom w:val="none" w:sz="0" w:space="0" w:color="auto"/>
        <w:right w:val="none" w:sz="0" w:space="0" w:color="auto"/>
      </w:divBdr>
    </w:div>
    <w:div w:id="1775830176">
      <w:bodyDiv w:val="1"/>
      <w:marLeft w:val="0"/>
      <w:marRight w:val="0"/>
      <w:marTop w:val="0"/>
      <w:marBottom w:val="0"/>
      <w:divBdr>
        <w:top w:val="none" w:sz="0" w:space="0" w:color="auto"/>
        <w:left w:val="none" w:sz="0" w:space="0" w:color="auto"/>
        <w:bottom w:val="none" w:sz="0" w:space="0" w:color="auto"/>
        <w:right w:val="none" w:sz="0" w:space="0" w:color="auto"/>
      </w:divBdr>
    </w:div>
    <w:div w:id="1785416496">
      <w:bodyDiv w:val="1"/>
      <w:marLeft w:val="0"/>
      <w:marRight w:val="0"/>
      <w:marTop w:val="0"/>
      <w:marBottom w:val="0"/>
      <w:divBdr>
        <w:top w:val="none" w:sz="0" w:space="0" w:color="auto"/>
        <w:left w:val="none" w:sz="0" w:space="0" w:color="auto"/>
        <w:bottom w:val="none" w:sz="0" w:space="0" w:color="auto"/>
        <w:right w:val="none" w:sz="0" w:space="0" w:color="auto"/>
      </w:divBdr>
    </w:div>
    <w:div w:id="1847592098">
      <w:bodyDiv w:val="1"/>
      <w:marLeft w:val="0"/>
      <w:marRight w:val="0"/>
      <w:marTop w:val="0"/>
      <w:marBottom w:val="0"/>
      <w:divBdr>
        <w:top w:val="none" w:sz="0" w:space="0" w:color="auto"/>
        <w:left w:val="none" w:sz="0" w:space="0" w:color="auto"/>
        <w:bottom w:val="none" w:sz="0" w:space="0" w:color="auto"/>
        <w:right w:val="none" w:sz="0" w:space="0" w:color="auto"/>
      </w:divBdr>
    </w:div>
    <w:div w:id="1906989344">
      <w:bodyDiv w:val="1"/>
      <w:marLeft w:val="0"/>
      <w:marRight w:val="0"/>
      <w:marTop w:val="0"/>
      <w:marBottom w:val="0"/>
      <w:divBdr>
        <w:top w:val="none" w:sz="0" w:space="0" w:color="auto"/>
        <w:left w:val="none" w:sz="0" w:space="0" w:color="auto"/>
        <w:bottom w:val="none" w:sz="0" w:space="0" w:color="auto"/>
        <w:right w:val="none" w:sz="0" w:space="0" w:color="auto"/>
      </w:divBdr>
    </w:div>
    <w:div w:id="1940984931">
      <w:bodyDiv w:val="1"/>
      <w:marLeft w:val="0"/>
      <w:marRight w:val="0"/>
      <w:marTop w:val="0"/>
      <w:marBottom w:val="0"/>
      <w:divBdr>
        <w:top w:val="none" w:sz="0" w:space="0" w:color="auto"/>
        <w:left w:val="none" w:sz="0" w:space="0" w:color="auto"/>
        <w:bottom w:val="none" w:sz="0" w:space="0" w:color="auto"/>
        <w:right w:val="none" w:sz="0" w:space="0" w:color="auto"/>
      </w:divBdr>
    </w:div>
    <w:div w:id="1946694619">
      <w:bodyDiv w:val="1"/>
      <w:marLeft w:val="0"/>
      <w:marRight w:val="0"/>
      <w:marTop w:val="0"/>
      <w:marBottom w:val="0"/>
      <w:divBdr>
        <w:top w:val="none" w:sz="0" w:space="0" w:color="auto"/>
        <w:left w:val="none" w:sz="0" w:space="0" w:color="auto"/>
        <w:bottom w:val="none" w:sz="0" w:space="0" w:color="auto"/>
        <w:right w:val="none" w:sz="0" w:space="0" w:color="auto"/>
      </w:divBdr>
    </w:div>
    <w:div w:id="1967195964">
      <w:bodyDiv w:val="1"/>
      <w:marLeft w:val="0"/>
      <w:marRight w:val="0"/>
      <w:marTop w:val="0"/>
      <w:marBottom w:val="0"/>
      <w:divBdr>
        <w:top w:val="none" w:sz="0" w:space="0" w:color="auto"/>
        <w:left w:val="none" w:sz="0" w:space="0" w:color="auto"/>
        <w:bottom w:val="none" w:sz="0" w:space="0" w:color="auto"/>
        <w:right w:val="none" w:sz="0" w:space="0" w:color="auto"/>
      </w:divBdr>
    </w:div>
    <w:div w:id="1999574547">
      <w:bodyDiv w:val="1"/>
      <w:marLeft w:val="0"/>
      <w:marRight w:val="0"/>
      <w:marTop w:val="0"/>
      <w:marBottom w:val="0"/>
      <w:divBdr>
        <w:top w:val="none" w:sz="0" w:space="0" w:color="auto"/>
        <w:left w:val="none" w:sz="0" w:space="0" w:color="auto"/>
        <w:bottom w:val="none" w:sz="0" w:space="0" w:color="auto"/>
        <w:right w:val="none" w:sz="0" w:space="0" w:color="auto"/>
      </w:divBdr>
    </w:div>
    <w:div w:id="2010206386">
      <w:bodyDiv w:val="1"/>
      <w:marLeft w:val="0"/>
      <w:marRight w:val="0"/>
      <w:marTop w:val="0"/>
      <w:marBottom w:val="0"/>
      <w:divBdr>
        <w:top w:val="none" w:sz="0" w:space="0" w:color="auto"/>
        <w:left w:val="none" w:sz="0" w:space="0" w:color="auto"/>
        <w:bottom w:val="none" w:sz="0" w:space="0" w:color="auto"/>
        <w:right w:val="none" w:sz="0" w:space="0" w:color="auto"/>
      </w:divBdr>
    </w:div>
    <w:div w:id="2012489331">
      <w:bodyDiv w:val="1"/>
      <w:marLeft w:val="0"/>
      <w:marRight w:val="0"/>
      <w:marTop w:val="0"/>
      <w:marBottom w:val="0"/>
      <w:divBdr>
        <w:top w:val="none" w:sz="0" w:space="0" w:color="auto"/>
        <w:left w:val="none" w:sz="0" w:space="0" w:color="auto"/>
        <w:bottom w:val="none" w:sz="0" w:space="0" w:color="auto"/>
        <w:right w:val="none" w:sz="0" w:space="0" w:color="auto"/>
      </w:divBdr>
    </w:div>
    <w:div w:id="2112776975">
      <w:bodyDiv w:val="1"/>
      <w:marLeft w:val="0"/>
      <w:marRight w:val="0"/>
      <w:marTop w:val="0"/>
      <w:marBottom w:val="0"/>
      <w:divBdr>
        <w:top w:val="none" w:sz="0" w:space="0" w:color="auto"/>
        <w:left w:val="none" w:sz="0" w:space="0" w:color="auto"/>
        <w:bottom w:val="none" w:sz="0" w:space="0" w:color="auto"/>
        <w:right w:val="none" w:sz="0" w:space="0" w:color="auto"/>
      </w:divBdr>
    </w:div>
    <w:div w:id="21286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ur-lex.europa.eu/legal-content/EN-LV/TXT/?uri=CELEX:32016L2102&amp;from=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sv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w3.org/TR/WCAG20/"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vs.lv/lv/products/1335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7" ma:contentTypeDescription="Izveidot jaunu dokumentu." ma:contentTypeScope="" ma:versionID="9078bd0ed13cfe5a3bf8f0b68f90b03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6c017a4739c86e61732a6df26aafd558"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F773-A194-4782-BC3B-3CC4E9CF7CC4}">
  <ds:schemaRefs>
    <ds:schemaRef ds:uri="http://schemas.microsoft.com/sharepoint/v3/contenttype/forms"/>
  </ds:schemaRefs>
</ds:datastoreItem>
</file>

<file path=customXml/itemProps2.xml><?xml version="1.0" encoding="utf-8"?>
<ds:datastoreItem xmlns:ds="http://schemas.openxmlformats.org/officeDocument/2006/customXml" ds:itemID="{4F8FD461-43E0-4BDB-9AB8-819D8B0D7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6E59D-668F-4894-A32D-09373E076E46}">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4.xml><?xml version="1.0" encoding="utf-8"?>
<ds:datastoreItem xmlns:ds="http://schemas.openxmlformats.org/officeDocument/2006/customXml" ds:itemID="{7C3F1C9E-F4D5-44FE-94D8-694CBE72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35</Pages>
  <Words>5840</Words>
  <Characters>33291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Pirta</dc:creator>
  <cp:keywords/>
  <dc:description/>
  <cp:lastModifiedBy>Rūta Pirta</cp:lastModifiedBy>
  <cp:revision>54</cp:revision>
  <dcterms:created xsi:type="dcterms:W3CDTF">2025-01-03T09:22:00Z</dcterms:created>
  <dcterms:modified xsi:type="dcterms:W3CDTF">2025-01-15T18:08:00Z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