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03ABF" w14:textId="77777777" w:rsidR="00F23E30" w:rsidRPr="00C27E83" w:rsidRDefault="00F23E30" w:rsidP="00F23E30">
      <w:pPr>
        <w:rPr>
          <w:lang w:val="lv-LV"/>
        </w:rPr>
      </w:pPr>
    </w:p>
    <w:p w14:paraId="70BAAAC5" w14:textId="77777777" w:rsidR="00F23E30" w:rsidRPr="00C27E83" w:rsidRDefault="00F23E30" w:rsidP="00F23E30">
      <w:pPr>
        <w:spacing w:after="60" w:line="240" w:lineRule="auto"/>
        <w:rPr>
          <w:lang w:val="lv-LV"/>
        </w:rPr>
      </w:pPr>
    </w:p>
    <w:p w14:paraId="44362B4C" w14:textId="77777777" w:rsidR="00F23E30" w:rsidRPr="00C27E83" w:rsidRDefault="00F23E30" w:rsidP="00F23E30">
      <w:pPr>
        <w:spacing w:after="60" w:line="240" w:lineRule="auto"/>
        <w:rPr>
          <w:lang w:val="lv-LV"/>
        </w:rPr>
      </w:pPr>
    </w:p>
    <w:p w14:paraId="6D27D374" w14:textId="77777777" w:rsidR="00F23E30" w:rsidRPr="00C27E83" w:rsidRDefault="00F23E30" w:rsidP="00F23E30">
      <w:pPr>
        <w:spacing w:after="60" w:line="240" w:lineRule="auto"/>
        <w:rPr>
          <w:lang w:val="lv-LV"/>
        </w:rPr>
      </w:pPr>
    </w:p>
    <w:p w14:paraId="2BE808F8" w14:textId="77777777" w:rsidR="00F23E30" w:rsidRPr="00C27E83" w:rsidRDefault="00F23E30" w:rsidP="00F23E30">
      <w:pPr>
        <w:spacing w:after="60" w:line="240" w:lineRule="auto"/>
        <w:rPr>
          <w:lang w:val="lv-LV"/>
        </w:rPr>
      </w:pPr>
    </w:p>
    <w:p w14:paraId="7FACE76F" w14:textId="77777777" w:rsidR="00F23E30" w:rsidRPr="00C27E83" w:rsidRDefault="00F23E30" w:rsidP="00F23E30">
      <w:pPr>
        <w:keepNext/>
        <w:pBdr>
          <w:top w:val="nil"/>
          <w:left w:val="nil"/>
          <w:bottom w:val="nil"/>
          <w:right w:val="nil"/>
          <w:between w:val="nil"/>
        </w:pBdr>
        <w:spacing w:after="60" w:line="240" w:lineRule="auto"/>
        <w:rPr>
          <w:color w:val="A32020"/>
          <w:sz w:val="52"/>
          <w:szCs w:val="52"/>
          <w:lang w:val="lv-LV"/>
        </w:rPr>
      </w:pPr>
      <w:bookmarkStart w:id="0" w:name="_heading=h.gjdgxs" w:colFirst="0" w:colLast="0"/>
      <w:bookmarkEnd w:id="0"/>
    </w:p>
    <w:p w14:paraId="27378942" w14:textId="77777777" w:rsidR="00F23E30" w:rsidRPr="00C27E83" w:rsidRDefault="00F23E30" w:rsidP="00F23E30">
      <w:pPr>
        <w:keepNext/>
        <w:pBdr>
          <w:top w:val="nil"/>
          <w:left w:val="nil"/>
          <w:bottom w:val="nil"/>
          <w:right w:val="nil"/>
          <w:between w:val="nil"/>
        </w:pBdr>
        <w:spacing w:after="60" w:line="240" w:lineRule="auto"/>
        <w:ind w:left="284"/>
        <w:jc w:val="center"/>
        <w:rPr>
          <w:color w:val="A32020"/>
          <w:sz w:val="52"/>
          <w:szCs w:val="52"/>
          <w:lang w:val="lv-LV"/>
        </w:rPr>
      </w:pPr>
    </w:p>
    <w:p w14:paraId="361554A4" w14:textId="1BFD28C0" w:rsidR="00F23E30" w:rsidRPr="00F23E30" w:rsidRDefault="00F23E30" w:rsidP="00434999">
      <w:pPr>
        <w:keepNext/>
        <w:pBdr>
          <w:top w:val="nil"/>
          <w:left w:val="nil"/>
          <w:bottom w:val="nil"/>
          <w:right w:val="nil"/>
          <w:between w:val="nil"/>
        </w:pBdr>
        <w:spacing w:after="60" w:line="240" w:lineRule="auto"/>
        <w:ind w:left="1389" w:hanging="709"/>
        <w:jc w:val="center"/>
        <w:rPr>
          <w:b/>
          <w:bCs/>
          <w:sz w:val="52"/>
          <w:szCs w:val="52"/>
          <w:lang w:val="lv-LV"/>
        </w:rPr>
      </w:pPr>
      <w:r w:rsidRPr="00F23E30">
        <w:rPr>
          <w:b/>
          <w:bCs/>
          <w:sz w:val="52"/>
          <w:szCs w:val="52"/>
          <w:lang w:val="lv-LV"/>
        </w:rPr>
        <w:t>Valsts digitāl</w:t>
      </w:r>
      <w:r w:rsidR="00434999">
        <w:rPr>
          <w:b/>
          <w:bCs/>
          <w:sz w:val="52"/>
          <w:szCs w:val="52"/>
          <w:lang w:val="lv-LV"/>
        </w:rPr>
        <w:t xml:space="preserve">ās pārvaldes </w:t>
      </w:r>
      <w:r w:rsidRPr="00F23E30">
        <w:rPr>
          <w:b/>
          <w:bCs/>
          <w:sz w:val="52"/>
          <w:szCs w:val="52"/>
          <w:lang w:val="lv-LV"/>
        </w:rPr>
        <w:t>arhitektūras principi</w:t>
      </w:r>
    </w:p>
    <w:p w14:paraId="510082D8" w14:textId="77777777" w:rsidR="00F23E30" w:rsidRPr="00C27E83" w:rsidRDefault="00F23E30" w:rsidP="00F23E30">
      <w:pPr>
        <w:keepNext/>
        <w:pBdr>
          <w:top w:val="nil"/>
          <w:left w:val="nil"/>
          <w:bottom w:val="nil"/>
          <w:right w:val="nil"/>
          <w:between w:val="nil"/>
        </w:pBdr>
        <w:spacing w:after="60" w:line="240" w:lineRule="auto"/>
        <w:ind w:left="1389" w:hanging="709"/>
        <w:jc w:val="center"/>
        <w:rPr>
          <w:rFonts w:cstheme="minorHAnsi"/>
          <w:sz w:val="32"/>
          <w:szCs w:val="32"/>
          <w:lang w:val="lv-LV"/>
        </w:rPr>
      </w:pPr>
      <w:r w:rsidRPr="00C27E83">
        <w:rPr>
          <w:rFonts w:asciiTheme="majorBidi" w:hAnsiTheme="majorBidi" w:cstheme="majorBidi"/>
          <w:color w:val="A32020"/>
          <w:sz w:val="32"/>
          <w:szCs w:val="32"/>
          <w:lang w:val="lv-LV"/>
        </w:rPr>
        <w:br/>
      </w:r>
      <w:r w:rsidRPr="00C27E83">
        <w:rPr>
          <w:rFonts w:cstheme="minorHAnsi"/>
          <w:sz w:val="32"/>
          <w:szCs w:val="32"/>
          <w:lang w:val="lv-LV"/>
        </w:rPr>
        <w:t>Viedās administrācijas un reģionālās attīstības ministrija</w:t>
      </w:r>
    </w:p>
    <w:p w14:paraId="27C8D74A" w14:textId="77777777" w:rsidR="00F23E30" w:rsidRPr="00C27E83" w:rsidRDefault="00F23E30" w:rsidP="00F23E30">
      <w:pPr>
        <w:spacing w:after="60" w:line="240" w:lineRule="auto"/>
        <w:rPr>
          <w:lang w:val="lv-LV"/>
        </w:rPr>
      </w:pPr>
    </w:p>
    <w:p w14:paraId="5EF7E80E" w14:textId="77777777" w:rsidR="00F23E30" w:rsidRPr="00C27E83" w:rsidRDefault="00F23E30" w:rsidP="00F23E30">
      <w:pPr>
        <w:spacing w:after="60" w:line="240" w:lineRule="auto"/>
        <w:rPr>
          <w:lang w:val="lv-LV"/>
        </w:rPr>
      </w:pPr>
    </w:p>
    <w:p w14:paraId="678E4770" w14:textId="77777777" w:rsidR="00F23E30" w:rsidRPr="00C27E83" w:rsidRDefault="00F23E30" w:rsidP="00F23E30">
      <w:pPr>
        <w:spacing w:after="60" w:line="240" w:lineRule="auto"/>
        <w:rPr>
          <w:lang w:val="lv-LV"/>
        </w:rPr>
      </w:pPr>
    </w:p>
    <w:p w14:paraId="5857722C" w14:textId="77777777" w:rsidR="00F23E30" w:rsidRPr="00C27E83" w:rsidRDefault="00F23E30" w:rsidP="00F23E30">
      <w:pPr>
        <w:spacing w:after="60" w:line="240" w:lineRule="auto"/>
        <w:rPr>
          <w:lang w:val="lv-LV"/>
        </w:rPr>
      </w:pPr>
    </w:p>
    <w:p w14:paraId="443443CF" w14:textId="77777777" w:rsidR="00F23E30" w:rsidRPr="00C27E83" w:rsidRDefault="00F23E30" w:rsidP="00F23E30">
      <w:pPr>
        <w:spacing w:after="60" w:line="240" w:lineRule="auto"/>
        <w:rPr>
          <w:lang w:val="lv-LV"/>
        </w:rPr>
      </w:pPr>
    </w:p>
    <w:p w14:paraId="241A33CB" w14:textId="77777777" w:rsidR="00F23E30" w:rsidRPr="00C27E83" w:rsidRDefault="00F23E30" w:rsidP="00F23E30">
      <w:pPr>
        <w:spacing w:after="60" w:line="240" w:lineRule="auto"/>
        <w:rPr>
          <w:lang w:val="lv-LV"/>
        </w:rPr>
      </w:pPr>
    </w:p>
    <w:p w14:paraId="1C41B330" w14:textId="77777777" w:rsidR="00F23E30" w:rsidRPr="00C27E83" w:rsidRDefault="00F23E30" w:rsidP="00F23E30">
      <w:pPr>
        <w:spacing w:after="60" w:line="240" w:lineRule="auto"/>
        <w:rPr>
          <w:lang w:val="lv-LV"/>
        </w:rPr>
      </w:pPr>
    </w:p>
    <w:p w14:paraId="1F83F402" w14:textId="77777777" w:rsidR="00F23E30" w:rsidRPr="00C27E83" w:rsidRDefault="00F23E30" w:rsidP="00F23E30">
      <w:pPr>
        <w:spacing w:after="60" w:line="240" w:lineRule="auto"/>
        <w:jc w:val="center"/>
        <w:rPr>
          <w:lang w:val="lv-LV"/>
        </w:rPr>
      </w:pPr>
      <w:r w:rsidRPr="00C27E83">
        <w:rPr>
          <w:lang w:val="lv-LV"/>
        </w:rPr>
        <w:tab/>
      </w:r>
      <w:r w:rsidRPr="00C27E83">
        <w:rPr>
          <w:lang w:val="lv-LV"/>
        </w:rPr>
        <w:tab/>
      </w:r>
    </w:p>
    <w:p w14:paraId="2434B3B7" w14:textId="77777777" w:rsidR="00F23E30" w:rsidRPr="00C27E83" w:rsidRDefault="00F23E30" w:rsidP="00F23E30">
      <w:pPr>
        <w:spacing w:after="60" w:line="240" w:lineRule="auto"/>
        <w:jc w:val="center"/>
        <w:rPr>
          <w:lang w:val="lv-LV"/>
        </w:rPr>
      </w:pPr>
    </w:p>
    <w:p w14:paraId="14DF35CC" w14:textId="77777777" w:rsidR="00F23E30" w:rsidRPr="00C27E83" w:rsidRDefault="00F23E30" w:rsidP="00F23E30">
      <w:pPr>
        <w:spacing w:after="60" w:line="240" w:lineRule="auto"/>
        <w:jc w:val="center"/>
        <w:rPr>
          <w:lang w:val="lv-LV"/>
        </w:rPr>
      </w:pPr>
    </w:p>
    <w:p w14:paraId="521F7D12" w14:textId="77777777" w:rsidR="00F23E30" w:rsidRPr="00C27E83" w:rsidRDefault="00F23E30" w:rsidP="00F23E30">
      <w:pPr>
        <w:spacing w:after="60" w:line="240" w:lineRule="auto"/>
        <w:jc w:val="center"/>
        <w:rPr>
          <w:lang w:val="lv-LV"/>
        </w:rPr>
      </w:pPr>
    </w:p>
    <w:p w14:paraId="1D0DEA97" w14:textId="77777777" w:rsidR="00F23E30" w:rsidRPr="00C27E83" w:rsidRDefault="00F23E30" w:rsidP="00F23E30">
      <w:pPr>
        <w:spacing w:after="60" w:line="240" w:lineRule="auto"/>
        <w:jc w:val="center"/>
        <w:rPr>
          <w:lang w:val="lv-LV"/>
        </w:rPr>
      </w:pPr>
    </w:p>
    <w:p w14:paraId="39ED6E89" w14:textId="77777777" w:rsidR="00F23E30" w:rsidRPr="00C27E83" w:rsidRDefault="00F23E30" w:rsidP="00F23E30">
      <w:pPr>
        <w:spacing w:after="60" w:line="240" w:lineRule="auto"/>
        <w:jc w:val="center"/>
        <w:rPr>
          <w:sz w:val="32"/>
          <w:szCs w:val="32"/>
          <w:lang w:val="lv-LV"/>
        </w:rPr>
        <w:sectPr w:rsidR="00F23E30" w:rsidRPr="00C27E83" w:rsidSect="00F23E30">
          <w:headerReference w:type="default" r:id="rId11"/>
          <w:footerReference w:type="default" r:id="rId12"/>
          <w:headerReference w:type="first" r:id="rId13"/>
          <w:footerReference w:type="first" r:id="rId14"/>
          <w:pgSz w:w="11906" w:h="16838"/>
          <w:pgMar w:top="1440" w:right="1800" w:bottom="1440" w:left="851" w:header="708" w:footer="708" w:gutter="0"/>
          <w:pgNumType w:start="1"/>
          <w:cols w:space="720" w:equalWidth="0">
            <w:col w:w="9360"/>
          </w:cols>
          <w:titlePg/>
          <w:docGrid w:linePitch="272"/>
        </w:sectPr>
      </w:pPr>
      <w:r w:rsidRPr="00C27E83">
        <w:rPr>
          <w:sz w:val="32"/>
          <w:szCs w:val="32"/>
          <w:lang w:val="lv-LV"/>
        </w:rPr>
        <w:t>2024</w:t>
      </w:r>
    </w:p>
    <w:p w14:paraId="33186736" w14:textId="77777777" w:rsidR="00972A8D" w:rsidRDefault="00972A8D" w:rsidP="00972A8D">
      <w:pPr>
        <w:rPr>
          <w:rFonts w:asciiTheme="majorHAnsi" w:hAnsiTheme="majorHAnsi"/>
          <w:sz w:val="28"/>
          <w:szCs w:val="28"/>
          <w:lang w:val="lv-LV"/>
        </w:rPr>
      </w:pPr>
      <w:bookmarkStart w:id="1" w:name="_Toc183708557"/>
      <w:bookmarkStart w:id="2" w:name="_Hlk184736886"/>
      <w:r w:rsidRPr="00972A8D">
        <w:rPr>
          <w:rFonts w:asciiTheme="majorHAnsi" w:hAnsiTheme="majorHAnsi"/>
          <w:sz w:val="28"/>
          <w:szCs w:val="28"/>
          <w:lang w:val="lv-LV"/>
        </w:rPr>
        <w:lastRenderedPageBreak/>
        <w:t>Izmaiņu vēsture</w:t>
      </w:r>
    </w:p>
    <w:tbl>
      <w:tblPr>
        <w:tblStyle w:val="PwCTableText11331"/>
        <w:tblW w:w="5000" w:type="pct"/>
        <w:tblLook w:val="04A0" w:firstRow="1" w:lastRow="0" w:firstColumn="1" w:lastColumn="0" w:noHBand="0" w:noVBand="1"/>
      </w:tblPr>
      <w:tblGrid>
        <w:gridCol w:w="236"/>
        <w:gridCol w:w="1280"/>
        <w:gridCol w:w="3922"/>
        <w:gridCol w:w="3922"/>
      </w:tblGrid>
      <w:tr w:rsidR="00E37790" w:rsidRPr="00E37790" w14:paraId="01F59BD1" w14:textId="691781DB" w:rsidTr="00E37790">
        <w:trPr>
          <w:cnfStyle w:val="100000000000" w:firstRow="1" w:lastRow="0" w:firstColumn="0" w:lastColumn="0" w:oddVBand="0" w:evenVBand="0" w:oddHBand="0" w:evenHBand="0" w:firstRowFirstColumn="0" w:firstRowLastColumn="0" w:lastRowFirstColumn="0" w:lastRowLastColumn="0"/>
          <w:tblHeader/>
        </w:trPr>
        <w:tc>
          <w:tcPr>
            <w:tcW w:w="126" w:type="pct"/>
            <w:tcBorders>
              <w:top w:val="nil"/>
              <w:bottom w:val="single" w:sz="36" w:space="0" w:color="FFFFFF"/>
            </w:tcBorders>
            <w:shd w:val="clear" w:color="auto" w:fill="156082" w:themeFill="accent1"/>
            <w:vAlign w:val="top"/>
          </w:tcPr>
          <w:p w14:paraId="00BAF955" w14:textId="77777777" w:rsidR="00E37790" w:rsidRPr="00E37790" w:rsidRDefault="00E37790" w:rsidP="001316F2">
            <w:pPr>
              <w:spacing w:after="120"/>
              <w:ind w:left="346"/>
              <w:rPr>
                <w:rFonts w:asciiTheme="minorHAnsi" w:hAnsiTheme="minorHAnsi"/>
                <w:sz w:val="22"/>
                <w:szCs w:val="22"/>
              </w:rPr>
            </w:pPr>
          </w:p>
        </w:tc>
        <w:tc>
          <w:tcPr>
            <w:tcW w:w="684" w:type="pct"/>
            <w:tcBorders>
              <w:top w:val="nil"/>
              <w:bottom w:val="single" w:sz="36" w:space="0" w:color="FFFFFF"/>
            </w:tcBorders>
            <w:shd w:val="clear" w:color="auto" w:fill="343434"/>
            <w:vAlign w:val="top"/>
          </w:tcPr>
          <w:p w14:paraId="1FFBE97A" w14:textId="53E72181" w:rsidR="00E37790" w:rsidRPr="00E37790" w:rsidRDefault="00E37790" w:rsidP="001316F2">
            <w:pPr>
              <w:rPr>
                <w:rFonts w:asciiTheme="minorHAnsi" w:eastAsia="Arial" w:hAnsiTheme="minorHAnsi" w:cs="Times New Roman"/>
                <w:color w:val="FFFFFF"/>
                <w:sz w:val="22"/>
                <w:szCs w:val="22"/>
              </w:rPr>
            </w:pPr>
            <w:proofErr w:type="spellStart"/>
            <w:r w:rsidRPr="00E37790">
              <w:rPr>
                <w:rFonts w:asciiTheme="minorHAnsi" w:eastAsia="Arial" w:hAnsiTheme="minorHAnsi" w:cs="Times New Roman"/>
                <w:color w:val="FFFFFF"/>
                <w:sz w:val="22"/>
                <w:szCs w:val="22"/>
              </w:rPr>
              <w:t>Versija</w:t>
            </w:r>
            <w:proofErr w:type="spellEnd"/>
          </w:p>
        </w:tc>
        <w:tc>
          <w:tcPr>
            <w:tcW w:w="2095" w:type="pct"/>
            <w:tcBorders>
              <w:top w:val="nil"/>
              <w:bottom w:val="single" w:sz="36" w:space="0" w:color="FFFFFF"/>
            </w:tcBorders>
            <w:shd w:val="clear" w:color="auto" w:fill="595959"/>
            <w:vAlign w:val="top"/>
          </w:tcPr>
          <w:p w14:paraId="1E38BE9F" w14:textId="11397734" w:rsidR="00E37790" w:rsidRPr="00E37790" w:rsidRDefault="00E37790" w:rsidP="001316F2">
            <w:pPr>
              <w:rPr>
                <w:rFonts w:asciiTheme="minorHAnsi" w:eastAsia="Arial" w:hAnsiTheme="minorHAnsi" w:cs="Times New Roman"/>
                <w:color w:val="FFFFFF"/>
                <w:sz w:val="22"/>
                <w:szCs w:val="22"/>
              </w:rPr>
            </w:pPr>
            <w:r w:rsidRPr="00E37790">
              <w:rPr>
                <w:rFonts w:asciiTheme="minorHAnsi" w:eastAsia="Arial" w:hAnsiTheme="minorHAnsi" w:cs="Times New Roman"/>
                <w:color w:val="FFFFFF"/>
                <w:sz w:val="22"/>
                <w:szCs w:val="22"/>
              </w:rPr>
              <w:t>Datums</w:t>
            </w:r>
          </w:p>
        </w:tc>
        <w:tc>
          <w:tcPr>
            <w:tcW w:w="2095" w:type="pct"/>
            <w:tcBorders>
              <w:top w:val="nil"/>
              <w:bottom w:val="single" w:sz="36" w:space="0" w:color="FFFFFF"/>
            </w:tcBorders>
            <w:shd w:val="clear" w:color="auto" w:fill="595959"/>
          </w:tcPr>
          <w:p w14:paraId="45DDAD56" w14:textId="6796D6CC" w:rsidR="00E37790" w:rsidRPr="00E37790" w:rsidRDefault="00E37790" w:rsidP="001316F2">
            <w:pPr>
              <w:rPr>
                <w:rFonts w:asciiTheme="minorHAnsi" w:eastAsia="Arial" w:hAnsiTheme="minorHAnsi" w:cs="Times New Roman"/>
                <w:color w:val="FFFFFF"/>
                <w:sz w:val="22"/>
                <w:szCs w:val="22"/>
              </w:rPr>
            </w:pPr>
            <w:proofErr w:type="spellStart"/>
            <w:r w:rsidRPr="00E37790">
              <w:rPr>
                <w:rFonts w:asciiTheme="minorHAnsi" w:eastAsia="Arial" w:hAnsiTheme="minorHAnsi" w:cs="Times New Roman"/>
                <w:color w:val="FFFFFF"/>
                <w:sz w:val="22"/>
                <w:szCs w:val="22"/>
              </w:rPr>
              <w:t>Autors</w:t>
            </w:r>
            <w:proofErr w:type="spellEnd"/>
          </w:p>
        </w:tc>
      </w:tr>
      <w:tr w:rsidR="00E37790" w:rsidRPr="00E37790" w14:paraId="1064D223" w14:textId="5419098E" w:rsidTr="00E37790">
        <w:tc>
          <w:tcPr>
            <w:tcW w:w="126" w:type="pct"/>
            <w:tcBorders>
              <w:top w:val="single" w:sz="18" w:space="0" w:color="FFFFFF"/>
              <w:bottom w:val="single" w:sz="18" w:space="0" w:color="FFFFFF"/>
            </w:tcBorders>
            <w:shd w:val="clear" w:color="auto" w:fill="E5E5E5"/>
            <w:vAlign w:val="top"/>
          </w:tcPr>
          <w:p w14:paraId="466745AE" w14:textId="77777777" w:rsidR="00E37790" w:rsidRPr="00E37790" w:rsidRDefault="00E37790" w:rsidP="00E37790">
            <w:pPr>
              <w:spacing w:after="120"/>
              <w:rPr>
                <w:rFonts w:asciiTheme="minorHAnsi" w:hAnsiTheme="minorHAnsi"/>
                <w:sz w:val="22"/>
                <w:szCs w:val="22"/>
              </w:rPr>
            </w:pPr>
          </w:p>
        </w:tc>
        <w:tc>
          <w:tcPr>
            <w:tcW w:w="684" w:type="pct"/>
            <w:tcBorders>
              <w:top w:val="single" w:sz="18" w:space="0" w:color="FFFFFF"/>
              <w:bottom w:val="single" w:sz="18" w:space="0" w:color="FFFFFF"/>
            </w:tcBorders>
            <w:shd w:val="clear" w:color="auto" w:fill="F2F2F2"/>
            <w:vAlign w:val="top"/>
          </w:tcPr>
          <w:p w14:paraId="02E8EE82" w14:textId="026BDC6C" w:rsidR="00E37790" w:rsidRPr="00E37790" w:rsidRDefault="00E37790" w:rsidP="00E37790">
            <w:pPr>
              <w:rPr>
                <w:rFonts w:asciiTheme="minorHAnsi" w:hAnsiTheme="minorHAnsi"/>
                <w:sz w:val="22"/>
                <w:szCs w:val="22"/>
              </w:rPr>
            </w:pPr>
            <w:r w:rsidRPr="00E37790">
              <w:rPr>
                <w:rFonts w:asciiTheme="minorHAnsi" w:hAnsiTheme="minorHAnsi" w:cstheme="minorHAnsi"/>
                <w:sz w:val="22"/>
                <w:szCs w:val="22"/>
                <w:lang w:val="lv-LV"/>
              </w:rPr>
              <w:t>0.1</w:t>
            </w:r>
          </w:p>
        </w:tc>
        <w:tc>
          <w:tcPr>
            <w:tcW w:w="2095" w:type="pct"/>
            <w:tcBorders>
              <w:top w:val="single" w:sz="2" w:space="0" w:color="BFBFBF"/>
              <w:bottom w:val="single" w:sz="2" w:space="0" w:color="BFBFBF"/>
            </w:tcBorders>
            <w:vAlign w:val="top"/>
          </w:tcPr>
          <w:p w14:paraId="3D12AC32" w14:textId="66236A74" w:rsidR="00E37790" w:rsidRPr="00E37790" w:rsidRDefault="00E37790" w:rsidP="00E37790">
            <w:pPr>
              <w:rPr>
                <w:rFonts w:asciiTheme="minorHAnsi" w:hAnsiTheme="minorHAnsi"/>
                <w:sz w:val="22"/>
                <w:szCs w:val="22"/>
              </w:rPr>
            </w:pPr>
            <w:r w:rsidRPr="00E37790">
              <w:rPr>
                <w:rFonts w:asciiTheme="minorHAnsi" w:eastAsia="Arial" w:hAnsiTheme="minorHAnsi" w:cstheme="minorHAnsi"/>
                <w:sz w:val="22"/>
                <w:szCs w:val="22"/>
                <w:lang w:val="lv-LV"/>
              </w:rPr>
              <w:t>2024. gada 10.decembris</w:t>
            </w:r>
          </w:p>
        </w:tc>
        <w:tc>
          <w:tcPr>
            <w:tcW w:w="2095" w:type="pct"/>
            <w:tcBorders>
              <w:top w:val="single" w:sz="2" w:space="0" w:color="BFBFBF"/>
              <w:bottom w:val="single" w:sz="2" w:space="0" w:color="BFBFBF"/>
            </w:tcBorders>
          </w:tcPr>
          <w:p w14:paraId="5F9074E2" w14:textId="43022E61" w:rsidR="00E37790" w:rsidRPr="00E37790" w:rsidRDefault="00E37790" w:rsidP="00E37790">
            <w:pPr>
              <w:rPr>
                <w:rFonts w:asciiTheme="minorHAnsi" w:eastAsia="Arial" w:hAnsiTheme="minorHAnsi" w:cstheme="minorHAnsi"/>
                <w:sz w:val="22"/>
                <w:szCs w:val="22"/>
                <w:lang w:val="lv-LV"/>
              </w:rPr>
            </w:pPr>
            <w:proofErr w:type="spellStart"/>
            <w:r w:rsidRPr="00E37790">
              <w:rPr>
                <w:sz w:val="22"/>
                <w:szCs w:val="22"/>
                <w:lang w:val="lv-LV"/>
              </w:rPr>
              <w:t>R.Pirta</w:t>
            </w:r>
            <w:proofErr w:type="spellEnd"/>
          </w:p>
        </w:tc>
      </w:tr>
      <w:tr w:rsidR="00E37790" w:rsidRPr="00E37790" w14:paraId="7B60F089" w14:textId="0863DADE" w:rsidTr="00E37790">
        <w:tc>
          <w:tcPr>
            <w:tcW w:w="126" w:type="pct"/>
            <w:tcBorders>
              <w:top w:val="single" w:sz="18" w:space="0" w:color="FFFFFF"/>
              <w:bottom w:val="single" w:sz="18" w:space="0" w:color="FFFFFF"/>
            </w:tcBorders>
            <w:shd w:val="clear" w:color="auto" w:fill="E5E5E5"/>
            <w:vAlign w:val="top"/>
          </w:tcPr>
          <w:p w14:paraId="06DE3646" w14:textId="77777777" w:rsidR="00E37790" w:rsidRPr="00E37790" w:rsidRDefault="00E37790" w:rsidP="00E37790">
            <w:pPr>
              <w:spacing w:after="120"/>
              <w:rPr>
                <w:rFonts w:asciiTheme="minorHAnsi" w:hAnsiTheme="minorHAnsi"/>
                <w:sz w:val="22"/>
                <w:szCs w:val="22"/>
              </w:rPr>
            </w:pPr>
          </w:p>
        </w:tc>
        <w:tc>
          <w:tcPr>
            <w:tcW w:w="684" w:type="pct"/>
            <w:tcBorders>
              <w:top w:val="single" w:sz="18" w:space="0" w:color="FFFFFF"/>
              <w:bottom w:val="single" w:sz="18" w:space="0" w:color="FFFFFF"/>
            </w:tcBorders>
            <w:shd w:val="clear" w:color="auto" w:fill="F2F2F2"/>
            <w:vAlign w:val="top"/>
          </w:tcPr>
          <w:p w14:paraId="15D4DFB1" w14:textId="5B960829" w:rsidR="00E37790" w:rsidRPr="00E37790" w:rsidRDefault="00E37790" w:rsidP="00E37790">
            <w:pPr>
              <w:rPr>
                <w:rFonts w:asciiTheme="minorHAnsi" w:hAnsiTheme="minorHAnsi"/>
                <w:sz w:val="22"/>
                <w:szCs w:val="22"/>
              </w:rPr>
            </w:pPr>
            <w:r w:rsidRPr="00E37790">
              <w:rPr>
                <w:rFonts w:asciiTheme="minorHAnsi" w:hAnsiTheme="minorHAnsi" w:cstheme="minorHAnsi"/>
                <w:sz w:val="22"/>
                <w:szCs w:val="22"/>
                <w:lang w:val="lv-LV"/>
              </w:rPr>
              <w:t>0.2.</w:t>
            </w:r>
          </w:p>
        </w:tc>
        <w:tc>
          <w:tcPr>
            <w:tcW w:w="2095" w:type="pct"/>
            <w:tcBorders>
              <w:top w:val="single" w:sz="2" w:space="0" w:color="BFBFBF"/>
              <w:bottom w:val="single" w:sz="2" w:space="0" w:color="BFBFBF"/>
            </w:tcBorders>
            <w:vAlign w:val="top"/>
          </w:tcPr>
          <w:p w14:paraId="22964EFC" w14:textId="71F70B39" w:rsidR="00E37790" w:rsidRPr="00E37790" w:rsidRDefault="00E37790" w:rsidP="00E37790">
            <w:pPr>
              <w:rPr>
                <w:rFonts w:asciiTheme="minorHAnsi" w:hAnsiTheme="minorHAnsi"/>
                <w:sz w:val="22"/>
                <w:szCs w:val="22"/>
              </w:rPr>
            </w:pPr>
            <w:r w:rsidRPr="00E37790">
              <w:rPr>
                <w:rFonts w:asciiTheme="minorHAnsi" w:eastAsia="Arial" w:hAnsiTheme="minorHAnsi" w:cstheme="minorHAnsi"/>
                <w:sz w:val="22"/>
                <w:szCs w:val="22"/>
                <w:lang w:val="lv-LV"/>
              </w:rPr>
              <w:t>2024.gada 30.decembris</w:t>
            </w:r>
          </w:p>
        </w:tc>
        <w:tc>
          <w:tcPr>
            <w:tcW w:w="2095" w:type="pct"/>
            <w:tcBorders>
              <w:top w:val="single" w:sz="2" w:space="0" w:color="BFBFBF"/>
              <w:bottom w:val="single" w:sz="2" w:space="0" w:color="BFBFBF"/>
            </w:tcBorders>
          </w:tcPr>
          <w:p w14:paraId="79D026E6" w14:textId="45BA0C90" w:rsidR="00E37790" w:rsidRPr="00E37790" w:rsidRDefault="00E37790" w:rsidP="00E37790">
            <w:pPr>
              <w:rPr>
                <w:rFonts w:asciiTheme="minorHAnsi" w:eastAsia="Arial" w:hAnsiTheme="minorHAnsi" w:cstheme="minorHAnsi"/>
                <w:sz w:val="22"/>
                <w:szCs w:val="22"/>
                <w:lang w:val="lv-LV"/>
              </w:rPr>
            </w:pPr>
            <w:proofErr w:type="spellStart"/>
            <w:r w:rsidRPr="00E37790">
              <w:rPr>
                <w:sz w:val="22"/>
                <w:szCs w:val="22"/>
                <w:lang w:val="lv-LV"/>
              </w:rPr>
              <w:t>R.Pirta</w:t>
            </w:r>
            <w:proofErr w:type="spellEnd"/>
          </w:p>
        </w:tc>
      </w:tr>
      <w:tr w:rsidR="00E37790" w:rsidRPr="00E37790" w14:paraId="4667DFA6" w14:textId="02B87562" w:rsidTr="00E37790">
        <w:tc>
          <w:tcPr>
            <w:tcW w:w="126" w:type="pct"/>
            <w:tcBorders>
              <w:top w:val="single" w:sz="18" w:space="0" w:color="FFFFFF"/>
              <w:bottom w:val="single" w:sz="18" w:space="0" w:color="FFFFFF"/>
            </w:tcBorders>
            <w:shd w:val="clear" w:color="auto" w:fill="E5E5E5"/>
            <w:vAlign w:val="top"/>
          </w:tcPr>
          <w:p w14:paraId="50F8B38D" w14:textId="77777777" w:rsidR="00E37790" w:rsidRPr="00E37790" w:rsidRDefault="00E37790" w:rsidP="00E37790">
            <w:pPr>
              <w:spacing w:after="120"/>
              <w:rPr>
                <w:rFonts w:asciiTheme="minorHAnsi" w:hAnsiTheme="minorHAnsi"/>
                <w:sz w:val="22"/>
                <w:szCs w:val="22"/>
              </w:rPr>
            </w:pPr>
          </w:p>
        </w:tc>
        <w:tc>
          <w:tcPr>
            <w:tcW w:w="684" w:type="pct"/>
            <w:tcBorders>
              <w:top w:val="single" w:sz="18" w:space="0" w:color="FFFFFF"/>
              <w:bottom w:val="single" w:sz="18" w:space="0" w:color="FFFFFF"/>
            </w:tcBorders>
            <w:shd w:val="clear" w:color="auto" w:fill="F2F2F2"/>
            <w:vAlign w:val="top"/>
          </w:tcPr>
          <w:p w14:paraId="700D04C2" w14:textId="65138603" w:rsidR="00E37790" w:rsidRPr="00E37790" w:rsidRDefault="00E37790" w:rsidP="00E37790">
            <w:pPr>
              <w:rPr>
                <w:rFonts w:asciiTheme="minorHAnsi" w:hAnsiTheme="minorHAnsi"/>
                <w:sz w:val="22"/>
                <w:szCs w:val="22"/>
              </w:rPr>
            </w:pPr>
          </w:p>
        </w:tc>
        <w:tc>
          <w:tcPr>
            <w:tcW w:w="2095" w:type="pct"/>
            <w:tcBorders>
              <w:top w:val="single" w:sz="2" w:space="0" w:color="BFBFBF"/>
              <w:bottom w:val="single" w:sz="2" w:space="0" w:color="BFBFBF"/>
            </w:tcBorders>
            <w:vAlign w:val="top"/>
          </w:tcPr>
          <w:p w14:paraId="3E7C6CD4" w14:textId="044EFB83" w:rsidR="00E37790" w:rsidRPr="00E37790" w:rsidRDefault="00E37790" w:rsidP="00E37790">
            <w:pPr>
              <w:rPr>
                <w:rFonts w:asciiTheme="minorHAnsi" w:hAnsiTheme="minorHAnsi"/>
                <w:sz w:val="22"/>
                <w:szCs w:val="22"/>
              </w:rPr>
            </w:pPr>
          </w:p>
        </w:tc>
        <w:tc>
          <w:tcPr>
            <w:tcW w:w="2095" w:type="pct"/>
            <w:tcBorders>
              <w:top w:val="single" w:sz="2" w:space="0" w:color="BFBFBF"/>
              <w:bottom w:val="single" w:sz="2" w:space="0" w:color="BFBFBF"/>
            </w:tcBorders>
          </w:tcPr>
          <w:p w14:paraId="797BCFD8" w14:textId="77777777" w:rsidR="00E37790" w:rsidRPr="00E37790" w:rsidRDefault="00E37790" w:rsidP="00E37790">
            <w:pPr>
              <w:rPr>
                <w:rFonts w:asciiTheme="minorHAnsi" w:hAnsiTheme="minorHAnsi"/>
                <w:sz w:val="22"/>
                <w:szCs w:val="22"/>
              </w:rPr>
            </w:pPr>
          </w:p>
        </w:tc>
      </w:tr>
      <w:tr w:rsidR="00E37790" w:rsidRPr="00E37790" w14:paraId="5D41F01B" w14:textId="753D1169" w:rsidTr="00E37790">
        <w:tc>
          <w:tcPr>
            <w:tcW w:w="126" w:type="pct"/>
            <w:tcBorders>
              <w:top w:val="single" w:sz="18" w:space="0" w:color="FFFFFF"/>
              <w:bottom w:val="single" w:sz="18" w:space="0" w:color="FFFFFF"/>
            </w:tcBorders>
            <w:shd w:val="clear" w:color="auto" w:fill="E5E5E5"/>
            <w:vAlign w:val="top"/>
          </w:tcPr>
          <w:p w14:paraId="19FBCCF5" w14:textId="77777777" w:rsidR="00E37790" w:rsidRPr="00E37790" w:rsidRDefault="00E37790" w:rsidP="00E37790">
            <w:pPr>
              <w:spacing w:after="120"/>
              <w:rPr>
                <w:rFonts w:asciiTheme="minorHAnsi" w:hAnsiTheme="minorHAnsi"/>
                <w:sz w:val="22"/>
                <w:szCs w:val="22"/>
              </w:rPr>
            </w:pPr>
          </w:p>
        </w:tc>
        <w:tc>
          <w:tcPr>
            <w:tcW w:w="684" w:type="pct"/>
            <w:tcBorders>
              <w:top w:val="single" w:sz="18" w:space="0" w:color="FFFFFF"/>
              <w:bottom w:val="single" w:sz="18" w:space="0" w:color="FFFFFF"/>
            </w:tcBorders>
            <w:shd w:val="clear" w:color="auto" w:fill="F2F2F2"/>
            <w:vAlign w:val="top"/>
          </w:tcPr>
          <w:p w14:paraId="6BF28AD3" w14:textId="2B7D8C61" w:rsidR="00E37790" w:rsidRPr="00E37790" w:rsidRDefault="00E37790" w:rsidP="00E37790">
            <w:pPr>
              <w:rPr>
                <w:rFonts w:asciiTheme="minorHAnsi" w:hAnsiTheme="minorHAnsi"/>
                <w:sz w:val="22"/>
                <w:szCs w:val="22"/>
              </w:rPr>
            </w:pPr>
          </w:p>
        </w:tc>
        <w:tc>
          <w:tcPr>
            <w:tcW w:w="2095" w:type="pct"/>
            <w:tcBorders>
              <w:top w:val="single" w:sz="2" w:space="0" w:color="BFBFBF"/>
              <w:bottom w:val="single" w:sz="2" w:space="0" w:color="BFBFBF"/>
            </w:tcBorders>
            <w:vAlign w:val="top"/>
          </w:tcPr>
          <w:p w14:paraId="52C4A6DB" w14:textId="39090E7C" w:rsidR="00E37790" w:rsidRPr="00E37790" w:rsidRDefault="00E37790" w:rsidP="00E37790">
            <w:pPr>
              <w:rPr>
                <w:rFonts w:asciiTheme="minorHAnsi" w:hAnsiTheme="minorHAnsi"/>
                <w:sz w:val="22"/>
                <w:szCs w:val="22"/>
              </w:rPr>
            </w:pPr>
          </w:p>
        </w:tc>
        <w:tc>
          <w:tcPr>
            <w:tcW w:w="2095" w:type="pct"/>
            <w:tcBorders>
              <w:top w:val="single" w:sz="2" w:space="0" w:color="BFBFBF"/>
              <w:bottom w:val="single" w:sz="2" w:space="0" w:color="BFBFBF"/>
            </w:tcBorders>
          </w:tcPr>
          <w:p w14:paraId="42D1CFDF" w14:textId="77777777" w:rsidR="00E37790" w:rsidRPr="00E37790" w:rsidRDefault="00E37790" w:rsidP="00E37790">
            <w:pPr>
              <w:rPr>
                <w:rFonts w:asciiTheme="minorHAnsi" w:hAnsiTheme="minorHAnsi"/>
                <w:sz w:val="22"/>
                <w:szCs w:val="22"/>
              </w:rPr>
            </w:pPr>
          </w:p>
        </w:tc>
      </w:tr>
    </w:tbl>
    <w:p w14:paraId="5B8E64B9" w14:textId="77777777" w:rsidR="00E37790" w:rsidRPr="00972A8D" w:rsidRDefault="00E37790" w:rsidP="00972A8D">
      <w:pPr>
        <w:rPr>
          <w:rFonts w:asciiTheme="majorHAnsi" w:hAnsiTheme="majorHAnsi"/>
          <w:sz w:val="28"/>
          <w:szCs w:val="28"/>
          <w:lang w:val="lv-LV"/>
        </w:rPr>
      </w:pPr>
    </w:p>
    <w:p w14:paraId="7BACE69F" w14:textId="77777777" w:rsidR="00972A8D" w:rsidRPr="00972A8D" w:rsidRDefault="00972A8D" w:rsidP="00972A8D">
      <w:pPr>
        <w:sectPr w:rsidR="00972A8D" w:rsidRPr="00972A8D">
          <w:pgSz w:w="12240" w:h="15840"/>
          <w:pgMar w:top="1440" w:right="1440" w:bottom="1440" w:left="1440" w:header="720" w:footer="720" w:gutter="0"/>
          <w:cols w:space="720"/>
          <w:docGrid w:linePitch="360"/>
        </w:sectPr>
      </w:pPr>
    </w:p>
    <w:p w14:paraId="15041BED" w14:textId="14744DB7" w:rsidR="00972A8D" w:rsidRPr="00972A8D" w:rsidRDefault="00972A8D" w:rsidP="00D5520A">
      <w:pPr>
        <w:pStyle w:val="Heading1"/>
        <w:numPr>
          <w:ilvl w:val="0"/>
          <w:numId w:val="4"/>
        </w:numPr>
      </w:pPr>
      <w:proofErr w:type="spellStart"/>
      <w:r w:rsidRPr="00972A8D">
        <w:lastRenderedPageBreak/>
        <w:t>Ievads</w:t>
      </w:r>
      <w:bookmarkEnd w:id="1"/>
      <w:proofErr w:type="spellEnd"/>
    </w:p>
    <w:bookmarkEnd w:id="2"/>
    <w:p w14:paraId="4C8786BC" w14:textId="1FFECC0C" w:rsidR="00AC772B" w:rsidRDefault="00AC772B" w:rsidP="004C2471">
      <w:pPr>
        <w:jc w:val="both"/>
        <w:rPr>
          <w:lang w:val="lv-LV"/>
        </w:rPr>
      </w:pPr>
      <w:r>
        <w:rPr>
          <w:lang w:val="lv-LV"/>
        </w:rPr>
        <w:t xml:space="preserve">Dokumenta mērķis ir definēt nacionālā līmeņa arhitektūras principus, kas jāņem vērā, izstrādājot jomu un IKT risinājumu arhitektūras. </w:t>
      </w:r>
    </w:p>
    <w:p w14:paraId="722FB096" w14:textId="157F2B23" w:rsidR="00D831D9" w:rsidRDefault="00D831D9" w:rsidP="004C2471">
      <w:pPr>
        <w:jc w:val="both"/>
        <w:rPr>
          <w:lang w:val="lv-LV"/>
        </w:rPr>
      </w:pPr>
      <w:r>
        <w:rPr>
          <w:lang w:val="lv-LV"/>
        </w:rPr>
        <w:t xml:space="preserve">Valsts digitālo pakalpojumu arhitektūras principi iedalīti </w:t>
      </w:r>
      <w:r w:rsidR="004C2471">
        <w:rPr>
          <w:lang w:val="lv-LV"/>
        </w:rPr>
        <w:t>trīs</w:t>
      </w:r>
      <w:r>
        <w:rPr>
          <w:lang w:val="lv-LV"/>
        </w:rPr>
        <w:t xml:space="preserve"> grupās:</w:t>
      </w:r>
    </w:p>
    <w:p w14:paraId="12CC3A21" w14:textId="0054BDB8" w:rsidR="00D831D9" w:rsidRPr="008E3698" w:rsidRDefault="00D831D9" w:rsidP="00D5520A">
      <w:pPr>
        <w:pStyle w:val="ListParagraph"/>
        <w:numPr>
          <w:ilvl w:val="0"/>
          <w:numId w:val="3"/>
        </w:numPr>
        <w:spacing w:before="120" w:after="60" w:line="240" w:lineRule="auto"/>
        <w:jc w:val="both"/>
        <w:rPr>
          <w:lang w:val="lv-LV"/>
        </w:rPr>
      </w:pPr>
      <w:r w:rsidRPr="008E3698">
        <w:rPr>
          <w:b/>
          <w:bCs/>
          <w:lang w:val="lv-LV"/>
        </w:rPr>
        <w:t>Vispārējie principi</w:t>
      </w:r>
      <w:r w:rsidRPr="008E3698">
        <w:rPr>
          <w:lang w:val="lv-LV"/>
        </w:rPr>
        <w:t xml:space="preserve"> – principi, kas attiecināmi uz visiem arhitektūras skatiem</w:t>
      </w:r>
      <w:r w:rsidR="002F05D2">
        <w:rPr>
          <w:lang w:val="lv-LV"/>
        </w:rPr>
        <w:t>.</w:t>
      </w:r>
    </w:p>
    <w:p w14:paraId="17FB8DE8" w14:textId="464184B5" w:rsidR="00D831D9" w:rsidRPr="008E3698" w:rsidRDefault="00D831D9" w:rsidP="00D5520A">
      <w:pPr>
        <w:pStyle w:val="ListParagraph"/>
        <w:numPr>
          <w:ilvl w:val="0"/>
          <w:numId w:val="3"/>
        </w:numPr>
        <w:spacing w:before="120" w:after="60" w:line="240" w:lineRule="auto"/>
        <w:jc w:val="both"/>
        <w:rPr>
          <w:b/>
          <w:bCs/>
          <w:i/>
          <w:iCs/>
          <w:lang w:val="lv-LV"/>
        </w:rPr>
      </w:pPr>
      <w:r w:rsidRPr="008E3698">
        <w:rPr>
          <w:b/>
          <w:bCs/>
          <w:lang w:val="lv-LV"/>
        </w:rPr>
        <w:t xml:space="preserve">Semantiskie principi </w:t>
      </w:r>
      <w:r w:rsidRPr="008E3698">
        <w:rPr>
          <w:lang w:val="lv-LV"/>
        </w:rPr>
        <w:t>– principi, kas nosaka datu arhitektūras izveidi un pārvaldību</w:t>
      </w:r>
      <w:r w:rsidR="002F05D2">
        <w:rPr>
          <w:lang w:val="lv-LV"/>
        </w:rPr>
        <w:t>.</w:t>
      </w:r>
      <w:r w:rsidRPr="008E3698">
        <w:rPr>
          <w:i/>
          <w:iCs/>
          <w:lang w:val="lv-LV"/>
        </w:rPr>
        <w:t xml:space="preserve"> </w:t>
      </w:r>
    </w:p>
    <w:p w14:paraId="76BB8437" w14:textId="6A97FC7E" w:rsidR="00D831D9" w:rsidRDefault="00D831D9" w:rsidP="00D5520A">
      <w:pPr>
        <w:pStyle w:val="ListParagraph"/>
        <w:numPr>
          <w:ilvl w:val="0"/>
          <w:numId w:val="3"/>
        </w:numPr>
        <w:spacing w:before="120" w:after="60" w:line="240" w:lineRule="auto"/>
        <w:jc w:val="both"/>
        <w:rPr>
          <w:lang w:val="lv-LV"/>
        </w:rPr>
      </w:pPr>
      <w:r w:rsidRPr="008E3698">
        <w:rPr>
          <w:b/>
          <w:bCs/>
          <w:lang w:val="lv-LV"/>
        </w:rPr>
        <w:t xml:space="preserve">Tehniskie principi </w:t>
      </w:r>
      <w:r w:rsidRPr="008E3698">
        <w:rPr>
          <w:lang w:val="lv-LV"/>
        </w:rPr>
        <w:t>– principi, kas attiecināmi uz informācijas sistēmām, to sadarbību, kā arī sistēmu darbībai nepieciešamās infrastruktūras arhitektūras izveidi</w:t>
      </w:r>
      <w:r w:rsidR="002F05D2">
        <w:rPr>
          <w:lang w:val="lv-LV"/>
        </w:rPr>
        <w:t>.</w:t>
      </w:r>
    </w:p>
    <w:p w14:paraId="2F6E408F" w14:textId="3C258326" w:rsidR="00D831D9" w:rsidRDefault="00D831D9" w:rsidP="004C2471">
      <w:pPr>
        <w:spacing w:before="120" w:after="60" w:line="240" w:lineRule="auto"/>
        <w:jc w:val="both"/>
        <w:rPr>
          <w:lang w:val="lv-LV"/>
        </w:rPr>
      </w:pPr>
      <w:r>
        <w:rPr>
          <w:lang w:val="lv-LV"/>
        </w:rPr>
        <w:t xml:space="preserve">Principiem tiks definētas piemērošanas vadlīnijas, kā arī kontrolsaraksts prasību atbilstības novērtējumam.  </w:t>
      </w:r>
    </w:p>
    <w:p w14:paraId="5153F3C1" w14:textId="59492830" w:rsidR="005E02C2" w:rsidRPr="005E02C2" w:rsidRDefault="005E02C2" w:rsidP="004C2471">
      <w:pPr>
        <w:spacing w:before="120" w:after="60" w:line="240" w:lineRule="auto"/>
        <w:jc w:val="both"/>
        <w:rPr>
          <w:iCs/>
          <w:lang w:val="lv-LV"/>
        </w:rPr>
      </w:pPr>
      <w:r w:rsidRPr="005E02C2">
        <w:rPr>
          <w:iCs/>
          <w:lang w:val="lv-LV"/>
        </w:rPr>
        <w:t>Dokumenta mērķauditorija ir:</w:t>
      </w:r>
    </w:p>
    <w:p w14:paraId="1CBB236F" w14:textId="0681C991" w:rsidR="005E02C2" w:rsidRPr="005E02C2" w:rsidRDefault="005E02C2" w:rsidP="00D5520A">
      <w:pPr>
        <w:numPr>
          <w:ilvl w:val="0"/>
          <w:numId w:val="5"/>
        </w:numPr>
        <w:spacing w:before="120" w:after="60" w:line="240" w:lineRule="auto"/>
        <w:jc w:val="both"/>
        <w:rPr>
          <w:iCs/>
          <w:lang w:val="lv-LV"/>
        </w:rPr>
      </w:pPr>
      <w:r>
        <w:rPr>
          <w:b/>
          <w:bCs/>
          <w:iCs/>
          <w:lang w:val="lv-LV"/>
        </w:rPr>
        <w:t>Valsts pārvaldes i</w:t>
      </w:r>
      <w:r w:rsidRPr="005E02C2">
        <w:rPr>
          <w:b/>
          <w:bCs/>
          <w:iCs/>
          <w:lang w:val="lv-LV"/>
        </w:rPr>
        <w:t>estādes</w:t>
      </w:r>
      <w:r w:rsidRPr="005E02C2">
        <w:rPr>
          <w:iCs/>
          <w:lang w:val="lv-LV"/>
        </w:rPr>
        <w:t xml:space="preserve"> –</w:t>
      </w:r>
      <w:r>
        <w:rPr>
          <w:iCs/>
          <w:lang w:val="lv-LV"/>
        </w:rPr>
        <w:t xml:space="preserve"> jomas arhitektūru,</w:t>
      </w:r>
      <w:r w:rsidRPr="005E02C2">
        <w:rPr>
          <w:iCs/>
          <w:lang w:val="lv-LV"/>
        </w:rPr>
        <w:t xml:space="preserve"> </w:t>
      </w:r>
      <w:r w:rsidR="00BD2F4B">
        <w:rPr>
          <w:iCs/>
          <w:lang w:val="lv-LV"/>
        </w:rPr>
        <w:t xml:space="preserve">digitālo pakalpojumu un </w:t>
      </w:r>
      <w:r>
        <w:rPr>
          <w:iCs/>
          <w:lang w:val="lv-LV"/>
        </w:rPr>
        <w:t>IKT</w:t>
      </w:r>
      <w:r w:rsidRPr="005E02C2">
        <w:rPr>
          <w:iCs/>
          <w:lang w:val="lv-LV"/>
        </w:rPr>
        <w:t xml:space="preserve"> risinājumu arhitektūras plānošanai.</w:t>
      </w:r>
    </w:p>
    <w:p w14:paraId="524B1784" w14:textId="77777777" w:rsidR="005E02C2" w:rsidRDefault="005E02C2" w:rsidP="00D5520A">
      <w:pPr>
        <w:numPr>
          <w:ilvl w:val="0"/>
          <w:numId w:val="5"/>
        </w:numPr>
        <w:spacing w:before="120" w:after="60" w:line="240" w:lineRule="auto"/>
        <w:jc w:val="both"/>
        <w:rPr>
          <w:iCs/>
          <w:lang w:val="lv-LV"/>
        </w:rPr>
      </w:pPr>
      <w:r w:rsidRPr="005E02C2">
        <w:rPr>
          <w:b/>
          <w:bCs/>
          <w:iCs/>
          <w:lang w:val="lv-LV"/>
        </w:rPr>
        <w:t>Valsts IKT politikas plānotāji</w:t>
      </w:r>
      <w:r w:rsidRPr="005E02C2">
        <w:rPr>
          <w:iCs/>
          <w:lang w:val="lv-LV"/>
        </w:rPr>
        <w:t xml:space="preserve"> – valsts IKT arhitektūras plānošanai un pārvaldībai.</w:t>
      </w:r>
    </w:p>
    <w:p w14:paraId="57CC5CC9" w14:textId="364AC271" w:rsidR="00BD2F4B" w:rsidRDefault="00BD2F4B" w:rsidP="004C2471">
      <w:pPr>
        <w:spacing w:before="120" w:after="60" w:line="240" w:lineRule="auto"/>
        <w:jc w:val="both"/>
        <w:rPr>
          <w:iCs/>
          <w:lang w:val="lv-LV"/>
        </w:rPr>
      </w:pPr>
      <w:r w:rsidRPr="00BD2F4B">
        <w:rPr>
          <w:iCs/>
          <w:lang w:val="lv-LV"/>
        </w:rPr>
        <w:t>Nacionālās līmeņa arhitektūras principi ir izstrādāti kā vispārējs</w:t>
      </w:r>
      <w:r>
        <w:rPr>
          <w:iCs/>
          <w:lang w:val="lv-LV"/>
        </w:rPr>
        <w:t xml:space="preserve"> metodiskais</w:t>
      </w:r>
      <w:r w:rsidRPr="00BD2F4B">
        <w:rPr>
          <w:iCs/>
          <w:lang w:val="lv-LV"/>
        </w:rPr>
        <w:t xml:space="preserve"> ietvars, kas piemērojams visām valsts pārvaldes iestādēm. Tajos noteikti galvenie nosacījumi </w:t>
      </w:r>
      <w:proofErr w:type="spellStart"/>
      <w:r w:rsidRPr="00BD2F4B">
        <w:rPr>
          <w:iCs/>
          <w:lang w:val="lv-LV"/>
        </w:rPr>
        <w:t>sadarbspējas</w:t>
      </w:r>
      <w:proofErr w:type="spellEnd"/>
      <w:r w:rsidRPr="00BD2F4B">
        <w:rPr>
          <w:iCs/>
          <w:lang w:val="lv-LV"/>
        </w:rPr>
        <w:t xml:space="preserve"> nodrošināšanai, un tie kalpo kā vienots vadmotīvs iniciatīvām visos līmeņos</w:t>
      </w:r>
      <w:r>
        <w:rPr>
          <w:iCs/>
          <w:lang w:val="lv-LV"/>
        </w:rPr>
        <w:t>.</w:t>
      </w:r>
    </w:p>
    <w:p w14:paraId="2BA33E24" w14:textId="53F317DC" w:rsidR="00694273" w:rsidRDefault="00694273" w:rsidP="004C2471">
      <w:pPr>
        <w:spacing w:before="120" w:after="60" w:line="240" w:lineRule="auto"/>
        <w:jc w:val="both"/>
        <w:rPr>
          <w:iCs/>
          <w:lang w:val="lv-LV"/>
        </w:rPr>
      </w:pPr>
      <w:r>
        <w:rPr>
          <w:iCs/>
          <w:lang w:val="lv-LV"/>
        </w:rPr>
        <w:t>Dokumentā izmantoto terminu un saīsinājumu apraksts skatāms 1.tabulā.</w:t>
      </w:r>
    </w:p>
    <w:p w14:paraId="04E98FAA" w14:textId="77777777" w:rsidR="00FF477B" w:rsidRDefault="00FF477B" w:rsidP="004C2471">
      <w:pPr>
        <w:spacing w:before="120" w:after="60" w:line="240" w:lineRule="auto"/>
        <w:jc w:val="both"/>
        <w:rPr>
          <w:iCs/>
          <w:lang w:val="lv-LV"/>
        </w:rPr>
      </w:pPr>
    </w:p>
    <w:p w14:paraId="29EE871F" w14:textId="3F4D2A77" w:rsidR="00FF477B" w:rsidRPr="00FF477B" w:rsidRDefault="00FF477B" w:rsidP="00FF477B">
      <w:pPr>
        <w:keepNext/>
        <w:rPr>
          <w:i/>
          <w:iCs/>
          <w:color w:val="0E2841" w:themeColor="text2"/>
          <w:szCs w:val="18"/>
        </w:rPr>
      </w:pPr>
      <w:r w:rsidRPr="00A45190">
        <w:rPr>
          <w:i/>
          <w:iCs/>
          <w:color w:val="0E2841" w:themeColor="text2"/>
          <w:szCs w:val="18"/>
        </w:rPr>
        <w:t xml:space="preserve">Tabula </w:t>
      </w:r>
      <w:r w:rsidRPr="00A45190">
        <w:rPr>
          <w:i/>
          <w:color w:val="0E2841" w:themeColor="text2"/>
          <w:szCs w:val="18"/>
          <w:shd w:val="clear" w:color="auto" w:fill="E6E6E6"/>
        </w:rPr>
        <w:fldChar w:fldCharType="begin"/>
      </w:r>
      <w:r w:rsidRPr="00A45190">
        <w:rPr>
          <w:i/>
          <w:iCs/>
          <w:color w:val="0E2841" w:themeColor="text2"/>
          <w:szCs w:val="18"/>
        </w:rPr>
        <w:instrText xml:space="preserve"> SEQ Tabula \* ARABIC </w:instrText>
      </w:r>
      <w:r w:rsidRPr="00A45190">
        <w:rPr>
          <w:i/>
          <w:color w:val="0E2841" w:themeColor="text2"/>
          <w:szCs w:val="18"/>
          <w:shd w:val="clear" w:color="auto" w:fill="E6E6E6"/>
        </w:rPr>
        <w:fldChar w:fldCharType="separate"/>
      </w:r>
      <w:r>
        <w:rPr>
          <w:i/>
          <w:iCs/>
          <w:noProof/>
          <w:color w:val="0E2841" w:themeColor="text2"/>
          <w:szCs w:val="18"/>
        </w:rPr>
        <w:t>1</w:t>
      </w:r>
      <w:r w:rsidRPr="00A45190">
        <w:rPr>
          <w:i/>
          <w:color w:val="0E2841" w:themeColor="text2"/>
          <w:szCs w:val="18"/>
          <w:shd w:val="clear" w:color="auto" w:fill="E6E6E6"/>
        </w:rPr>
        <w:fldChar w:fldCharType="end"/>
      </w:r>
      <w:r w:rsidRPr="00A45190">
        <w:rPr>
          <w:i/>
          <w:iCs/>
          <w:color w:val="0E2841" w:themeColor="text2"/>
          <w:szCs w:val="18"/>
        </w:rPr>
        <w:t xml:space="preserve">. </w:t>
      </w:r>
      <w:proofErr w:type="spellStart"/>
      <w:r w:rsidRPr="00A45190">
        <w:rPr>
          <w:i/>
          <w:iCs/>
          <w:color w:val="0E2841" w:themeColor="text2"/>
          <w:szCs w:val="18"/>
        </w:rPr>
        <w:t>Saīsinājumi</w:t>
      </w:r>
      <w:proofErr w:type="spellEnd"/>
      <w:r w:rsidRPr="00A45190">
        <w:rPr>
          <w:i/>
          <w:iCs/>
          <w:color w:val="0E2841" w:themeColor="text2"/>
          <w:szCs w:val="18"/>
        </w:rPr>
        <w:t xml:space="preserve"> un </w:t>
      </w:r>
      <w:proofErr w:type="spellStart"/>
      <w:r w:rsidRPr="00A45190">
        <w:rPr>
          <w:i/>
          <w:iCs/>
          <w:color w:val="0E2841" w:themeColor="text2"/>
          <w:szCs w:val="18"/>
        </w:rPr>
        <w:t>terminu</w:t>
      </w:r>
      <w:proofErr w:type="spellEnd"/>
      <w:r w:rsidRPr="00A45190">
        <w:rPr>
          <w:i/>
          <w:iCs/>
          <w:color w:val="0E2841" w:themeColor="text2"/>
          <w:szCs w:val="18"/>
        </w:rPr>
        <w:t xml:space="preserve"> </w:t>
      </w:r>
      <w:proofErr w:type="spellStart"/>
      <w:r w:rsidRPr="00A45190">
        <w:rPr>
          <w:i/>
          <w:iCs/>
          <w:color w:val="0E2841" w:themeColor="text2"/>
          <w:szCs w:val="18"/>
        </w:rPr>
        <w:t>skaidrojumi</w:t>
      </w:r>
      <w:proofErr w:type="spellEnd"/>
    </w:p>
    <w:tbl>
      <w:tblPr>
        <w:tblStyle w:val="PwCTableText11331"/>
        <w:tblW w:w="5000" w:type="pct"/>
        <w:tblLook w:val="04A0" w:firstRow="1" w:lastRow="0" w:firstColumn="1" w:lastColumn="0" w:noHBand="0" w:noVBand="1"/>
      </w:tblPr>
      <w:tblGrid>
        <w:gridCol w:w="236"/>
        <w:gridCol w:w="1964"/>
        <w:gridCol w:w="7160"/>
      </w:tblGrid>
      <w:tr w:rsidR="00092E36" w:rsidRPr="00FC236C" w14:paraId="397EE13F" w14:textId="77777777" w:rsidTr="00E37790">
        <w:trPr>
          <w:cnfStyle w:val="100000000000" w:firstRow="1" w:lastRow="0" w:firstColumn="0" w:lastColumn="0" w:oddVBand="0" w:evenVBand="0" w:oddHBand="0" w:evenHBand="0" w:firstRowFirstColumn="0" w:firstRowLastColumn="0" w:lastRowFirstColumn="0" w:lastRowLastColumn="0"/>
          <w:tblHeader/>
        </w:trPr>
        <w:tc>
          <w:tcPr>
            <w:tcW w:w="126" w:type="pct"/>
            <w:tcBorders>
              <w:top w:val="nil"/>
              <w:bottom w:val="single" w:sz="36" w:space="0" w:color="FFFFFF"/>
            </w:tcBorders>
            <w:shd w:val="clear" w:color="auto" w:fill="156082" w:themeFill="accent1"/>
            <w:vAlign w:val="top"/>
          </w:tcPr>
          <w:p w14:paraId="1190468F" w14:textId="77777777" w:rsidR="00092E36" w:rsidRPr="00FC236C" w:rsidRDefault="00092E36" w:rsidP="001316F2">
            <w:pPr>
              <w:spacing w:after="120"/>
              <w:ind w:left="346"/>
              <w:rPr>
                <w:rFonts w:asciiTheme="minorHAnsi" w:hAnsiTheme="minorHAnsi"/>
                <w:sz w:val="22"/>
                <w:szCs w:val="22"/>
                <w:lang w:val="lv-LV"/>
              </w:rPr>
            </w:pPr>
          </w:p>
        </w:tc>
        <w:tc>
          <w:tcPr>
            <w:tcW w:w="1049" w:type="pct"/>
            <w:tcBorders>
              <w:top w:val="nil"/>
              <w:bottom w:val="single" w:sz="36" w:space="0" w:color="FFFFFF"/>
            </w:tcBorders>
            <w:shd w:val="clear" w:color="auto" w:fill="343434"/>
            <w:vAlign w:val="top"/>
          </w:tcPr>
          <w:p w14:paraId="66EF9DF6" w14:textId="77777777" w:rsidR="00092E36" w:rsidRPr="00FC236C" w:rsidRDefault="00092E36" w:rsidP="001316F2">
            <w:pPr>
              <w:rPr>
                <w:rFonts w:asciiTheme="minorHAnsi" w:eastAsia="Arial" w:hAnsiTheme="minorHAnsi" w:cs="Times New Roman"/>
                <w:color w:val="FFFFFF"/>
                <w:sz w:val="22"/>
                <w:szCs w:val="22"/>
                <w:lang w:val="lv-LV"/>
              </w:rPr>
            </w:pPr>
            <w:r w:rsidRPr="00FC236C">
              <w:rPr>
                <w:rFonts w:asciiTheme="minorHAnsi" w:eastAsia="Arial" w:hAnsiTheme="minorHAnsi" w:cs="Times New Roman"/>
                <w:color w:val="FFFFFF"/>
                <w:sz w:val="22"/>
                <w:szCs w:val="22"/>
                <w:lang w:val="lv-LV"/>
              </w:rPr>
              <w:t>Saīsinājums</w:t>
            </w:r>
          </w:p>
        </w:tc>
        <w:tc>
          <w:tcPr>
            <w:tcW w:w="3825" w:type="pct"/>
            <w:tcBorders>
              <w:top w:val="nil"/>
              <w:bottom w:val="single" w:sz="36" w:space="0" w:color="FFFFFF"/>
            </w:tcBorders>
            <w:shd w:val="clear" w:color="auto" w:fill="595959"/>
            <w:vAlign w:val="top"/>
          </w:tcPr>
          <w:p w14:paraId="118BC12F" w14:textId="77777777" w:rsidR="00092E36" w:rsidRPr="00FC236C" w:rsidRDefault="00092E36" w:rsidP="001316F2">
            <w:pPr>
              <w:rPr>
                <w:rFonts w:asciiTheme="minorHAnsi" w:eastAsia="Arial" w:hAnsiTheme="minorHAnsi" w:cs="Times New Roman"/>
                <w:color w:val="FFFFFF"/>
                <w:sz w:val="22"/>
                <w:szCs w:val="22"/>
                <w:lang w:val="lv-LV"/>
              </w:rPr>
            </w:pPr>
            <w:r w:rsidRPr="00FC236C">
              <w:rPr>
                <w:rFonts w:asciiTheme="minorHAnsi" w:eastAsia="Arial" w:hAnsiTheme="minorHAnsi" w:cs="Times New Roman"/>
                <w:color w:val="FFFFFF"/>
                <w:sz w:val="22"/>
                <w:szCs w:val="22"/>
                <w:lang w:val="lv-LV"/>
              </w:rPr>
              <w:t>Skaidrojums</w:t>
            </w:r>
          </w:p>
        </w:tc>
      </w:tr>
      <w:tr w:rsidR="00092E36" w:rsidRPr="00FC236C" w14:paraId="3A1E2533" w14:textId="77777777" w:rsidTr="00E37790">
        <w:tc>
          <w:tcPr>
            <w:tcW w:w="126" w:type="pct"/>
            <w:tcBorders>
              <w:top w:val="single" w:sz="18" w:space="0" w:color="FFFFFF"/>
              <w:bottom w:val="single" w:sz="18" w:space="0" w:color="FFFFFF"/>
            </w:tcBorders>
            <w:shd w:val="clear" w:color="auto" w:fill="E5E5E5"/>
            <w:vAlign w:val="top"/>
          </w:tcPr>
          <w:p w14:paraId="3B9BC59B"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1F88F91"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bidi="lv-LV"/>
              </w:rPr>
              <w:t>A2A</w:t>
            </w:r>
          </w:p>
        </w:tc>
        <w:tc>
          <w:tcPr>
            <w:tcW w:w="3825" w:type="pct"/>
            <w:tcBorders>
              <w:top w:val="single" w:sz="2" w:space="0" w:color="BFBFBF"/>
              <w:bottom w:val="single" w:sz="2" w:space="0" w:color="BFBFBF"/>
            </w:tcBorders>
            <w:vAlign w:val="top"/>
          </w:tcPr>
          <w:p w14:paraId="17A899BA" w14:textId="77777777" w:rsidR="00092E36" w:rsidRPr="00FC236C" w:rsidRDefault="00092E36" w:rsidP="00CC0295">
            <w:pPr>
              <w:rPr>
                <w:rFonts w:asciiTheme="minorHAnsi" w:hAnsiTheme="minorHAnsi"/>
                <w:sz w:val="22"/>
                <w:szCs w:val="22"/>
                <w:lang w:val="lv-LV" w:bidi="lv-LV"/>
              </w:rPr>
            </w:pPr>
            <w:r w:rsidRPr="00CC0295">
              <w:rPr>
                <w:rFonts w:asciiTheme="minorHAnsi" w:hAnsiTheme="minorHAnsi"/>
                <w:sz w:val="22"/>
                <w:szCs w:val="22"/>
                <w:lang w:val="lv-LV" w:bidi="lv-LV"/>
              </w:rPr>
              <w:t xml:space="preserve">Pārvaldes iestāde — pārvaldes iestāde </w:t>
            </w:r>
            <w:r w:rsidRPr="00FC236C">
              <w:rPr>
                <w:rFonts w:asciiTheme="minorHAnsi" w:hAnsiTheme="minorHAnsi"/>
                <w:sz w:val="22"/>
                <w:szCs w:val="22"/>
                <w:lang w:val="lv-LV" w:bidi="lv-LV"/>
              </w:rPr>
              <w:t>(</w:t>
            </w:r>
            <w:proofErr w:type="spellStart"/>
            <w:r w:rsidRPr="00FC236C">
              <w:rPr>
                <w:rFonts w:asciiTheme="minorHAnsi" w:hAnsiTheme="minorHAnsi"/>
                <w:sz w:val="22"/>
                <w:szCs w:val="22"/>
                <w:lang w:val="lv-LV" w:bidi="lv-LV"/>
              </w:rPr>
              <w:t>angl</w:t>
            </w:r>
            <w:proofErr w:type="spellEnd"/>
            <w:r w:rsidRPr="00FC236C">
              <w:rPr>
                <w:rFonts w:asciiTheme="minorHAnsi" w:hAnsiTheme="minorHAnsi"/>
                <w:sz w:val="22"/>
                <w:szCs w:val="22"/>
                <w:lang w:val="lv-LV" w:bidi="lv-LV"/>
              </w:rPr>
              <w:t>. - A</w:t>
            </w:r>
            <w:r w:rsidRPr="00FC236C">
              <w:rPr>
                <w:rFonts w:asciiTheme="minorHAnsi" w:hAnsiTheme="minorHAnsi"/>
                <w:i/>
                <w:sz w:val="22"/>
                <w:szCs w:val="22"/>
                <w:lang w:val="lv-LV" w:bidi="lv-LV"/>
              </w:rPr>
              <w:t xml:space="preserve">dministration to </w:t>
            </w:r>
            <w:proofErr w:type="spellStart"/>
            <w:r w:rsidRPr="00FC236C">
              <w:rPr>
                <w:rFonts w:asciiTheme="minorHAnsi" w:hAnsiTheme="minorHAnsi"/>
                <w:i/>
                <w:sz w:val="22"/>
                <w:szCs w:val="22"/>
                <w:lang w:val="lv-LV" w:bidi="lv-LV"/>
              </w:rPr>
              <w:t>administration</w:t>
            </w:r>
            <w:proofErr w:type="spellEnd"/>
            <w:r w:rsidRPr="00FC236C">
              <w:rPr>
                <w:rFonts w:asciiTheme="minorHAnsi" w:hAnsiTheme="minorHAnsi"/>
                <w:sz w:val="22"/>
                <w:szCs w:val="22"/>
                <w:lang w:val="lv-LV" w:bidi="lv-LV"/>
              </w:rPr>
              <w:t>)</w:t>
            </w:r>
          </w:p>
        </w:tc>
      </w:tr>
      <w:tr w:rsidR="00092E36" w:rsidRPr="00FC236C" w14:paraId="60AFDC9F" w14:textId="77777777" w:rsidTr="00E37790">
        <w:tc>
          <w:tcPr>
            <w:tcW w:w="126" w:type="pct"/>
            <w:tcBorders>
              <w:top w:val="single" w:sz="18" w:space="0" w:color="FFFFFF"/>
              <w:bottom w:val="single" w:sz="18" w:space="0" w:color="FFFFFF"/>
            </w:tcBorders>
            <w:shd w:val="clear" w:color="auto" w:fill="E5E5E5"/>
            <w:vAlign w:val="top"/>
          </w:tcPr>
          <w:p w14:paraId="3185EAF2"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79932273" w14:textId="77777777" w:rsidR="00092E36" w:rsidRPr="00FC236C" w:rsidRDefault="00092E36" w:rsidP="001316F2">
            <w:pPr>
              <w:rPr>
                <w:rFonts w:asciiTheme="minorHAnsi" w:hAnsiTheme="minorHAnsi"/>
                <w:sz w:val="22"/>
                <w:szCs w:val="22"/>
                <w:lang w:val="lv-LV" w:bidi="lv-LV"/>
              </w:rPr>
            </w:pPr>
            <w:r w:rsidRPr="00FC236C">
              <w:rPr>
                <w:rFonts w:asciiTheme="minorHAnsi" w:hAnsiTheme="minorHAnsi"/>
                <w:sz w:val="22"/>
                <w:szCs w:val="22"/>
                <w:lang w:val="lv-LV" w:bidi="lv-LV"/>
              </w:rPr>
              <w:t>A2B</w:t>
            </w:r>
          </w:p>
        </w:tc>
        <w:tc>
          <w:tcPr>
            <w:tcW w:w="3825" w:type="pct"/>
            <w:tcBorders>
              <w:top w:val="single" w:sz="2" w:space="0" w:color="BFBFBF"/>
              <w:bottom w:val="single" w:sz="2" w:space="0" w:color="BFBFBF"/>
            </w:tcBorders>
            <w:vAlign w:val="top"/>
          </w:tcPr>
          <w:p w14:paraId="1C9D7C22" w14:textId="77777777" w:rsidR="00092E36" w:rsidRPr="00FC236C" w:rsidRDefault="00092E36" w:rsidP="00524C97">
            <w:pPr>
              <w:rPr>
                <w:rFonts w:asciiTheme="minorHAnsi" w:hAnsiTheme="minorHAnsi"/>
                <w:sz w:val="22"/>
                <w:szCs w:val="22"/>
                <w:lang w:val="lv-LV" w:bidi="lv-LV"/>
              </w:rPr>
            </w:pPr>
            <w:r w:rsidRPr="00524C97">
              <w:rPr>
                <w:rFonts w:asciiTheme="minorHAnsi" w:hAnsiTheme="minorHAnsi"/>
                <w:sz w:val="22"/>
                <w:szCs w:val="22"/>
                <w:lang w:val="lv-LV" w:bidi="lv-LV"/>
              </w:rPr>
              <w:t xml:space="preserve">Pārvaldes iestāde — uzņēmums </w:t>
            </w:r>
            <w:r w:rsidRPr="00FC236C">
              <w:rPr>
                <w:rFonts w:asciiTheme="minorHAnsi" w:hAnsiTheme="minorHAnsi"/>
                <w:sz w:val="22"/>
                <w:szCs w:val="22"/>
                <w:lang w:val="lv-LV" w:bidi="lv-LV"/>
              </w:rPr>
              <w:t>(</w:t>
            </w:r>
            <w:proofErr w:type="spellStart"/>
            <w:r w:rsidRPr="00FC236C">
              <w:rPr>
                <w:rFonts w:asciiTheme="minorHAnsi" w:hAnsiTheme="minorHAnsi"/>
                <w:sz w:val="22"/>
                <w:szCs w:val="22"/>
                <w:lang w:val="lv-LV" w:bidi="lv-LV"/>
              </w:rPr>
              <w:t>angl</w:t>
            </w:r>
            <w:proofErr w:type="spellEnd"/>
            <w:r w:rsidRPr="00FC236C">
              <w:rPr>
                <w:rFonts w:asciiTheme="minorHAnsi" w:hAnsiTheme="minorHAnsi"/>
                <w:sz w:val="22"/>
                <w:szCs w:val="22"/>
                <w:lang w:val="lv-LV" w:bidi="lv-LV"/>
              </w:rPr>
              <w:t>. - A</w:t>
            </w:r>
            <w:r w:rsidRPr="00FC236C">
              <w:rPr>
                <w:rFonts w:asciiTheme="minorHAnsi" w:hAnsiTheme="minorHAnsi"/>
                <w:i/>
                <w:sz w:val="22"/>
                <w:szCs w:val="22"/>
                <w:lang w:val="lv-LV" w:bidi="lv-LV"/>
              </w:rPr>
              <w:t xml:space="preserve">dministration to </w:t>
            </w:r>
            <w:proofErr w:type="spellStart"/>
            <w:r w:rsidRPr="00FC236C">
              <w:rPr>
                <w:rFonts w:asciiTheme="minorHAnsi" w:hAnsiTheme="minorHAnsi"/>
                <w:i/>
                <w:sz w:val="22"/>
                <w:szCs w:val="22"/>
                <w:lang w:val="lv-LV" w:bidi="lv-LV"/>
              </w:rPr>
              <w:t>business</w:t>
            </w:r>
            <w:proofErr w:type="spellEnd"/>
            <w:r w:rsidRPr="00FC236C">
              <w:rPr>
                <w:rFonts w:asciiTheme="minorHAnsi" w:hAnsiTheme="minorHAnsi"/>
                <w:sz w:val="22"/>
                <w:szCs w:val="22"/>
                <w:lang w:val="lv-LV" w:bidi="lv-LV"/>
              </w:rPr>
              <w:t>)</w:t>
            </w:r>
          </w:p>
        </w:tc>
      </w:tr>
      <w:tr w:rsidR="00092E36" w:rsidRPr="00FC236C" w14:paraId="3C6FA664" w14:textId="77777777" w:rsidTr="00E37790">
        <w:tc>
          <w:tcPr>
            <w:tcW w:w="126" w:type="pct"/>
            <w:tcBorders>
              <w:top w:val="single" w:sz="18" w:space="0" w:color="FFFFFF"/>
              <w:bottom w:val="single" w:sz="18" w:space="0" w:color="FFFFFF"/>
            </w:tcBorders>
            <w:shd w:val="clear" w:color="auto" w:fill="E5E5E5"/>
            <w:vAlign w:val="top"/>
          </w:tcPr>
          <w:p w14:paraId="55AFA969"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4F02FF54" w14:textId="77777777" w:rsidR="00092E36" w:rsidRPr="00FC236C" w:rsidRDefault="00092E36" w:rsidP="001316F2">
            <w:pPr>
              <w:rPr>
                <w:rFonts w:asciiTheme="minorHAnsi" w:hAnsiTheme="minorHAnsi"/>
                <w:sz w:val="22"/>
                <w:szCs w:val="22"/>
                <w:lang w:val="lv-LV" w:bidi="lv-LV"/>
              </w:rPr>
            </w:pPr>
            <w:r w:rsidRPr="00FC236C">
              <w:rPr>
                <w:rFonts w:asciiTheme="minorHAnsi" w:hAnsiTheme="minorHAnsi"/>
                <w:sz w:val="22"/>
                <w:szCs w:val="22"/>
                <w:lang w:val="lv-LV" w:bidi="lv-LV"/>
              </w:rPr>
              <w:t>A2C</w:t>
            </w:r>
          </w:p>
        </w:tc>
        <w:tc>
          <w:tcPr>
            <w:tcW w:w="3825" w:type="pct"/>
            <w:tcBorders>
              <w:top w:val="single" w:sz="2" w:space="0" w:color="BFBFBF"/>
              <w:bottom w:val="single" w:sz="2" w:space="0" w:color="BFBFBF"/>
            </w:tcBorders>
            <w:vAlign w:val="top"/>
          </w:tcPr>
          <w:p w14:paraId="410A1FB8" w14:textId="77777777" w:rsidR="00092E36" w:rsidRPr="00FC236C" w:rsidRDefault="00092E36" w:rsidP="00DE75FF">
            <w:pPr>
              <w:rPr>
                <w:rFonts w:asciiTheme="minorHAnsi" w:hAnsiTheme="minorHAnsi"/>
                <w:sz w:val="22"/>
                <w:szCs w:val="22"/>
                <w:lang w:val="lv-LV" w:bidi="lv-LV"/>
              </w:rPr>
            </w:pPr>
            <w:r w:rsidRPr="00DE75FF">
              <w:rPr>
                <w:rFonts w:asciiTheme="minorHAnsi" w:hAnsiTheme="minorHAnsi"/>
                <w:sz w:val="22"/>
                <w:szCs w:val="22"/>
                <w:lang w:val="lv-LV" w:bidi="lv-LV"/>
              </w:rPr>
              <w:t xml:space="preserve">Pārvaldes iestāde — iedzīvotājs </w:t>
            </w:r>
            <w:r w:rsidRPr="00FC236C">
              <w:rPr>
                <w:rFonts w:asciiTheme="minorHAnsi" w:hAnsiTheme="minorHAnsi"/>
                <w:sz w:val="22"/>
                <w:szCs w:val="22"/>
                <w:lang w:val="lv-LV" w:bidi="lv-LV"/>
              </w:rPr>
              <w:t>(</w:t>
            </w:r>
            <w:proofErr w:type="spellStart"/>
            <w:r w:rsidRPr="00FC236C">
              <w:rPr>
                <w:rFonts w:asciiTheme="minorHAnsi" w:hAnsiTheme="minorHAnsi"/>
                <w:i/>
                <w:sz w:val="22"/>
                <w:szCs w:val="22"/>
                <w:lang w:val="lv-LV" w:bidi="lv-LV"/>
              </w:rPr>
              <w:t>a</w:t>
            </w:r>
            <w:r w:rsidRPr="00FC236C">
              <w:rPr>
                <w:rFonts w:asciiTheme="minorHAnsi" w:hAnsiTheme="minorHAnsi"/>
                <w:i/>
                <w:sz w:val="22"/>
                <w:szCs w:val="22"/>
                <w:lang w:val="lv-LV" w:bidi="lv-LV"/>
              </w:rPr>
              <w:t>angl</w:t>
            </w:r>
            <w:proofErr w:type="spellEnd"/>
            <w:r w:rsidRPr="00FC236C">
              <w:rPr>
                <w:rFonts w:asciiTheme="minorHAnsi" w:hAnsiTheme="minorHAnsi"/>
                <w:i/>
                <w:sz w:val="22"/>
                <w:szCs w:val="22"/>
                <w:lang w:val="lv-LV" w:bidi="lv-LV"/>
              </w:rPr>
              <w:t>. - A</w:t>
            </w:r>
            <w:r w:rsidRPr="00FC236C">
              <w:rPr>
                <w:rFonts w:asciiTheme="minorHAnsi" w:hAnsiTheme="minorHAnsi"/>
                <w:i/>
                <w:sz w:val="22"/>
                <w:szCs w:val="22"/>
                <w:lang w:val="lv-LV" w:bidi="lv-LV"/>
              </w:rPr>
              <w:t xml:space="preserve">dministration to </w:t>
            </w:r>
            <w:proofErr w:type="spellStart"/>
            <w:r w:rsidRPr="00FC236C">
              <w:rPr>
                <w:rFonts w:asciiTheme="minorHAnsi" w:hAnsiTheme="minorHAnsi"/>
                <w:i/>
                <w:sz w:val="22"/>
                <w:szCs w:val="22"/>
                <w:lang w:val="lv-LV" w:bidi="lv-LV"/>
              </w:rPr>
              <w:t>citizen</w:t>
            </w:r>
            <w:proofErr w:type="spellEnd"/>
            <w:r w:rsidRPr="00FC236C">
              <w:rPr>
                <w:rFonts w:asciiTheme="minorHAnsi" w:hAnsiTheme="minorHAnsi"/>
                <w:sz w:val="22"/>
                <w:szCs w:val="22"/>
                <w:lang w:val="lv-LV" w:bidi="lv-LV"/>
              </w:rPr>
              <w:t>)</w:t>
            </w:r>
          </w:p>
        </w:tc>
      </w:tr>
      <w:tr w:rsidR="00092E36" w:rsidRPr="00FC236C" w14:paraId="66A9D3D0" w14:textId="77777777" w:rsidTr="00E37790">
        <w:tc>
          <w:tcPr>
            <w:tcW w:w="126" w:type="pct"/>
            <w:tcBorders>
              <w:top w:val="single" w:sz="18" w:space="0" w:color="FFFFFF"/>
              <w:bottom w:val="single" w:sz="18" w:space="0" w:color="FFFFFF"/>
            </w:tcBorders>
            <w:shd w:val="clear" w:color="auto" w:fill="E5E5E5"/>
            <w:vAlign w:val="top"/>
          </w:tcPr>
          <w:p w14:paraId="224F2E49"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52AF65D5"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API</w:t>
            </w:r>
          </w:p>
        </w:tc>
        <w:tc>
          <w:tcPr>
            <w:tcW w:w="3825" w:type="pct"/>
            <w:tcBorders>
              <w:top w:val="single" w:sz="2" w:space="0" w:color="BFBFBF"/>
              <w:bottom w:val="single" w:sz="2" w:space="0" w:color="BFBFBF"/>
            </w:tcBorders>
            <w:vAlign w:val="top"/>
          </w:tcPr>
          <w:p w14:paraId="2DE288E0"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 xml:space="preserve">Lietojumprogrammu programmēšanas </w:t>
            </w:r>
            <w:proofErr w:type="spellStart"/>
            <w:r w:rsidRPr="00FC236C">
              <w:rPr>
                <w:rFonts w:asciiTheme="minorHAnsi" w:hAnsiTheme="minorHAnsi"/>
                <w:sz w:val="22"/>
                <w:szCs w:val="22"/>
                <w:lang w:val="lv-LV"/>
              </w:rPr>
              <w:t>saskarne</w:t>
            </w:r>
            <w:proofErr w:type="spellEnd"/>
            <w:r w:rsidRPr="00FC236C">
              <w:rPr>
                <w:rFonts w:asciiTheme="minorHAnsi" w:hAnsiTheme="minorHAnsi"/>
                <w:sz w:val="22"/>
                <w:szCs w:val="22"/>
                <w:lang w:val="lv-LV"/>
              </w:rPr>
              <w:t xml:space="preserve"> (</w:t>
            </w:r>
            <w:proofErr w:type="spellStart"/>
            <w:r w:rsidRPr="00FC236C">
              <w:rPr>
                <w:rFonts w:asciiTheme="minorHAnsi" w:hAnsiTheme="minorHAnsi"/>
                <w:sz w:val="22"/>
                <w:szCs w:val="22"/>
                <w:lang w:val="lv-LV"/>
              </w:rPr>
              <w:t>angl</w:t>
            </w:r>
            <w:proofErr w:type="spellEnd"/>
            <w:r w:rsidRPr="00FC236C">
              <w:rPr>
                <w:rFonts w:asciiTheme="minorHAnsi" w:hAnsiTheme="minorHAnsi"/>
                <w:sz w:val="22"/>
                <w:szCs w:val="22"/>
                <w:lang w:val="lv-LV"/>
              </w:rPr>
              <w:t xml:space="preserve">. – </w:t>
            </w:r>
            <w:proofErr w:type="spellStart"/>
            <w:r w:rsidRPr="00FC236C">
              <w:rPr>
                <w:rFonts w:asciiTheme="minorHAnsi" w:hAnsiTheme="minorHAnsi"/>
                <w:i/>
                <w:sz w:val="22"/>
                <w:szCs w:val="22"/>
                <w:lang w:val="lv-LV"/>
              </w:rPr>
              <w:t>Application</w:t>
            </w:r>
            <w:proofErr w:type="spellEnd"/>
            <w:r w:rsidRPr="00FC236C">
              <w:rPr>
                <w:rFonts w:asciiTheme="minorHAnsi" w:hAnsiTheme="minorHAnsi"/>
                <w:i/>
                <w:sz w:val="22"/>
                <w:szCs w:val="22"/>
                <w:lang w:val="lv-LV"/>
              </w:rPr>
              <w:t xml:space="preserve"> </w:t>
            </w:r>
            <w:proofErr w:type="spellStart"/>
            <w:r w:rsidRPr="00FC236C">
              <w:rPr>
                <w:rFonts w:asciiTheme="minorHAnsi" w:hAnsiTheme="minorHAnsi"/>
                <w:i/>
                <w:sz w:val="22"/>
                <w:szCs w:val="22"/>
                <w:lang w:val="lv-LV"/>
              </w:rPr>
              <w:t>Programming</w:t>
            </w:r>
            <w:proofErr w:type="spellEnd"/>
            <w:r w:rsidRPr="00FC236C">
              <w:rPr>
                <w:rFonts w:asciiTheme="minorHAnsi" w:hAnsiTheme="minorHAnsi"/>
                <w:i/>
                <w:sz w:val="22"/>
                <w:szCs w:val="22"/>
                <w:lang w:val="lv-LV"/>
              </w:rPr>
              <w:t xml:space="preserve"> Interface</w:t>
            </w:r>
            <w:r w:rsidRPr="00FC236C">
              <w:rPr>
                <w:rFonts w:asciiTheme="minorHAnsi" w:hAnsiTheme="minorHAnsi"/>
                <w:sz w:val="22"/>
                <w:szCs w:val="22"/>
                <w:lang w:val="lv-LV"/>
              </w:rPr>
              <w:t>)</w:t>
            </w:r>
          </w:p>
        </w:tc>
      </w:tr>
      <w:tr w:rsidR="00092E36" w:rsidRPr="00FC236C" w14:paraId="245B9A8E" w14:textId="77777777" w:rsidTr="00E37790">
        <w:tc>
          <w:tcPr>
            <w:tcW w:w="126" w:type="pct"/>
            <w:tcBorders>
              <w:top w:val="single" w:sz="18" w:space="0" w:color="FFFFFF"/>
              <w:bottom w:val="single" w:sz="18" w:space="0" w:color="FFFFFF"/>
            </w:tcBorders>
            <w:shd w:val="clear" w:color="auto" w:fill="E5E5E5"/>
            <w:vAlign w:val="top"/>
          </w:tcPr>
          <w:p w14:paraId="1C2FB59F"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D574D2E"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 xml:space="preserve">Arhitektūras </w:t>
            </w:r>
            <w:r w:rsidRPr="00FC236C">
              <w:rPr>
                <w:rFonts w:asciiTheme="minorHAnsi" w:hAnsiTheme="minorHAnsi"/>
                <w:sz w:val="22"/>
                <w:szCs w:val="22"/>
                <w:lang w:val="lv-LV"/>
              </w:rPr>
              <w:t>joma</w:t>
            </w:r>
          </w:p>
        </w:tc>
        <w:tc>
          <w:tcPr>
            <w:tcW w:w="3825" w:type="pct"/>
            <w:tcBorders>
              <w:top w:val="single" w:sz="2" w:space="0" w:color="BFBFBF"/>
              <w:bottom w:val="single" w:sz="2" w:space="0" w:color="BFBFBF"/>
            </w:tcBorders>
            <w:vAlign w:val="top"/>
          </w:tcPr>
          <w:p w14:paraId="4938D54C" w14:textId="77777777" w:rsidR="00092E36" w:rsidRPr="00FC236C" w:rsidRDefault="00092E36" w:rsidP="001316F2">
            <w:pPr>
              <w:rPr>
                <w:rFonts w:asciiTheme="minorHAnsi" w:hAnsiTheme="minorHAnsi"/>
                <w:sz w:val="22"/>
                <w:szCs w:val="22"/>
                <w:highlight w:val="yellow"/>
                <w:lang w:val="lv-LV"/>
              </w:rPr>
            </w:pPr>
            <w:r w:rsidRPr="00FC236C">
              <w:rPr>
                <w:rFonts w:asciiTheme="minorHAnsi" w:hAnsiTheme="minorHAnsi"/>
                <w:sz w:val="22"/>
                <w:szCs w:val="22"/>
                <w:lang w:val="lv-LV"/>
              </w:rPr>
              <w:t xml:space="preserve">Arhitektūras </w:t>
            </w:r>
            <w:r w:rsidRPr="00FC236C">
              <w:rPr>
                <w:rFonts w:asciiTheme="minorHAnsi" w:hAnsiTheme="minorHAnsi"/>
                <w:sz w:val="22"/>
                <w:szCs w:val="22"/>
                <w:lang w:val="lv-LV"/>
              </w:rPr>
              <w:t>joma jeb domēns</w:t>
            </w:r>
            <w:r w:rsidRPr="00FC236C">
              <w:rPr>
                <w:rFonts w:asciiTheme="minorHAnsi" w:hAnsiTheme="minorHAnsi"/>
                <w:sz w:val="22"/>
                <w:szCs w:val="22"/>
                <w:lang w:val="lv-LV"/>
              </w:rPr>
              <w:t xml:space="preserve"> ir arhitektūras strukturējums, kas tipiski tiek iedalīts pēc uzņēmuma spējām </w:t>
            </w:r>
            <w:r w:rsidRPr="00FC236C">
              <w:rPr>
                <w:rFonts w:asciiTheme="minorHAnsi" w:hAnsiTheme="minorHAnsi"/>
                <w:i/>
                <w:iCs/>
                <w:sz w:val="22"/>
                <w:szCs w:val="22"/>
                <w:lang w:val="lv-LV"/>
              </w:rPr>
              <w:t>(</w:t>
            </w:r>
            <w:proofErr w:type="spellStart"/>
            <w:r w:rsidRPr="00FC236C">
              <w:rPr>
                <w:rFonts w:asciiTheme="minorHAnsi" w:hAnsiTheme="minorHAnsi"/>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Architecture</w:t>
            </w:r>
            <w:proofErr w:type="spellEnd"/>
            <w:r w:rsidRPr="00FC236C">
              <w:rPr>
                <w:rFonts w:asciiTheme="minorHAnsi" w:hAnsiTheme="minorHAnsi"/>
                <w:i/>
                <w:iCs/>
                <w:sz w:val="22"/>
                <w:szCs w:val="22"/>
                <w:lang w:val="lv-LV"/>
              </w:rPr>
              <w:t xml:space="preserve"> </w:t>
            </w:r>
            <w:proofErr w:type="spellStart"/>
            <w:r w:rsidRPr="00FC236C">
              <w:rPr>
                <w:rFonts w:asciiTheme="minorHAnsi" w:hAnsiTheme="minorHAnsi"/>
                <w:i/>
                <w:iCs/>
                <w:sz w:val="22"/>
                <w:szCs w:val="22"/>
                <w:lang w:val="lv-LV"/>
              </w:rPr>
              <w:t>Domain</w:t>
            </w:r>
            <w:proofErr w:type="spellEnd"/>
            <w:r w:rsidRPr="00FC236C">
              <w:rPr>
                <w:rFonts w:asciiTheme="minorHAnsi" w:hAnsiTheme="minorHAnsi"/>
                <w:i/>
                <w:iCs/>
                <w:sz w:val="22"/>
                <w:szCs w:val="22"/>
                <w:lang w:val="lv-LV"/>
              </w:rPr>
              <w:t>)</w:t>
            </w:r>
          </w:p>
        </w:tc>
      </w:tr>
      <w:tr w:rsidR="00092E36" w:rsidRPr="00FC236C" w14:paraId="23153066" w14:textId="77777777" w:rsidTr="00E37790">
        <w:tc>
          <w:tcPr>
            <w:tcW w:w="126" w:type="pct"/>
            <w:tcBorders>
              <w:top w:val="single" w:sz="18" w:space="0" w:color="FFFFFF"/>
              <w:bottom w:val="single" w:sz="18" w:space="0" w:color="FFFFFF"/>
            </w:tcBorders>
            <w:shd w:val="clear" w:color="auto" w:fill="E5E5E5"/>
            <w:vAlign w:val="top"/>
          </w:tcPr>
          <w:p w14:paraId="6944FA2C"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63E59DB"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Arhitektūras skats</w:t>
            </w:r>
          </w:p>
        </w:tc>
        <w:tc>
          <w:tcPr>
            <w:tcW w:w="3825" w:type="pct"/>
            <w:tcBorders>
              <w:top w:val="single" w:sz="2" w:space="0" w:color="BFBFBF"/>
              <w:bottom w:val="single" w:sz="2" w:space="0" w:color="BFBFBF"/>
            </w:tcBorders>
            <w:vAlign w:val="top"/>
          </w:tcPr>
          <w:p w14:paraId="7109E14D" w14:textId="77777777" w:rsidR="00092E36" w:rsidRPr="00FC236C" w:rsidRDefault="00092E36" w:rsidP="001316F2">
            <w:pPr>
              <w:rPr>
                <w:rFonts w:asciiTheme="minorHAnsi" w:hAnsiTheme="minorHAnsi"/>
                <w:sz w:val="22"/>
                <w:szCs w:val="22"/>
                <w:highlight w:val="yellow"/>
                <w:lang w:val="lv-LV"/>
              </w:rPr>
            </w:pPr>
            <w:r w:rsidRPr="00FC236C">
              <w:rPr>
                <w:rFonts w:asciiTheme="minorHAnsi" w:hAnsiTheme="minorHAnsi"/>
                <w:sz w:val="22"/>
                <w:szCs w:val="22"/>
                <w:lang w:val="lv-LV"/>
              </w:rPr>
              <w:t xml:space="preserve">Arhitektūras skati attēlo noteiktu arhitektūras jomu. Tipiski tiek izdalīti četri skati – biznesa, informācijas, lietojumprogrammu un tehnoloģiju </w:t>
            </w:r>
            <w:r w:rsidRPr="00FC236C">
              <w:rPr>
                <w:rFonts w:asciiTheme="minorHAnsi" w:hAnsiTheme="minorHAnsi"/>
                <w:i/>
                <w:iCs/>
                <w:sz w:val="22"/>
                <w:szCs w:val="22"/>
                <w:lang w:val="lv-LV"/>
              </w:rPr>
              <w:t>(</w:t>
            </w:r>
            <w:proofErr w:type="spellStart"/>
            <w:r w:rsidRPr="00FC236C">
              <w:rPr>
                <w:rFonts w:asciiTheme="minorHAnsi" w:hAnsiTheme="minorHAnsi"/>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Architecture</w:t>
            </w:r>
            <w:proofErr w:type="spellEnd"/>
            <w:r w:rsidRPr="00FC236C">
              <w:rPr>
                <w:rFonts w:asciiTheme="minorHAnsi" w:hAnsiTheme="minorHAnsi"/>
                <w:i/>
                <w:iCs/>
                <w:sz w:val="22"/>
                <w:szCs w:val="22"/>
                <w:lang w:val="lv-LV"/>
              </w:rPr>
              <w:t xml:space="preserve"> </w:t>
            </w:r>
            <w:proofErr w:type="spellStart"/>
            <w:r w:rsidRPr="00FC236C">
              <w:rPr>
                <w:rFonts w:asciiTheme="minorHAnsi" w:hAnsiTheme="minorHAnsi"/>
                <w:i/>
                <w:iCs/>
                <w:sz w:val="22"/>
                <w:szCs w:val="22"/>
                <w:lang w:val="lv-LV"/>
              </w:rPr>
              <w:t>View</w:t>
            </w:r>
            <w:proofErr w:type="spellEnd"/>
            <w:r w:rsidRPr="00FC236C">
              <w:rPr>
                <w:rFonts w:asciiTheme="minorHAnsi" w:hAnsiTheme="minorHAnsi"/>
                <w:i/>
                <w:iCs/>
                <w:sz w:val="22"/>
                <w:szCs w:val="22"/>
                <w:lang w:val="lv-LV"/>
              </w:rPr>
              <w:t>)</w:t>
            </w:r>
          </w:p>
        </w:tc>
      </w:tr>
      <w:tr w:rsidR="00092E36" w:rsidRPr="00FC236C" w14:paraId="2CC8D535" w14:textId="77777777" w:rsidTr="00E37790">
        <w:tc>
          <w:tcPr>
            <w:tcW w:w="126" w:type="pct"/>
            <w:tcBorders>
              <w:top w:val="single" w:sz="18" w:space="0" w:color="FFFFFF"/>
              <w:bottom w:val="single" w:sz="18" w:space="0" w:color="FFFFFF"/>
            </w:tcBorders>
            <w:shd w:val="clear" w:color="auto" w:fill="E5E5E5"/>
            <w:vAlign w:val="top"/>
          </w:tcPr>
          <w:p w14:paraId="7EEE8268"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F0DC951"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CFLA</w:t>
            </w:r>
          </w:p>
        </w:tc>
        <w:tc>
          <w:tcPr>
            <w:tcW w:w="3825" w:type="pct"/>
            <w:tcBorders>
              <w:top w:val="single" w:sz="2" w:space="0" w:color="BFBFBF"/>
              <w:bottom w:val="single" w:sz="2" w:space="0" w:color="BFBFBF"/>
            </w:tcBorders>
            <w:vAlign w:val="top"/>
          </w:tcPr>
          <w:p w14:paraId="6EF0F3E0"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Centrālā finanšu un līgumu aģentūra</w:t>
            </w:r>
          </w:p>
        </w:tc>
      </w:tr>
      <w:tr w:rsidR="00AE57ED" w:rsidRPr="00FC236C" w14:paraId="699B7D9E" w14:textId="77777777" w:rsidTr="00E37790">
        <w:tc>
          <w:tcPr>
            <w:tcW w:w="126" w:type="pct"/>
            <w:tcBorders>
              <w:top w:val="single" w:sz="18" w:space="0" w:color="FFFFFF"/>
              <w:bottom w:val="single" w:sz="18" w:space="0" w:color="FFFFFF"/>
            </w:tcBorders>
            <w:shd w:val="clear" w:color="auto" w:fill="E5E5E5"/>
            <w:vAlign w:val="top"/>
          </w:tcPr>
          <w:p w14:paraId="7C0864F8" w14:textId="77777777" w:rsidR="00AE57ED" w:rsidRPr="00FC236C" w:rsidRDefault="00AE57ED"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9167813" w14:textId="7B64D0D8" w:rsidR="00AE57ED" w:rsidRPr="00FC236C" w:rsidRDefault="00AE57ED" w:rsidP="001316F2">
            <w:pPr>
              <w:rPr>
                <w:rFonts w:asciiTheme="minorHAnsi" w:hAnsiTheme="minorHAnsi"/>
                <w:sz w:val="22"/>
                <w:szCs w:val="22"/>
                <w:lang w:val="lv-LV"/>
              </w:rPr>
            </w:pPr>
            <w:r w:rsidRPr="00FC236C">
              <w:rPr>
                <w:rFonts w:asciiTheme="minorHAnsi" w:hAnsiTheme="minorHAnsi"/>
                <w:sz w:val="22"/>
                <w:szCs w:val="22"/>
                <w:lang w:val="lv-LV"/>
              </w:rPr>
              <w:t>COTS</w:t>
            </w:r>
          </w:p>
        </w:tc>
        <w:tc>
          <w:tcPr>
            <w:tcW w:w="3825" w:type="pct"/>
            <w:tcBorders>
              <w:top w:val="single" w:sz="2" w:space="0" w:color="BFBFBF"/>
              <w:bottom w:val="single" w:sz="2" w:space="0" w:color="BFBFBF"/>
            </w:tcBorders>
            <w:vAlign w:val="top"/>
          </w:tcPr>
          <w:p w14:paraId="1E096605" w14:textId="0FDF6B97" w:rsidR="00AE57ED" w:rsidRPr="00FC236C" w:rsidRDefault="006B6F48" w:rsidP="001316F2">
            <w:pPr>
              <w:rPr>
                <w:rFonts w:asciiTheme="minorHAnsi" w:hAnsiTheme="minorHAnsi"/>
                <w:sz w:val="22"/>
                <w:szCs w:val="22"/>
                <w:lang w:val="lv-LV"/>
              </w:rPr>
            </w:pPr>
            <w:proofErr w:type="spellStart"/>
            <w:r w:rsidRPr="00FC236C">
              <w:rPr>
                <w:rFonts w:asciiTheme="minorHAnsi" w:hAnsiTheme="minorHAnsi"/>
                <w:sz w:val="22"/>
                <w:szCs w:val="22"/>
              </w:rPr>
              <w:t>Komerciāla</w:t>
            </w:r>
            <w:proofErr w:type="spellEnd"/>
            <w:r w:rsidRPr="00FC236C">
              <w:rPr>
                <w:rFonts w:asciiTheme="minorHAnsi" w:hAnsiTheme="minorHAnsi"/>
                <w:sz w:val="22"/>
                <w:szCs w:val="22"/>
              </w:rPr>
              <w:t> </w:t>
            </w:r>
            <w:proofErr w:type="spellStart"/>
            <w:r w:rsidRPr="00FC236C">
              <w:rPr>
                <w:rFonts w:asciiTheme="minorHAnsi" w:hAnsiTheme="minorHAnsi"/>
                <w:sz w:val="22"/>
                <w:szCs w:val="22"/>
              </w:rPr>
              <w:t>standart</w:t>
            </w:r>
            <w:r w:rsidRPr="00FC236C">
              <w:rPr>
                <w:rFonts w:asciiTheme="minorHAnsi" w:hAnsiTheme="minorHAnsi"/>
                <w:sz w:val="22"/>
                <w:szCs w:val="22"/>
              </w:rPr>
              <w:t>programmatūra</w:t>
            </w:r>
            <w:proofErr w:type="spellEnd"/>
            <w:r w:rsidRPr="00FC236C">
              <w:rPr>
                <w:rFonts w:asciiTheme="minorHAnsi" w:hAnsiTheme="minorHAnsi"/>
                <w:sz w:val="22"/>
                <w:szCs w:val="22"/>
              </w:rPr>
              <w:t xml:space="preserve"> </w:t>
            </w:r>
            <w:r w:rsidRPr="00FC236C">
              <w:rPr>
                <w:rFonts w:asciiTheme="minorHAnsi" w:hAnsiTheme="minorHAnsi"/>
                <w:i/>
                <w:iCs/>
                <w:sz w:val="22"/>
                <w:szCs w:val="22"/>
              </w:rPr>
              <w:t>(</w:t>
            </w:r>
            <w:proofErr w:type="spellStart"/>
            <w:r w:rsidRPr="00FC236C">
              <w:rPr>
                <w:rFonts w:asciiTheme="minorHAnsi" w:hAnsiTheme="minorHAnsi"/>
                <w:i/>
                <w:iCs/>
                <w:sz w:val="22"/>
                <w:szCs w:val="22"/>
              </w:rPr>
              <w:t>angl.</w:t>
            </w:r>
            <w:proofErr w:type="spellEnd"/>
            <w:r w:rsidRPr="00FC236C">
              <w:rPr>
                <w:rFonts w:asciiTheme="minorHAnsi" w:hAnsiTheme="minorHAnsi"/>
                <w:i/>
                <w:iCs/>
                <w:sz w:val="22"/>
                <w:szCs w:val="22"/>
              </w:rPr>
              <w:t xml:space="preserve"> – </w:t>
            </w:r>
            <w:proofErr w:type="spellStart"/>
            <w:r w:rsidRPr="00FC236C">
              <w:rPr>
                <w:rFonts w:asciiTheme="minorHAnsi" w:hAnsiTheme="minorHAnsi"/>
                <w:i/>
                <w:iCs/>
                <w:sz w:val="22"/>
                <w:szCs w:val="22"/>
              </w:rPr>
              <w:t>Comercial</w:t>
            </w:r>
            <w:proofErr w:type="spellEnd"/>
            <w:r w:rsidRPr="00FC236C">
              <w:rPr>
                <w:rFonts w:asciiTheme="minorHAnsi" w:hAnsiTheme="minorHAnsi"/>
                <w:i/>
                <w:iCs/>
                <w:sz w:val="22"/>
                <w:szCs w:val="22"/>
              </w:rPr>
              <w:t xml:space="preserve"> </w:t>
            </w:r>
            <w:r w:rsidR="00F07DCB" w:rsidRPr="00FC236C">
              <w:rPr>
                <w:rFonts w:asciiTheme="minorHAnsi" w:hAnsiTheme="minorHAnsi"/>
                <w:i/>
                <w:iCs/>
                <w:sz w:val="22"/>
                <w:szCs w:val="22"/>
              </w:rPr>
              <w:t>off-the-shelf</w:t>
            </w:r>
            <w:r w:rsidR="00F07DCB" w:rsidRPr="00FC236C">
              <w:rPr>
                <w:rFonts w:asciiTheme="minorHAnsi" w:hAnsiTheme="minorHAnsi"/>
                <w:i/>
                <w:iCs/>
                <w:sz w:val="22"/>
                <w:szCs w:val="22"/>
              </w:rPr>
              <w:t>)</w:t>
            </w:r>
          </w:p>
        </w:tc>
      </w:tr>
      <w:tr w:rsidR="008251C2" w:rsidRPr="00FC236C" w14:paraId="4B78D83D" w14:textId="77777777" w:rsidTr="00E37790">
        <w:tc>
          <w:tcPr>
            <w:tcW w:w="126" w:type="pct"/>
            <w:tcBorders>
              <w:top w:val="single" w:sz="18" w:space="0" w:color="FFFFFF"/>
              <w:bottom w:val="single" w:sz="18" w:space="0" w:color="FFFFFF"/>
            </w:tcBorders>
            <w:shd w:val="clear" w:color="auto" w:fill="E5E5E5"/>
            <w:vAlign w:val="top"/>
          </w:tcPr>
          <w:p w14:paraId="74FBCF46" w14:textId="77777777" w:rsidR="008251C2" w:rsidRPr="00FC236C" w:rsidRDefault="008251C2"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7B4BA829" w14:textId="552C53AA" w:rsidR="008251C2" w:rsidRPr="00FC236C" w:rsidRDefault="008251C2" w:rsidP="001316F2">
            <w:pPr>
              <w:rPr>
                <w:rFonts w:asciiTheme="minorHAnsi" w:hAnsiTheme="minorHAnsi"/>
                <w:sz w:val="22"/>
                <w:szCs w:val="22"/>
                <w:lang w:val="lv-LV"/>
              </w:rPr>
            </w:pPr>
            <w:r w:rsidRPr="00FC236C">
              <w:rPr>
                <w:rFonts w:asciiTheme="minorHAnsi" w:hAnsiTheme="minorHAnsi"/>
                <w:sz w:val="22"/>
                <w:szCs w:val="22"/>
                <w:lang w:val="lv-LV"/>
              </w:rPr>
              <w:t>DAGR</w:t>
            </w:r>
          </w:p>
        </w:tc>
        <w:tc>
          <w:tcPr>
            <w:tcW w:w="3825" w:type="pct"/>
            <w:tcBorders>
              <w:top w:val="single" w:sz="2" w:space="0" w:color="BFBFBF"/>
              <w:bottom w:val="single" w:sz="2" w:space="0" w:color="BFBFBF"/>
            </w:tcBorders>
            <w:vAlign w:val="top"/>
          </w:tcPr>
          <w:p w14:paraId="207F374A" w14:textId="7AFAE64E" w:rsidR="008251C2" w:rsidRPr="00FC236C" w:rsidRDefault="00012204" w:rsidP="001316F2">
            <w:pPr>
              <w:rPr>
                <w:rFonts w:asciiTheme="minorHAnsi" w:hAnsiTheme="minorHAnsi"/>
                <w:sz w:val="22"/>
                <w:szCs w:val="22"/>
                <w:lang w:val="lv-LV"/>
              </w:rPr>
            </w:pPr>
            <w:r w:rsidRPr="00FC236C">
              <w:rPr>
                <w:rFonts w:asciiTheme="minorHAnsi" w:hAnsiTheme="minorHAnsi"/>
                <w:sz w:val="22"/>
                <w:szCs w:val="22"/>
                <w:lang w:val="lv-LV"/>
              </w:rPr>
              <w:t>Datu izplatīšanas un pārvaldības platforma</w:t>
            </w:r>
          </w:p>
        </w:tc>
      </w:tr>
      <w:tr w:rsidR="00FC236C" w:rsidRPr="00FC236C" w14:paraId="3B5756FF" w14:textId="77777777" w:rsidTr="00E37790">
        <w:tc>
          <w:tcPr>
            <w:tcW w:w="126" w:type="pct"/>
            <w:tcBorders>
              <w:top w:val="single" w:sz="18" w:space="0" w:color="FFFFFF"/>
              <w:bottom w:val="single" w:sz="18" w:space="0" w:color="FFFFFF"/>
            </w:tcBorders>
            <w:shd w:val="clear" w:color="auto" w:fill="E5E5E5"/>
            <w:vAlign w:val="top"/>
          </w:tcPr>
          <w:p w14:paraId="67D3D7A8" w14:textId="77777777" w:rsidR="00FC236C" w:rsidRPr="00FC236C" w:rsidRDefault="00FC236C"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45053F51" w14:textId="2E179E78" w:rsidR="00FC236C" w:rsidRPr="00FC236C" w:rsidRDefault="00FC236C" w:rsidP="001316F2">
            <w:pPr>
              <w:rPr>
                <w:rFonts w:asciiTheme="minorHAnsi" w:hAnsiTheme="minorHAnsi"/>
                <w:sz w:val="22"/>
                <w:szCs w:val="22"/>
                <w:lang w:val="lv-LV"/>
              </w:rPr>
            </w:pPr>
            <w:r w:rsidRPr="00FC236C">
              <w:rPr>
                <w:rFonts w:asciiTheme="minorHAnsi" w:hAnsiTheme="minorHAnsi"/>
                <w:sz w:val="22"/>
                <w:szCs w:val="22"/>
                <w:lang w:val="lv-LV"/>
              </w:rPr>
              <w:t>EDS</w:t>
            </w:r>
          </w:p>
        </w:tc>
        <w:tc>
          <w:tcPr>
            <w:tcW w:w="3825" w:type="pct"/>
            <w:tcBorders>
              <w:top w:val="single" w:sz="2" w:space="0" w:color="BFBFBF"/>
              <w:bottom w:val="single" w:sz="2" w:space="0" w:color="BFBFBF"/>
            </w:tcBorders>
            <w:vAlign w:val="top"/>
          </w:tcPr>
          <w:p w14:paraId="755AE6DB" w14:textId="1025BCD1" w:rsidR="00FC236C" w:rsidRPr="00FC236C" w:rsidRDefault="00FC236C" w:rsidP="001316F2">
            <w:pPr>
              <w:rPr>
                <w:rFonts w:asciiTheme="minorHAnsi" w:hAnsiTheme="minorHAnsi"/>
                <w:sz w:val="22"/>
                <w:szCs w:val="22"/>
                <w:lang w:val="lv-LV"/>
              </w:rPr>
            </w:pPr>
            <w:r w:rsidRPr="00FC236C">
              <w:rPr>
                <w:rFonts w:asciiTheme="minorHAnsi" w:hAnsiTheme="minorHAnsi"/>
                <w:sz w:val="22"/>
                <w:szCs w:val="22"/>
                <w:lang w:val="lv-LV"/>
              </w:rPr>
              <w:t>Elektroniskā deklarēšanas sistēma</w:t>
            </w:r>
          </w:p>
        </w:tc>
      </w:tr>
      <w:tr w:rsidR="00092E36" w:rsidRPr="00FC236C" w14:paraId="18437054" w14:textId="77777777" w:rsidTr="00E37790">
        <w:tc>
          <w:tcPr>
            <w:tcW w:w="126" w:type="pct"/>
            <w:tcBorders>
              <w:top w:val="single" w:sz="18" w:space="0" w:color="FFFFFF"/>
              <w:bottom w:val="single" w:sz="18" w:space="0" w:color="FFFFFF"/>
            </w:tcBorders>
            <w:shd w:val="clear" w:color="auto" w:fill="E5E5E5"/>
            <w:vAlign w:val="top"/>
          </w:tcPr>
          <w:p w14:paraId="2FA81D69"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5F7CFFBD"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EIF</w:t>
            </w:r>
          </w:p>
        </w:tc>
        <w:tc>
          <w:tcPr>
            <w:tcW w:w="3825" w:type="pct"/>
            <w:tcBorders>
              <w:top w:val="single" w:sz="2" w:space="0" w:color="BFBFBF"/>
              <w:bottom w:val="single" w:sz="2" w:space="0" w:color="BFBFBF"/>
            </w:tcBorders>
            <w:vAlign w:val="top"/>
          </w:tcPr>
          <w:p w14:paraId="596BD125" w14:textId="77777777" w:rsidR="00092E36" w:rsidRPr="00FC236C" w:rsidRDefault="00092E36" w:rsidP="001316F2">
            <w:pPr>
              <w:rPr>
                <w:rFonts w:asciiTheme="minorHAnsi" w:hAnsiTheme="minorHAnsi"/>
                <w:sz w:val="22"/>
                <w:szCs w:val="22"/>
                <w:highlight w:val="yellow"/>
                <w:lang w:val="lv-LV"/>
              </w:rPr>
            </w:pPr>
            <w:r w:rsidRPr="00FC236C">
              <w:rPr>
                <w:rFonts w:asciiTheme="minorHAnsi" w:hAnsiTheme="minorHAnsi"/>
                <w:sz w:val="22"/>
                <w:szCs w:val="22"/>
                <w:lang w:val="lv-LV"/>
              </w:rPr>
              <w:t xml:space="preserve">Eiropas </w:t>
            </w:r>
            <w:proofErr w:type="spellStart"/>
            <w:r w:rsidRPr="00FC236C">
              <w:rPr>
                <w:rFonts w:asciiTheme="minorHAnsi" w:hAnsiTheme="minorHAnsi"/>
                <w:sz w:val="22"/>
                <w:szCs w:val="22"/>
                <w:lang w:val="lv-LV"/>
              </w:rPr>
              <w:t>sadarbspējas</w:t>
            </w:r>
            <w:proofErr w:type="spellEnd"/>
            <w:r w:rsidRPr="00FC236C">
              <w:rPr>
                <w:rFonts w:asciiTheme="minorHAnsi" w:hAnsiTheme="minorHAnsi"/>
                <w:sz w:val="22"/>
                <w:szCs w:val="22"/>
                <w:lang w:val="lv-LV"/>
              </w:rPr>
              <w:t xml:space="preserve"> ietvars </w:t>
            </w:r>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European</w:t>
            </w:r>
            <w:proofErr w:type="spellEnd"/>
            <w:r w:rsidRPr="00FC236C">
              <w:rPr>
                <w:rFonts w:asciiTheme="minorHAnsi" w:hAnsiTheme="minorHAnsi"/>
                <w:i/>
                <w:iCs/>
                <w:sz w:val="22"/>
                <w:szCs w:val="22"/>
                <w:lang w:val="lv-LV"/>
              </w:rPr>
              <w:t xml:space="preserve"> </w:t>
            </w:r>
            <w:proofErr w:type="spellStart"/>
            <w:r w:rsidRPr="00FC236C">
              <w:rPr>
                <w:rFonts w:asciiTheme="minorHAnsi" w:hAnsiTheme="minorHAnsi"/>
                <w:i/>
                <w:iCs/>
                <w:sz w:val="22"/>
                <w:szCs w:val="22"/>
                <w:lang w:val="lv-LV"/>
              </w:rPr>
              <w:t>Interoperability</w:t>
            </w:r>
            <w:proofErr w:type="spellEnd"/>
            <w:r w:rsidRPr="00FC236C">
              <w:rPr>
                <w:rFonts w:asciiTheme="minorHAnsi" w:hAnsiTheme="minorHAnsi"/>
                <w:i/>
                <w:iCs/>
                <w:sz w:val="22"/>
                <w:szCs w:val="22"/>
                <w:lang w:val="lv-LV"/>
              </w:rPr>
              <w:t xml:space="preserve"> </w:t>
            </w:r>
            <w:proofErr w:type="spellStart"/>
            <w:r w:rsidRPr="00FC236C">
              <w:rPr>
                <w:rFonts w:asciiTheme="minorHAnsi" w:hAnsiTheme="minorHAnsi"/>
                <w:i/>
                <w:iCs/>
                <w:sz w:val="22"/>
                <w:szCs w:val="22"/>
                <w:lang w:val="lv-LV"/>
              </w:rPr>
              <w:t>Framework</w:t>
            </w:r>
            <w:proofErr w:type="spellEnd"/>
            <w:r w:rsidRPr="00FC236C">
              <w:rPr>
                <w:rFonts w:asciiTheme="minorHAnsi" w:hAnsiTheme="minorHAnsi"/>
                <w:i/>
                <w:iCs/>
                <w:sz w:val="22"/>
                <w:szCs w:val="22"/>
                <w:lang w:val="lv-LV"/>
              </w:rPr>
              <w:t>)</w:t>
            </w:r>
          </w:p>
        </w:tc>
      </w:tr>
      <w:tr w:rsidR="00092E36" w:rsidRPr="00FC236C" w14:paraId="145C8E31" w14:textId="77777777" w:rsidTr="00E37790">
        <w:tc>
          <w:tcPr>
            <w:tcW w:w="126" w:type="pct"/>
            <w:tcBorders>
              <w:top w:val="single" w:sz="18" w:space="0" w:color="FFFFFF"/>
              <w:bottom w:val="single" w:sz="18" w:space="0" w:color="FFFFFF"/>
            </w:tcBorders>
            <w:shd w:val="clear" w:color="auto" w:fill="E5E5E5"/>
            <w:vAlign w:val="top"/>
          </w:tcPr>
          <w:p w14:paraId="6E3911F7"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E732D90"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ES</w:t>
            </w:r>
          </w:p>
        </w:tc>
        <w:tc>
          <w:tcPr>
            <w:tcW w:w="3825" w:type="pct"/>
            <w:tcBorders>
              <w:top w:val="single" w:sz="2" w:space="0" w:color="BFBFBF"/>
              <w:bottom w:val="single" w:sz="2" w:space="0" w:color="BFBFBF"/>
            </w:tcBorders>
            <w:vAlign w:val="top"/>
          </w:tcPr>
          <w:p w14:paraId="43A7B877"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Eiropas Savienība</w:t>
            </w:r>
          </w:p>
        </w:tc>
      </w:tr>
      <w:tr w:rsidR="00092E36" w:rsidRPr="00FC236C" w14:paraId="0B26BE74" w14:textId="77777777" w:rsidTr="00E37790">
        <w:tc>
          <w:tcPr>
            <w:tcW w:w="126" w:type="pct"/>
            <w:tcBorders>
              <w:top w:val="single" w:sz="18" w:space="0" w:color="FFFFFF"/>
              <w:bottom w:val="single" w:sz="18" w:space="0" w:color="FFFFFF"/>
            </w:tcBorders>
            <w:shd w:val="clear" w:color="auto" w:fill="E5E5E5"/>
            <w:vAlign w:val="top"/>
          </w:tcPr>
          <w:p w14:paraId="3DC7A2ED"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2EC22F9F"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Esošā arhitektūra</w:t>
            </w:r>
          </w:p>
        </w:tc>
        <w:tc>
          <w:tcPr>
            <w:tcW w:w="3825" w:type="pct"/>
            <w:tcBorders>
              <w:top w:val="single" w:sz="2" w:space="0" w:color="BFBFBF"/>
              <w:bottom w:val="single" w:sz="2" w:space="0" w:color="BFBFBF"/>
            </w:tcBorders>
            <w:vAlign w:val="top"/>
          </w:tcPr>
          <w:p w14:paraId="6AA9B236"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Esošās situācijas arhitektūras strukturēts attēlojums</w:t>
            </w:r>
          </w:p>
        </w:tc>
      </w:tr>
      <w:tr w:rsidR="003D6E81" w:rsidRPr="00FC236C" w14:paraId="75BADB43" w14:textId="77777777" w:rsidTr="00E37790">
        <w:tc>
          <w:tcPr>
            <w:tcW w:w="126" w:type="pct"/>
            <w:tcBorders>
              <w:top w:val="single" w:sz="18" w:space="0" w:color="FFFFFF"/>
              <w:bottom w:val="single" w:sz="18" w:space="0" w:color="FFFFFF"/>
            </w:tcBorders>
            <w:shd w:val="clear" w:color="auto" w:fill="E5E5E5"/>
            <w:vAlign w:val="top"/>
          </w:tcPr>
          <w:p w14:paraId="471ADA6B" w14:textId="77777777" w:rsidR="003D6E81" w:rsidRPr="00FC236C" w:rsidRDefault="003D6E81"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C3A0A25" w14:textId="7513EF9B" w:rsidR="003D6E81" w:rsidRPr="00FC236C" w:rsidRDefault="003D6E81" w:rsidP="001316F2">
            <w:pPr>
              <w:rPr>
                <w:rFonts w:asciiTheme="minorHAnsi" w:hAnsiTheme="minorHAnsi"/>
                <w:sz w:val="22"/>
                <w:szCs w:val="22"/>
                <w:lang w:val="lv-LV"/>
              </w:rPr>
            </w:pPr>
            <w:proofErr w:type="spellStart"/>
            <w:r w:rsidRPr="00FC236C">
              <w:rPr>
                <w:rFonts w:asciiTheme="minorHAnsi" w:hAnsiTheme="minorHAnsi"/>
                <w:sz w:val="22"/>
                <w:szCs w:val="22"/>
                <w:lang w:val="lv-LV"/>
              </w:rPr>
              <w:t>IaaS</w:t>
            </w:r>
            <w:proofErr w:type="spellEnd"/>
          </w:p>
        </w:tc>
        <w:tc>
          <w:tcPr>
            <w:tcW w:w="3825" w:type="pct"/>
            <w:tcBorders>
              <w:top w:val="single" w:sz="2" w:space="0" w:color="BFBFBF"/>
              <w:bottom w:val="single" w:sz="2" w:space="0" w:color="BFBFBF"/>
            </w:tcBorders>
            <w:vAlign w:val="top"/>
          </w:tcPr>
          <w:p w14:paraId="09A40E07" w14:textId="182CE1BF" w:rsidR="003D6E81" w:rsidRPr="00FC236C" w:rsidRDefault="003D6E81" w:rsidP="001316F2">
            <w:pPr>
              <w:rPr>
                <w:rFonts w:asciiTheme="minorHAnsi" w:hAnsiTheme="minorHAnsi"/>
                <w:sz w:val="22"/>
                <w:szCs w:val="22"/>
                <w:lang w:val="lv-LV"/>
              </w:rPr>
            </w:pPr>
            <w:r w:rsidRPr="00FC236C">
              <w:rPr>
                <w:rFonts w:asciiTheme="minorHAnsi" w:hAnsiTheme="minorHAnsi"/>
                <w:sz w:val="22"/>
                <w:szCs w:val="22"/>
                <w:lang w:val="lv-LV"/>
              </w:rPr>
              <w:t xml:space="preserve">Infrastruktūra kā pakalpojums </w:t>
            </w:r>
            <w:r w:rsidRPr="00FC236C">
              <w:rPr>
                <w:rFonts w:asciiTheme="minorHAnsi" w:hAnsiTheme="minorHAnsi"/>
                <w:i/>
                <w:iCs/>
                <w:sz w:val="22"/>
                <w:szCs w:val="22"/>
                <w:lang w:val="lv-LV"/>
              </w:rPr>
              <w:t>(</w:t>
            </w:r>
            <w:proofErr w:type="spellStart"/>
            <w:r w:rsidR="004E3240" w:rsidRPr="00FC236C">
              <w:rPr>
                <w:rFonts w:asciiTheme="minorHAnsi" w:hAnsiTheme="minorHAnsi"/>
                <w:i/>
                <w:iCs/>
                <w:sz w:val="22"/>
                <w:szCs w:val="22"/>
                <w:lang w:val="lv-LV"/>
              </w:rPr>
              <w:t>angl</w:t>
            </w:r>
            <w:proofErr w:type="spellEnd"/>
            <w:r w:rsidR="004E3240" w:rsidRPr="00FC236C">
              <w:rPr>
                <w:rFonts w:asciiTheme="minorHAnsi" w:hAnsiTheme="minorHAnsi"/>
                <w:i/>
                <w:iCs/>
                <w:sz w:val="22"/>
                <w:szCs w:val="22"/>
                <w:lang w:val="lv-LV"/>
              </w:rPr>
              <w:t xml:space="preserve">. – </w:t>
            </w:r>
            <w:proofErr w:type="spellStart"/>
            <w:r w:rsidR="004E3240" w:rsidRPr="00FC236C">
              <w:rPr>
                <w:rFonts w:asciiTheme="minorHAnsi" w:hAnsiTheme="minorHAnsi"/>
                <w:i/>
                <w:iCs/>
                <w:sz w:val="22"/>
                <w:szCs w:val="22"/>
                <w:lang w:val="lv-LV"/>
              </w:rPr>
              <w:t>Infrastructure</w:t>
            </w:r>
            <w:proofErr w:type="spellEnd"/>
            <w:r w:rsidR="004E3240" w:rsidRPr="00FC236C">
              <w:rPr>
                <w:rFonts w:asciiTheme="minorHAnsi" w:hAnsiTheme="minorHAnsi"/>
                <w:i/>
                <w:iCs/>
                <w:sz w:val="22"/>
                <w:szCs w:val="22"/>
                <w:lang w:val="lv-LV"/>
              </w:rPr>
              <w:t>-</w:t>
            </w:r>
            <w:proofErr w:type="spellStart"/>
            <w:r w:rsidR="004E3240" w:rsidRPr="00FC236C">
              <w:rPr>
                <w:rFonts w:asciiTheme="minorHAnsi" w:hAnsiTheme="minorHAnsi"/>
                <w:i/>
                <w:iCs/>
                <w:sz w:val="22"/>
                <w:szCs w:val="22"/>
                <w:lang w:val="lv-LV"/>
              </w:rPr>
              <w:t>as</w:t>
            </w:r>
            <w:proofErr w:type="spellEnd"/>
            <w:r w:rsidR="004E3240" w:rsidRPr="00FC236C">
              <w:rPr>
                <w:rFonts w:asciiTheme="minorHAnsi" w:hAnsiTheme="minorHAnsi"/>
                <w:i/>
                <w:iCs/>
                <w:sz w:val="22"/>
                <w:szCs w:val="22"/>
                <w:lang w:val="lv-LV"/>
              </w:rPr>
              <w:t xml:space="preserve">-a </w:t>
            </w:r>
            <w:proofErr w:type="spellStart"/>
            <w:r w:rsidR="004E3240" w:rsidRPr="00FC236C">
              <w:rPr>
                <w:rFonts w:asciiTheme="minorHAnsi" w:hAnsiTheme="minorHAnsi"/>
                <w:i/>
                <w:iCs/>
                <w:sz w:val="22"/>
                <w:szCs w:val="22"/>
                <w:lang w:val="lv-LV"/>
              </w:rPr>
              <w:t>service</w:t>
            </w:r>
            <w:proofErr w:type="spellEnd"/>
            <w:r w:rsidR="004E3240" w:rsidRPr="00FC236C">
              <w:rPr>
                <w:rFonts w:asciiTheme="minorHAnsi" w:hAnsiTheme="minorHAnsi"/>
                <w:i/>
                <w:iCs/>
                <w:sz w:val="22"/>
                <w:szCs w:val="22"/>
                <w:lang w:val="lv-LV"/>
              </w:rPr>
              <w:t>)</w:t>
            </w:r>
          </w:p>
        </w:tc>
      </w:tr>
      <w:tr w:rsidR="00092E36" w:rsidRPr="00FC236C" w14:paraId="7BEE2D89" w14:textId="77777777" w:rsidTr="00E37790">
        <w:tc>
          <w:tcPr>
            <w:tcW w:w="126" w:type="pct"/>
            <w:tcBorders>
              <w:top w:val="single" w:sz="18" w:space="0" w:color="FFFFFF"/>
              <w:bottom w:val="single" w:sz="18" w:space="0" w:color="FFFFFF"/>
            </w:tcBorders>
            <w:shd w:val="clear" w:color="auto" w:fill="E5E5E5"/>
            <w:vAlign w:val="top"/>
          </w:tcPr>
          <w:p w14:paraId="68650CC7"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07A827AE"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I</w:t>
            </w:r>
            <w:r w:rsidRPr="00FC236C">
              <w:rPr>
                <w:rFonts w:asciiTheme="minorHAnsi" w:hAnsiTheme="minorHAnsi"/>
                <w:sz w:val="22"/>
                <w:szCs w:val="22"/>
                <w:lang w:val="lv-LV"/>
              </w:rPr>
              <w:t>K</w:t>
            </w:r>
            <w:r w:rsidRPr="00FC236C">
              <w:rPr>
                <w:rFonts w:asciiTheme="minorHAnsi" w:hAnsiTheme="minorHAnsi"/>
                <w:sz w:val="22"/>
                <w:szCs w:val="22"/>
                <w:lang w:val="lv-LV"/>
              </w:rPr>
              <w:t>T</w:t>
            </w:r>
          </w:p>
        </w:tc>
        <w:tc>
          <w:tcPr>
            <w:tcW w:w="3825" w:type="pct"/>
            <w:tcBorders>
              <w:top w:val="single" w:sz="2" w:space="0" w:color="BFBFBF"/>
              <w:bottom w:val="single" w:sz="2" w:space="0" w:color="BFBFBF"/>
            </w:tcBorders>
            <w:vAlign w:val="top"/>
          </w:tcPr>
          <w:p w14:paraId="5906FB93"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Informācijas</w:t>
            </w:r>
            <w:r w:rsidRPr="00FC236C">
              <w:rPr>
                <w:rFonts w:asciiTheme="minorHAnsi" w:hAnsiTheme="minorHAnsi"/>
                <w:sz w:val="22"/>
                <w:szCs w:val="22"/>
                <w:lang w:val="lv-LV"/>
              </w:rPr>
              <w:t xml:space="preserve"> un komunikāciju</w:t>
            </w:r>
            <w:r w:rsidRPr="00FC236C">
              <w:rPr>
                <w:rFonts w:asciiTheme="minorHAnsi" w:hAnsiTheme="minorHAnsi"/>
                <w:sz w:val="22"/>
                <w:szCs w:val="22"/>
                <w:lang w:val="lv-LV"/>
              </w:rPr>
              <w:t xml:space="preserve"> tehnoloģija</w:t>
            </w:r>
          </w:p>
        </w:tc>
      </w:tr>
      <w:tr w:rsidR="00092E36" w:rsidRPr="00FC236C" w14:paraId="1AEABE5B" w14:textId="77777777" w:rsidTr="00E37790">
        <w:tc>
          <w:tcPr>
            <w:tcW w:w="126" w:type="pct"/>
            <w:tcBorders>
              <w:top w:val="single" w:sz="18" w:space="0" w:color="FFFFFF"/>
              <w:bottom w:val="single" w:sz="18" w:space="0" w:color="FFFFFF"/>
            </w:tcBorders>
            <w:shd w:val="clear" w:color="auto" w:fill="E5E5E5"/>
            <w:vAlign w:val="top"/>
          </w:tcPr>
          <w:p w14:paraId="7B55D9A0"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278ACEE1"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IS</w:t>
            </w:r>
          </w:p>
        </w:tc>
        <w:tc>
          <w:tcPr>
            <w:tcW w:w="3825" w:type="pct"/>
            <w:tcBorders>
              <w:top w:val="single" w:sz="2" w:space="0" w:color="BFBFBF"/>
              <w:bottom w:val="single" w:sz="2" w:space="0" w:color="BFBFBF"/>
            </w:tcBorders>
            <w:vAlign w:val="top"/>
          </w:tcPr>
          <w:p w14:paraId="132F5C0B"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Informācijas sistēma</w:t>
            </w:r>
          </w:p>
        </w:tc>
      </w:tr>
      <w:tr w:rsidR="00092E36" w:rsidRPr="00FC236C" w14:paraId="5D63496D" w14:textId="77777777" w:rsidTr="00E37790">
        <w:tc>
          <w:tcPr>
            <w:tcW w:w="126" w:type="pct"/>
            <w:tcBorders>
              <w:top w:val="single" w:sz="18" w:space="0" w:color="FFFFFF"/>
              <w:bottom w:val="single" w:sz="18" w:space="0" w:color="FFFFFF"/>
            </w:tcBorders>
            <w:shd w:val="clear" w:color="auto" w:fill="E5E5E5"/>
            <w:vAlign w:val="top"/>
          </w:tcPr>
          <w:p w14:paraId="3A9570EA"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219A245"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KPI</w:t>
            </w:r>
          </w:p>
        </w:tc>
        <w:tc>
          <w:tcPr>
            <w:tcW w:w="3825" w:type="pct"/>
            <w:tcBorders>
              <w:top w:val="single" w:sz="2" w:space="0" w:color="BFBFBF"/>
              <w:bottom w:val="single" w:sz="2" w:space="0" w:color="BFBFBF"/>
            </w:tcBorders>
            <w:vAlign w:val="top"/>
          </w:tcPr>
          <w:p w14:paraId="7C72DBB2"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 xml:space="preserve">Izpildes </w:t>
            </w:r>
            <w:proofErr w:type="spellStart"/>
            <w:r w:rsidRPr="00FC236C">
              <w:rPr>
                <w:rFonts w:asciiTheme="minorHAnsi" w:hAnsiTheme="minorHAnsi"/>
                <w:sz w:val="22"/>
                <w:szCs w:val="22"/>
                <w:lang w:val="lv-LV"/>
              </w:rPr>
              <w:t>pamatrādītāji</w:t>
            </w:r>
            <w:proofErr w:type="spellEnd"/>
            <w:r w:rsidRPr="00FC236C">
              <w:rPr>
                <w:rFonts w:asciiTheme="minorHAnsi" w:hAnsiTheme="minorHAnsi"/>
                <w:sz w:val="22"/>
                <w:szCs w:val="22"/>
                <w:lang w:val="lv-LV"/>
              </w:rPr>
              <w:t xml:space="preserve"> </w:t>
            </w:r>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Key</w:t>
            </w:r>
            <w:proofErr w:type="spellEnd"/>
            <w:r w:rsidRPr="00FC236C">
              <w:rPr>
                <w:rFonts w:asciiTheme="minorHAnsi" w:hAnsiTheme="minorHAnsi"/>
                <w:i/>
                <w:iCs/>
                <w:sz w:val="22"/>
                <w:szCs w:val="22"/>
                <w:lang w:val="lv-LV"/>
              </w:rPr>
              <w:t xml:space="preserve"> Performance </w:t>
            </w:r>
            <w:proofErr w:type="spellStart"/>
            <w:r w:rsidRPr="00FC236C">
              <w:rPr>
                <w:rFonts w:asciiTheme="minorHAnsi" w:hAnsiTheme="minorHAnsi"/>
                <w:i/>
                <w:iCs/>
                <w:sz w:val="22"/>
                <w:szCs w:val="22"/>
                <w:lang w:val="lv-LV"/>
              </w:rPr>
              <w:t>Indicators</w:t>
            </w:r>
            <w:proofErr w:type="spellEnd"/>
            <w:r w:rsidRPr="00FC236C">
              <w:rPr>
                <w:rFonts w:asciiTheme="minorHAnsi" w:hAnsiTheme="minorHAnsi"/>
                <w:i/>
                <w:iCs/>
                <w:sz w:val="22"/>
                <w:szCs w:val="22"/>
                <w:lang w:val="lv-LV"/>
              </w:rPr>
              <w:t>)</w:t>
            </w:r>
          </w:p>
        </w:tc>
      </w:tr>
      <w:tr w:rsidR="00092E36" w:rsidRPr="00FC236C" w14:paraId="35E6C6BB" w14:textId="77777777" w:rsidTr="00E37790">
        <w:tc>
          <w:tcPr>
            <w:tcW w:w="126" w:type="pct"/>
            <w:tcBorders>
              <w:top w:val="single" w:sz="18" w:space="0" w:color="FFFFFF"/>
              <w:bottom w:val="single" w:sz="18" w:space="0" w:color="FFFFFF"/>
            </w:tcBorders>
            <w:shd w:val="clear" w:color="auto" w:fill="E5E5E5"/>
            <w:vAlign w:val="top"/>
          </w:tcPr>
          <w:p w14:paraId="4504CDEA"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45C5263" w14:textId="77777777" w:rsidR="00092E36" w:rsidRPr="00FC236C" w:rsidRDefault="00092E36" w:rsidP="001316F2">
            <w:pPr>
              <w:rPr>
                <w:rFonts w:asciiTheme="minorHAnsi" w:hAnsiTheme="minorHAnsi"/>
                <w:sz w:val="22"/>
                <w:szCs w:val="22"/>
                <w:lang w:val="lv-LV"/>
              </w:rPr>
            </w:pPr>
            <w:proofErr w:type="spellStart"/>
            <w:r w:rsidRPr="00FC236C">
              <w:rPr>
                <w:rFonts w:asciiTheme="minorHAnsi" w:hAnsiTheme="minorHAnsi"/>
                <w:sz w:val="22"/>
                <w:szCs w:val="22"/>
                <w:lang w:val="lv-LV"/>
              </w:rPr>
              <w:t>Mērķarhitektūra</w:t>
            </w:r>
            <w:proofErr w:type="spellEnd"/>
          </w:p>
        </w:tc>
        <w:tc>
          <w:tcPr>
            <w:tcW w:w="3825" w:type="pct"/>
            <w:tcBorders>
              <w:top w:val="single" w:sz="2" w:space="0" w:color="BFBFBF"/>
              <w:bottom w:val="single" w:sz="2" w:space="0" w:color="BFBFBF"/>
            </w:tcBorders>
            <w:vAlign w:val="top"/>
          </w:tcPr>
          <w:p w14:paraId="44D18BA3"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 xml:space="preserve">Vēlamās nākotnes arhitektūras strukturēts attēlojums </w:t>
            </w:r>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angl</w:t>
            </w:r>
            <w:proofErr w:type="spellEnd"/>
            <w:r w:rsidRPr="00FC236C">
              <w:rPr>
                <w:rFonts w:asciiTheme="minorHAnsi" w:hAnsiTheme="minorHAnsi"/>
                <w:i/>
                <w:iCs/>
                <w:sz w:val="22"/>
                <w:szCs w:val="22"/>
                <w:lang w:val="lv-LV"/>
              </w:rPr>
              <w:t xml:space="preserve">. – Target </w:t>
            </w:r>
            <w:proofErr w:type="spellStart"/>
            <w:r w:rsidRPr="00FC236C">
              <w:rPr>
                <w:rFonts w:asciiTheme="minorHAnsi" w:hAnsiTheme="minorHAnsi"/>
                <w:i/>
                <w:iCs/>
                <w:sz w:val="22"/>
                <w:szCs w:val="22"/>
                <w:lang w:val="lv-LV"/>
              </w:rPr>
              <w:t>Architecture</w:t>
            </w:r>
            <w:proofErr w:type="spellEnd"/>
            <w:r w:rsidRPr="00FC236C">
              <w:rPr>
                <w:rFonts w:asciiTheme="minorHAnsi" w:hAnsiTheme="minorHAnsi"/>
                <w:i/>
                <w:iCs/>
                <w:sz w:val="22"/>
                <w:szCs w:val="22"/>
                <w:lang w:val="lv-LV"/>
              </w:rPr>
              <w:t>)</w:t>
            </w:r>
          </w:p>
        </w:tc>
      </w:tr>
      <w:tr w:rsidR="00092E36" w:rsidRPr="00FC236C" w14:paraId="4FD8F444" w14:textId="77777777" w:rsidTr="00E37790">
        <w:tc>
          <w:tcPr>
            <w:tcW w:w="126" w:type="pct"/>
            <w:tcBorders>
              <w:top w:val="single" w:sz="18" w:space="0" w:color="FFFFFF"/>
              <w:bottom w:val="single" w:sz="18" w:space="0" w:color="FFFFFF"/>
            </w:tcBorders>
            <w:shd w:val="clear" w:color="auto" w:fill="E5E5E5"/>
            <w:vAlign w:val="top"/>
          </w:tcPr>
          <w:p w14:paraId="7162B797"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732A1CE1"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MK</w:t>
            </w:r>
          </w:p>
        </w:tc>
        <w:tc>
          <w:tcPr>
            <w:tcW w:w="3825" w:type="pct"/>
            <w:tcBorders>
              <w:top w:val="single" w:sz="2" w:space="0" w:color="BFBFBF"/>
              <w:bottom w:val="single" w:sz="2" w:space="0" w:color="BFBFBF"/>
            </w:tcBorders>
            <w:vAlign w:val="top"/>
          </w:tcPr>
          <w:p w14:paraId="31A2DBD9"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Ministru kabinets</w:t>
            </w:r>
          </w:p>
        </w:tc>
      </w:tr>
      <w:tr w:rsidR="007966D1" w:rsidRPr="00FC236C" w14:paraId="33BC74BE" w14:textId="77777777" w:rsidTr="00E37790">
        <w:tc>
          <w:tcPr>
            <w:tcW w:w="126" w:type="pct"/>
            <w:tcBorders>
              <w:top w:val="single" w:sz="18" w:space="0" w:color="FFFFFF"/>
              <w:bottom w:val="single" w:sz="18" w:space="0" w:color="FFFFFF"/>
            </w:tcBorders>
            <w:shd w:val="clear" w:color="auto" w:fill="E5E5E5"/>
            <w:vAlign w:val="top"/>
          </w:tcPr>
          <w:p w14:paraId="359D0EC3" w14:textId="77777777" w:rsidR="007966D1" w:rsidRPr="00FC236C" w:rsidRDefault="007966D1"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54C0DC7" w14:textId="5F9992AD" w:rsidR="007966D1" w:rsidRPr="00FC236C" w:rsidRDefault="007966D1" w:rsidP="001316F2">
            <w:pPr>
              <w:rPr>
                <w:rFonts w:asciiTheme="minorHAnsi" w:hAnsiTheme="minorHAnsi"/>
                <w:sz w:val="22"/>
                <w:szCs w:val="22"/>
                <w:lang w:val="lv-LV"/>
              </w:rPr>
            </w:pPr>
            <w:r w:rsidRPr="00FC236C">
              <w:rPr>
                <w:rFonts w:asciiTheme="minorHAnsi" w:hAnsiTheme="minorHAnsi"/>
                <w:sz w:val="22"/>
                <w:szCs w:val="22"/>
                <w:lang w:val="lv-LV"/>
              </w:rPr>
              <w:t>LAD</w:t>
            </w:r>
          </w:p>
        </w:tc>
        <w:tc>
          <w:tcPr>
            <w:tcW w:w="3825" w:type="pct"/>
            <w:tcBorders>
              <w:top w:val="single" w:sz="2" w:space="0" w:color="BFBFBF"/>
              <w:bottom w:val="single" w:sz="2" w:space="0" w:color="BFBFBF"/>
            </w:tcBorders>
            <w:vAlign w:val="top"/>
          </w:tcPr>
          <w:p w14:paraId="31B97B50" w14:textId="7B532A5E" w:rsidR="007966D1" w:rsidRPr="00FC236C" w:rsidRDefault="007966D1" w:rsidP="001316F2">
            <w:pPr>
              <w:rPr>
                <w:rFonts w:asciiTheme="minorHAnsi" w:hAnsiTheme="minorHAnsi"/>
                <w:sz w:val="22"/>
                <w:szCs w:val="22"/>
                <w:lang w:val="lv-LV"/>
              </w:rPr>
            </w:pPr>
            <w:r w:rsidRPr="00FC236C">
              <w:rPr>
                <w:rFonts w:asciiTheme="minorHAnsi" w:hAnsiTheme="minorHAnsi"/>
                <w:sz w:val="22"/>
                <w:szCs w:val="22"/>
                <w:lang w:val="lv-LV"/>
              </w:rPr>
              <w:t>Lauku atbalsta dienests</w:t>
            </w:r>
          </w:p>
        </w:tc>
      </w:tr>
      <w:tr w:rsidR="0068188E" w:rsidRPr="00FC236C" w14:paraId="0A176BB2" w14:textId="77777777" w:rsidTr="00E37790">
        <w:tc>
          <w:tcPr>
            <w:tcW w:w="126" w:type="pct"/>
            <w:tcBorders>
              <w:top w:val="single" w:sz="18" w:space="0" w:color="FFFFFF"/>
              <w:bottom w:val="single" w:sz="18" w:space="0" w:color="FFFFFF"/>
            </w:tcBorders>
            <w:shd w:val="clear" w:color="auto" w:fill="E5E5E5"/>
            <w:vAlign w:val="top"/>
          </w:tcPr>
          <w:p w14:paraId="42863040" w14:textId="77777777" w:rsidR="0068188E" w:rsidRPr="00FC236C" w:rsidRDefault="0068188E"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30F5D6FA" w14:textId="68FEF2ED" w:rsidR="0068188E" w:rsidRPr="00FC236C" w:rsidRDefault="0068188E" w:rsidP="001316F2">
            <w:pPr>
              <w:rPr>
                <w:rFonts w:asciiTheme="minorHAnsi" w:hAnsiTheme="minorHAnsi"/>
                <w:sz w:val="22"/>
                <w:szCs w:val="22"/>
                <w:lang w:val="lv-LV"/>
              </w:rPr>
            </w:pPr>
            <w:r w:rsidRPr="00FC236C">
              <w:rPr>
                <w:rFonts w:asciiTheme="minorHAnsi" w:hAnsiTheme="minorHAnsi"/>
                <w:sz w:val="22"/>
                <w:szCs w:val="22"/>
                <w:lang w:val="lv-LV"/>
              </w:rPr>
              <w:t>LVS</w:t>
            </w:r>
          </w:p>
        </w:tc>
        <w:tc>
          <w:tcPr>
            <w:tcW w:w="3825" w:type="pct"/>
            <w:tcBorders>
              <w:top w:val="single" w:sz="2" w:space="0" w:color="BFBFBF"/>
              <w:bottom w:val="single" w:sz="2" w:space="0" w:color="BFBFBF"/>
            </w:tcBorders>
            <w:vAlign w:val="top"/>
          </w:tcPr>
          <w:p w14:paraId="6244F27C" w14:textId="45FED667" w:rsidR="0068188E" w:rsidRPr="00FC236C" w:rsidRDefault="0068188E" w:rsidP="001316F2">
            <w:pPr>
              <w:rPr>
                <w:rFonts w:asciiTheme="minorHAnsi" w:hAnsiTheme="minorHAnsi"/>
                <w:sz w:val="22"/>
                <w:szCs w:val="22"/>
                <w:lang w:val="lv-LV"/>
              </w:rPr>
            </w:pPr>
            <w:r w:rsidRPr="00FC236C">
              <w:rPr>
                <w:rFonts w:asciiTheme="minorHAnsi" w:hAnsiTheme="minorHAnsi"/>
                <w:sz w:val="22"/>
                <w:szCs w:val="22"/>
                <w:lang w:val="lv-LV"/>
              </w:rPr>
              <w:t>Latvijas Valsts standar</w:t>
            </w:r>
            <w:r w:rsidR="00A82A04" w:rsidRPr="00FC236C">
              <w:rPr>
                <w:rFonts w:asciiTheme="minorHAnsi" w:hAnsiTheme="minorHAnsi"/>
                <w:sz w:val="22"/>
                <w:szCs w:val="22"/>
                <w:lang w:val="lv-LV"/>
              </w:rPr>
              <w:t>ts</w:t>
            </w:r>
          </w:p>
        </w:tc>
      </w:tr>
      <w:tr w:rsidR="00092E36" w:rsidRPr="00FC236C" w14:paraId="0AD89498" w14:textId="77777777" w:rsidTr="00E37790">
        <w:tc>
          <w:tcPr>
            <w:tcW w:w="126" w:type="pct"/>
            <w:tcBorders>
              <w:top w:val="single" w:sz="18" w:space="0" w:color="FFFFFF"/>
              <w:bottom w:val="single" w:sz="18" w:space="0" w:color="FFFFFF"/>
            </w:tcBorders>
            <w:shd w:val="clear" w:color="auto" w:fill="E5E5E5"/>
            <w:vAlign w:val="top"/>
          </w:tcPr>
          <w:p w14:paraId="511FA5C6"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46278B4D"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VARAM</w:t>
            </w:r>
          </w:p>
        </w:tc>
        <w:tc>
          <w:tcPr>
            <w:tcW w:w="3825" w:type="pct"/>
            <w:tcBorders>
              <w:top w:val="single" w:sz="2" w:space="0" w:color="BFBFBF"/>
              <w:bottom w:val="single" w:sz="2" w:space="0" w:color="BFBFBF"/>
            </w:tcBorders>
            <w:vAlign w:val="top"/>
          </w:tcPr>
          <w:p w14:paraId="7617D1CD"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Vides aizsardzības un reģionālās attīstības ministrija</w:t>
            </w:r>
          </w:p>
        </w:tc>
      </w:tr>
      <w:tr w:rsidR="00092E36" w:rsidRPr="00FC236C" w14:paraId="0608AC03" w14:textId="77777777" w:rsidTr="00E37790">
        <w:tc>
          <w:tcPr>
            <w:tcW w:w="126" w:type="pct"/>
            <w:tcBorders>
              <w:top w:val="single" w:sz="18" w:space="0" w:color="FFFFFF"/>
              <w:bottom w:val="single" w:sz="18" w:space="0" w:color="FFFFFF"/>
            </w:tcBorders>
            <w:shd w:val="clear" w:color="auto" w:fill="E5E5E5"/>
            <w:vAlign w:val="top"/>
          </w:tcPr>
          <w:p w14:paraId="31C94D15"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29EEB82"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V</w:t>
            </w:r>
            <w:r w:rsidRPr="00FC236C">
              <w:rPr>
                <w:rFonts w:asciiTheme="minorHAnsi" w:hAnsiTheme="minorHAnsi"/>
                <w:sz w:val="22"/>
                <w:szCs w:val="22"/>
                <w:lang w:val="lv-LV"/>
              </w:rPr>
              <w:t>D</w:t>
            </w:r>
            <w:r w:rsidRPr="00FC236C">
              <w:rPr>
                <w:rFonts w:asciiTheme="minorHAnsi" w:hAnsiTheme="minorHAnsi"/>
                <w:sz w:val="22"/>
                <w:szCs w:val="22"/>
                <w:lang w:val="lv-LV"/>
              </w:rPr>
              <w:t>AA</w:t>
            </w:r>
          </w:p>
        </w:tc>
        <w:tc>
          <w:tcPr>
            <w:tcW w:w="3825" w:type="pct"/>
            <w:tcBorders>
              <w:top w:val="single" w:sz="2" w:space="0" w:color="BFBFBF"/>
              <w:bottom w:val="single" w:sz="2" w:space="0" w:color="BFBFBF"/>
            </w:tcBorders>
            <w:vAlign w:val="top"/>
          </w:tcPr>
          <w:p w14:paraId="75BD9BA3"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 xml:space="preserve">Valsts </w:t>
            </w:r>
            <w:r w:rsidRPr="00FC236C">
              <w:rPr>
                <w:rFonts w:asciiTheme="minorHAnsi" w:hAnsiTheme="minorHAnsi"/>
                <w:sz w:val="22"/>
                <w:szCs w:val="22"/>
                <w:lang w:val="lv-LV"/>
              </w:rPr>
              <w:t>digitālās</w:t>
            </w:r>
            <w:r w:rsidRPr="00FC236C">
              <w:rPr>
                <w:rFonts w:asciiTheme="minorHAnsi" w:hAnsiTheme="minorHAnsi"/>
                <w:sz w:val="22"/>
                <w:szCs w:val="22"/>
                <w:lang w:val="lv-LV"/>
              </w:rPr>
              <w:t xml:space="preserve"> attīstības aģentūra</w:t>
            </w:r>
          </w:p>
        </w:tc>
      </w:tr>
      <w:tr w:rsidR="000706DD" w:rsidRPr="00FC236C" w14:paraId="15F52FEF" w14:textId="77777777" w:rsidTr="00E37790">
        <w:tc>
          <w:tcPr>
            <w:tcW w:w="126" w:type="pct"/>
            <w:tcBorders>
              <w:top w:val="single" w:sz="18" w:space="0" w:color="FFFFFF"/>
              <w:bottom w:val="single" w:sz="18" w:space="0" w:color="FFFFFF"/>
            </w:tcBorders>
            <w:shd w:val="clear" w:color="auto" w:fill="E5E5E5"/>
            <w:vAlign w:val="top"/>
          </w:tcPr>
          <w:p w14:paraId="23C6A3F4" w14:textId="77777777" w:rsidR="000706DD" w:rsidRPr="00FC236C" w:rsidRDefault="000706DD"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68C9E69" w14:textId="685D10DC" w:rsidR="000706DD" w:rsidRPr="00FC236C" w:rsidRDefault="000706DD" w:rsidP="001316F2">
            <w:pPr>
              <w:rPr>
                <w:rFonts w:asciiTheme="minorHAnsi" w:hAnsiTheme="minorHAnsi"/>
                <w:sz w:val="22"/>
                <w:szCs w:val="22"/>
                <w:lang w:val="lv-LV"/>
              </w:rPr>
            </w:pPr>
            <w:r w:rsidRPr="00FC236C">
              <w:rPr>
                <w:rFonts w:asciiTheme="minorHAnsi" w:hAnsiTheme="minorHAnsi"/>
                <w:sz w:val="22"/>
                <w:szCs w:val="22"/>
                <w:lang w:val="lv-LV"/>
              </w:rPr>
              <w:t>VID</w:t>
            </w:r>
          </w:p>
        </w:tc>
        <w:tc>
          <w:tcPr>
            <w:tcW w:w="3825" w:type="pct"/>
            <w:tcBorders>
              <w:top w:val="single" w:sz="2" w:space="0" w:color="BFBFBF"/>
              <w:bottom w:val="single" w:sz="2" w:space="0" w:color="BFBFBF"/>
            </w:tcBorders>
            <w:vAlign w:val="top"/>
          </w:tcPr>
          <w:p w14:paraId="2BA5E2A9" w14:textId="338566C9" w:rsidR="000706DD" w:rsidRPr="00FC236C" w:rsidRDefault="000706DD" w:rsidP="001316F2">
            <w:pPr>
              <w:rPr>
                <w:rFonts w:asciiTheme="minorHAnsi" w:hAnsiTheme="minorHAnsi"/>
                <w:sz w:val="22"/>
                <w:szCs w:val="22"/>
                <w:lang w:val="lv-LV"/>
              </w:rPr>
            </w:pPr>
            <w:r w:rsidRPr="00FC236C">
              <w:rPr>
                <w:rFonts w:asciiTheme="minorHAnsi" w:hAnsiTheme="minorHAnsi"/>
                <w:sz w:val="22"/>
                <w:szCs w:val="22"/>
                <w:lang w:val="lv-LV"/>
              </w:rPr>
              <w:t xml:space="preserve">Valsts ieņēmumu </w:t>
            </w:r>
            <w:proofErr w:type="spellStart"/>
            <w:r w:rsidRPr="00FC236C">
              <w:rPr>
                <w:rFonts w:asciiTheme="minorHAnsi" w:hAnsiTheme="minorHAnsi"/>
                <w:sz w:val="22"/>
                <w:szCs w:val="22"/>
                <w:lang w:val="lv-LV"/>
              </w:rPr>
              <w:t>diensts</w:t>
            </w:r>
            <w:proofErr w:type="spellEnd"/>
          </w:p>
        </w:tc>
      </w:tr>
      <w:tr w:rsidR="00092E36" w:rsidRPr="00FC236C" w14:paraId="373DF5FE" w14:textId="77777777" w:rsidTr="00E37790">
        <w:tc>
          <w:tcPr>
            <w:tcW w:w="126" w:type="pct"/>
            <w:tcBorders>
              <w:top w:val="single" w:sz="18" w:space="0" w:color="FFFFFF"/>
              <w:bottom w:val="single" w:sz="18" w:space="0" w:color="FFFFFF"/>
            </w:tcBorders>
            <w:shd w:val="clear" w:color="auto" w:fill="E5E5E5"/>
            <w:vAlign w:val="top"/>
          </w:tcPr>
          <w:p w14:paraId="2A0FBB8E"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389AFCDF"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VIRSIS</w:t>
            </w:r>
          </w:p>
        </w:tc>
        <w:tc>
          <w:tcPr>
            <w:tcW w:w="3825" w:type="pct"/>
            <w:tcBorders>
              <w:top w:val="single" w:sz="2" w:space="0" w:color="BFBFBF"/>
              <w:bottom w:val="single" w:sz="2" w:space="0" w:color="BFBFBF"/>
            </w:tcBorders>
            <w:vAlign w:val="top"/>
          </w:tcPr>
          <w:p w14:paraId="2CE3B906"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 xml:space="preserve">Valsts informācijas resursu, sistēmu un </w:t>
            </w:r>
            <w:proofErr w:type="spellStart"/>
            <w:r w:rsidRPr="00FC236C">
              <w:rPr>
                <w:rFonts w:asciiTheme="minorHAnsi" w:hAnsiTheme="minorHAnsi"/>
                <w:sz w:val="22"/>
                <w:szCs w:val="22"/>
                <w:lang w:val="lv-LV"/>
              </w:rPr>
              <w:t>sadarbspējas</w:t>
            </w:r>
            <w:proofErr w:type="spellEnd"/>
            <w:r w:rsidRPr="00FC236C">
              <w:rPr>
                <w:rFonts w:asciiTheme="minorHAnsi" w:hAnsiTheme="minorHAnsi"/>
                <w:sz w:val="22"/>
                <w:szCs w:val="22"/>
                <w:lang w:val="lv-LV"/>
              </w:rPr>
              <w:t xml:space="preserve"> informācijas sistēma</w:t>
            </w:r>
          </w:p>
        </w:tc>
      </w:tr>
      <w:tr w:rsidR="000706DD" w:rsidRPr="00FC236C" w14:paraId="746F8B3C" w14:textId="77777777" w:rsidTr="00E37790">
        <w:tc>
          <w:tcPr>
            <w:tcW w:w="126" w:type="pct"/>
            <w:tcBorders>
              <w:top w:val="single" w:sz="18" w:space="0" w:color="FFFFFF"/>
              <w:bottom w:val="single" w:sz="18" w:space="0" w:color="FFFFFF"/>
            </w:tcBorders>
            <w:shd w:val="clear" w:color="auto" w:fill="E5E5E5"/>
            <w:vAlign w:val="top"/>
          </w:tcPr>
          <w:p w14:paraId="7F3E1FF1" w14:textId="77777777" w:rsidR="000706DD" w:rsidRPr="00FC236C" w:rsidRDefault="000706DD"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0D5C4C3A" w14:textId="763D79B3" w:rsidR="000706DD" w:rsidRPr="00FC236C" w:rsidRDefault="000706DD" w:rsidP="001316F2">
            <w:pPr>
              <w:rPr>
                <w:rFonts w:asciiTheme="minorHAnsi" w:hAnsiTheme="minorHAnsi"/>
                <w:sz w:val="22"/>
                <w:szCs w:val="22"/>
                <w:lang w:val="lv-LV"/>
              </w:rPr>
            </w:pPr>
            <w:r w:rsidRPr="00FC236C">
              <w:rPr>
                <w:rFonts w:asciiTheme="minorHAnsi" w:hAnsiTheme="minorHAnsi"/>
                <w:sz w:val="22"/>
                <w:szCs w:val="22"/>
                <w:lang w:val="lv-LV"/>
              </w:rPr>
              <w:t>VPVKAC IS</w:t>
            </w:r>
          </w:p>
        </w:tc>
        <w:tc>
          <w:tcPr>
            <w:tcW w:w="3825" w:type="pct"/>
            <w:tcBorders>
              <w:top w:val="single" w:sz="2" w:space="0" w:color="BFBFBF"/>
              <w:bottom w:val="single" w:sz="2" w:space="0" w:color="BFBFBF"/>
            </w:tcBorders>
            <w:vAlign w:val="top"/>
          </w:tcPr>
          <w:p w14:paraId="28E5014C" w14:textId="7098899D" w:rsidR="000706DD" w:rsidRPr="00FC236C" w:rsidRDefault="00FC236C" w:rsidP="001316F2">
            <w:pPr>
              <w:rPr>
                <w:rFonts w:asciiTheme="minorHAnsi" w:hAnsiTheme="minorHAnsi"/>
                <w:sz w:val="22"/>
                <w:szCs w:val="22"/>
                <w:lang w:val="lv-LV"/>
              </w:rPr>
            </w:pPr>
            <w:r w:rsidRPr="00FC236C">
              <w:rPr>
                <w:rFonts w:asciiTheme="minorHAnsi" w:hAnsiTheme="minorHAnsi"/>
                <w:sz w:val="22"/>
                <w:szCs w:val="22"/>
                <w:lang w:val="lv-LV"/>
              </w:rPr>
              <w:t>Valsts un pašvaldību vienot</w:t>
            </w:r>
            <w:r w:rsidRPr="00FC236C">
              <w:rPr>
                <w:rFonts w:asciiTheme="minorHAnsi" w:hAnsiTheme="minorHAnsi"/>
                <w:sz w:val="22"/>
                <w:szCs w:val="22"/>
                <w:lang w:val="lv-LV"/>
              </w:rPr>
              <w:t>o</w:t>
            </w:r>
            <w:r w:rsidRPr="00FC236C">
              <w:rPr>
                <w:rFonts w:asciiTheme="minorHAnsi" w:hAnsiTheme="minorHAnsi"/>
                <w:sz w:val="22"/>
                <w:szCs w:val="22"/>
                <w:lang w:val="lv-LV"/>
              </w:rPr>
              <w:t xml:space="preserve"> klientu apkalpošanas centr</w:t>
            </w:r>
            <w:r w:rsidRPr="00FC236C">
              <w:rPr>
                <w:rFonts w:asciiTheme="minorHAnsi" w:hAnsiTheme="minorHAnsi"/>
                <w:sz w:val="22"/>
                <w:szCs w:val="22"/>
                <w:lang w:val="lv-LV"/>
              </w:rPr>
              <w:t>u informācijas sistēma</w:t>
            </w:r>
          </w:p>
        </w:tc>
      </w:tr>
      <w:tr w:rsidR="00092E36" w:rsidRPr="00FC236C" w14:paraId="18C94AA8" w14:textId="77777777" w:rsidTr="00E37790">
        <w:tc>
          <w:tcPr>
            <w:tcW w:w="126" w:type="pct"/>
            <w:tcBorders>
              <w:top w:val="single" w:sz="18" w:space="0" w:color="FFFFFF"/>
              <w:bottom w:val="single" w:sz="18" w:space="0" w:color="FFFFFF"/>
            </w:tcBorders>
            <w:shd w:val="clear" w:color="auto" w:fill="E5E5E5"/>
            <w:vAlign w:val="top"/>
          </w:tcPr>
          <w:p w14:paraId="5F12F0CE" w14:textId="77777777" w:rsidR="00092E36" w:rsidRPr="00FC236C" w:rsidRDefault="00092E36"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74ACFF60"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VISS</w:t>
            </w:r>
          </w:p>
        </w:tc>
        <w:tc>
          <w:tcPr>
            <w:tcW w:w="3825" w:type="pct"/>
            <w:tcBorders>
              <w:top w:val="single" w:sz="2" w:space="0" w:color="BFBFBF"/>
              <w:bottom w:val="single" w:sz="2" w:space="0" w:color="BFBFBF"/>
            </w:tcBorders>
            <w:vAlign w:val="top"/>
          </w:tcPr>
          <w:p w14:paraId="2BCDFF56" w14:textId="77777777" w:rsidR="00092E36" w:rsidRPr="00FC236C" w:rsidRDefault="00092E36" w:rsidP="001316F2">
            <w:pPr>
              <w:rPr>
                <w:rFonts w:asciiTheme="minorHAnsi" w:hAnsiTheme="minorHAnsi"/>
                <w:sz w:val="22"/>
                <w:szCs w:val="22"/>
                <w:lang w:val="lv-LV"/>
              </w:rPr>
            </w:pPr>
            <w:r w:rsidRPr="00FC236C">
              <w:rPr>
                <w:rFonts w:asciiTheme="minorHAnsi" w:hAnsiTheme="minorHAnsi"/>
                <w:sz w:val="22"/>
                <w:szCs w:val="22"/>
                <w:lang w:val="lv-LV"/>
              </w:rPr>
              <w:t xml:space="preserve">Valsts informācijas sistēmu </w:t>
            </w:r>
            <w:proofErr w:type="spellStart"/>
            <w:r w:rsidRPr="00FC236C">
              <w:rPr>
                <w:rFonts w:asciiTheme="minorHAnsi" w:hAnsiTheme="minorHAnsi"/>
                <w:sz w:val="22"/>
                <w:szCs w:val="22"/>
                <w:lang w:val="lv-LV"/>
              </w:rPr>
              <w:t>savietotājs</w:t>
            </w:r>
            <w:proofErr w:type="spellEnd"/>
          </w:p>
        </w:tc>
      </w:tr>
      <w:tr w:rsidR="003D6E81" w:rsidRPr="00FC236C" w14:paraId="14389D13" w14:textId="77777777" w:rsidTr="00E37790">
        <w:tc>
          <w:tcPr>
            <w:tcW w:w="126" w:type="pct"/>
            <w:tcBorders>
              <w:top w:val="single" w:sz="18" w:space="0" w:color="FFFFFF"/>
              <w:bottom w:val="single" w:sz="18" w:space="0" w:color="FFFFFF"/>
            </w:tcBorders>
            <w:shd w:val="clear" w:color="auto" w:fill="E5E5E5"/>
            <w:vAlign w:val="top"/>
          </w:tcPr>
          <w:p w14:paraId="113BC224" w14:textId="77777777" w:rsidR="003D6E81" w:rsidRPr="00FC236C" w:rsidRDefault="003D6E81"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3C9398EC" w14:textId="26F9853E" w:rsidR="003D6E81" w:rsidRPr="00FC236C" w:rsidRDefault="003D6E81" w:rsidP="001316F2">
            <w:pPr>
              <w:rPr>
                <w:rFonts w:asciiTheme="minorHAnsi" w:hAnsiTheme="minorHAnsi"/>
                <w:sz w:val="22"/>
                <w:szCs w:val="22"/>
                <w:lang w:val="lv-LV"/>
              </w:rPr>
            </w:pPr>
            <w:proofErr w:type="spellStart"/>
            <w:r w:rsidRPr="00FC236C">
              <w:rPr>
                <w:rFonts w:asciiTheme="minorHAnsi" w:hAnsiTheme="minorHAnsi"/>
                <w:sz w:val="22"/>
                <w:szCs w:val="22"/>
                <w:lang w:val="lv-LV"/>
              </w:rPr>
              <w:t>SaaS</w:t>
            </w:r>
            <w:proofErr w:type="spellEnd"/>
          </w:p>
        </w:tc>
        <w:tc>
          <w:tcPr>
            <w:tcW w:w="3825" w:type="pct"/>
            <w:tcBorders>
              <w:top w:val="single" w:sz="2" w:space="0" w:color="BFBFBF"/>
              <w:bottom w:val="single" w:sz="2" w:space="0" w:color="BFBFBF"/>
            </w:tcBorders>
            <w:vAlign w:val="top"/>
          </w:tcPr>
          <w:p w14:paraId="055E7845" w14:textId="02237986" w:rsidR="003D6E81" w:rsidRPr="00FC236C" w:rsidRDefault="003D6E81" w:rsidP="001316F2">
            <w:pPr>
              <w:rPr>
                <w:rFonts w:asciiTheme="minorHAnsi" w:hAnsiTheme="minorHAnsi"/>
                <w:sz w:val="22"/>
                <w:szCs w:val="22"/>
                <w:lang w:val="lv-LV"/>
              </w:rPr>
            </w:pPr>
            <w:r w:rsidRPr="00FC236C">
              <w:rPr>
                <w:rFonts w:asciiTheme="minorHAnsi" w:hAnsiTheme="minorHAnsi"/>
                <w:sz w:val="22"/>
                <w:szCs w:val="22"/>
                <w:lang w:val="lv-LV"/>
              </w:rPr>
              <w:t xml:space="preserve">Programmatūra kā pakalpojums </w:t>
            </w:r>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Sofware</w:t>
            </w:r>
            <w:proofErr w:type="spellEnd"/>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as</w:t>
            </w:r>
            <w:proofErr w:type="spellEnd"/>
            <w:r w:rsidRPr="00FC236C">
              <w:rPr>
                <w:rFonts w:asciiTheme="minorHAnsi" w:hAnsiTheme="minorHAnsi"/>
                <w:i/>
                <w:iCs/>
                <w:sz w:val="22"/>
                <w:szCs w:val="22"/>
                <w:lang w:val="lv-LV"/>
              </w:rPr>
              <w:t xml:space="preserve">-a </w:t>
            </w:r>
            <w:proofErr w:type="spellStart"/>
            <w:r w:rsidRPr="00FC236C">
              <w:rPr>
                <w:rFonts w:asciiTheme="minorHAnsi" w:hAnsiTheme="minorHAnsi"/>
                <w:i/>
                <w:iCs/>
                <w:sz w:val="22"/>
                <w:szCs w:val="22"/>
                <w:lang w:val="lv-LV"/>
              </w:rPr>
              <w:t>service</w:t>
            </w:r>
            <w:proofErr w:type="spellEnd"/>
            <w:r w:rsidRPr="00FC236C">
              <w:rPr>
                <w:rFonts w:asciiTheme="minorHAnsi" w:hAnsiTheme="minorHAnsi"/>
                <w:i/>
                <w:iCs/>
                <w:sz w:val="22"/>
                <w:szCs w:val="22"/>
                <w:lang w:val="lv-LV"/>
              </w:rPr>
              <w:t>)</w:t>
            </w:r>
          </w:p>
        </w:tc>
      </w:tr>
      <w:tr w:rsidR="00AD4B1E" w:rsidRPr="00FC236C" w14:paraId="6B02733F" w14:textId="77777777" w:rsidTr="00E37790">
        <w:tc>
          <w:tcPr>
            <w:tcW w:w="126" w:type="pct"/>
            <w:tcBorders>
              <w:top w:val="single" w:sz="18" w:space="0" w:color="FFFFFF"/>
              <w:bottom w:val="single" w:sz="18" w:space="0" w:color="FFFFFF"/>
            </w:tcBorders>
            <w:shd w:val="clear" w:color="auto" w:fill="E5E5E5"/>
            <w:vAlign w:val="top"/>
          </w:tcPr>
          <w:p w14:paraId="5686D62B" w14:textId="77777777" w:rsidR="00AD4B1E" w:rsidRPr="00072292" w:rsidRDefault="00AD4B1E"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0DD3154D" w14:textId="57CE2744" w:rsidR="00AD4B1E" w:rsidRPr="00072292" w:rsidRDefault="00AD4B1E" w:rsidP="001316F2">
            <w:pPr>
              <w:rPr>
                <w:rFonts w:asciiTheme="minorHAnsi" w:hAnsiTheme="minorHAnsi"/>
                <w:sz w:val="22"/>
                <w:szCs w:val="22"/>
                <w:lang w:val="lv-LV"/>
              </w:rPr>
            </w:pPr>
            <w:r w:rsidRPr="00072292">
              <w:rPr>
                <w:rFonts w:asciiTheme="minorHAnsi" w:hAnsiTheme="minorHAnsi"/>
                <w:sz w:val="22"/>
                <w:szCs w:val="22"/>
                <w:lang w:val="lv-LV"/>
              </w:rPr>
              <w:t>SVID</w:t>
            </w:r>
          </w:p>
        </w:tc>
        <w:tc>
          <w:tcPr>
            <w:tcW w:w="3825" w:type="pct"/>
            <w:tcBorders>
              <w:top w:val="single" w:sz="2" w:space="0" w:color="BFBFBF"/>
              <w:bottom w:val="single" w:sz="2" w:space="0" w:color="BFBFBF"/>
            </w:tcBorders>
            <w:vAlign w:val="top"/>
          </w:tcPr>
          <w:p w14:paraId="75E4F11A" w14:textId="19ED635E" w:rsidR="00AD4B1E" w:rsidRPr="00072292" w:rsidRDefault="00AD4B1E" w:rsidP="001316F2">
            <w:pPr>
              <w:rPr>
                <w:rFonts w:asciiTheme="minorHAnsi" w:hAnsiTheme="minorHAnsi"/>
                <w:sz w:val="22"/>
                <w:szCs w:val="22"/>
                <w:lang w:val="lv-LV"/>
              </w:rPr>
            </w:pPr>
            <w:r w:rsidRPr="00072292">
              <w:rPr>
                <w:rFonts w:asciiTheme="minorHAnsi" w:hAnsiTheme="minorHAnsi"/>
                <w:sz w:val="22"/>
                <w:szCs w:val="22"/>
                <w:lang w:val="lv-LV"/>
              </w:rPr>
              <w:t>Stiprās puses, vājās puses, iespējas un draudi</w:t>
            </w:r>
          </w:p>
        </w:tc>
      </w:tr>
      <w:tr w:rsidR="00072292" w:rsidRPr="00FC236C" w14:paraId="7D048EA0" w14:textId="77777777" w:rsidTr="00E37790">
        <w:tc>
          <w:tcPr>
            <w:tcW w:w="126" w:type="pct"/>
            <w:tcBorders>
              <w:top w:val="single" w:sz="18" w:space="0" w:color="FFFFFF"/>
              <w:bottom w:val="single" w:sz="18" w:space="0" w:color="FFFFFF"/>
            </w:tcBorders>
            <w:shd w:val="clear" w:color="auto" w:fill="E5E5E5"/>
            <w:vAlign w:val="top"/>
          </w:tcPr>
          <w:p w14:paraId="5D869F1A" w14:textId="77777777" w:rsidR="00072292" w:rsidRPr="00072292" w:rsidRDefault="00072292" w:rsidP="00072292">
            <w:pPr>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09286C9" w14:textId="5B41DCF9" w:rsidR="00072292" w:rsidRPr="00072292" w:rsidRDefault="00072292" w:rsidP="001316F2">
            <w:pPr>
              <w:rPr>
                <w:rFonts w:asciiTheme="minorHAnsi" w:hAnsiTheme="minorHAnsi"/>
                <w:sz w:val="22"/>
                <w:szCs w:val="22"/>
                <w:lang w:val="lv-LV"/>
              </w:rPr>
            </w:pPr>
            <w:r w:rsidRPr="00072292">
              <w:rPr>
                <w:rFonts w:asciiTheme="minorHAnsi" w:hAnsiTheme="minorHAnsi"/>
                <w:sz w:val="22"/>
                <w:szCs w:val="22"/>
                <w:lang w:val="lv-LV"/>
              </w:rPr>
              <w:t>SSO</w:t>
            </w:r>
          </w:p>
        </w:tc>
        <w:tc>
          <w:tcPr>
            <w:tcW w:w="3825" w:type="pct"/>
            <w:tcBorders>
              <w:top w:val="single" w:sz="2" w:space="0" w:color="BFBFBF"/>
              <w:bottom w:val="single" w:sz="2" w:space="0" w:color="BFBFBF"/>
            </w:tcBorders>
            <w:vAlign w:val="top"/>
          </w:tcPr>
          <w:p w14:paraId="6049746E" w14:textId="52704D36" w:rsidR="00072292" w:rsidRPr="00072292" w:rsidRDefault="00072292" w:rsidP="001316F2">
            <w:pPr>
              <w:rPr>
                <w:rFonts w:asciiTheme="minorHAnsi" w:hAnsiTheme="minorHAnsi"/>
                <w:sz w:val="22"/>
                <w:szCs w:val="22"/>
                <w:lang w:val="lv-LV"/>
              </w:rPr>
            </w:pPr>
            <w:r w:rsidRPr="00072292">
              <w:rPr>
                <w:rFonts w:asciiTheme="minorHAnsi" w:hAnsiTheme="minorHAnsi"/>
                <w:sz w:val="22"/>
                <w:szCs w:val="22"/>
                <w:lang w:val="lv-LV"/>
              </w:rPr>
              <w:t xml:space="preserve">Vienotā pieteikšanās </w:t>
            </w:r>
            <w:r w:rsidRPr="00B23F9A">
              <w:rPr>
                <w:rFonts w:asciiTheme="minorHAnsi" w:hAnsiTheme="minorHAnsi"/>
                <w:i/>
                <w:iCs/>
                <w:sz w:val="22"/>
                <w:szCs w:val="22"/>
                <w:lang w:val="lv-LV"/>
              </w:rPr>
              <w:t>(</w:t>
            </w:r>
            <w:proofErr w:type="spellStart"/>
            <w:r w:rsidRPr="00B23F9A">
              <w:rPr>
                <w:rFonts w:asciiTheme="minorHAnsi" w:hAnsiTheme="minorHAnsi"/>
                <w:i/>
                <w:iCs/>
                <w:sz w:val="22"/>
                <w:szCs w:val="22"/>
                <w:lang w:val="lv-LV"/>
              </w:rPr>
              <w:t>angl</w:t>
            </w:r>
            <w:proofErr w:type="spellEnd"/>
            <w:r w:rsidRPr="00B23F9A">
              <w:rPr>
                <w:rFonts w:asciiTheme="minorHAnsi" w:hAnsiTheme="minorHAnsi"/>
                <w:i/>
                <w:iCs/>
                <w:sz w:val="22"/>
                <w:szCs w:val="22"/>
                <w:lang w:val="lv-LV"/>
              </w:rPr>
              <w:t xml:space="preserve">. – </w:t>
            </w:r>
            <w:proofErr w:type="spellStart"/>
            <w:r w:rsidRPr="00B23F9A">
              <w:rPr>
                <w:rFonts w:asciiTheme="minorHAnsi" w:hAnsiTheme="minorHAnsi"/>
                <w:i/>
                <w:iCs/>
                <w:sz w:val="22"/>
                <w:szCs w:val="22"/>
                <w:lang w:val="lv-LV"/>
              </w:rPr>
              <w:t>Single-sign-on</w:t>
            </w:r>
            <w:proofErr w:type="spellEnd"/>
            <w:r w:rsidRPr="00B23F9A">
              <w:rPr>
                <w:rFonts w:asciiTheme="minorHAnsi" w:hAnsiTheme="minorHAnsi"/>
                <w:i/>
                <w:iCs/>
                <w:sz w:val="22"/>
                <w:szCs w:val="22"/>
                <w:lang w:val="lv-LV"/>
              </w:rPr>
              <w:t>)</w:t>
            </w:r>
          </w:p>
        </w:tc>
      </w:tr>
      <w:tr w:rsidR="00B531EA" w:rsidRPr="00FC236C" w14:paraId="7D7209EE" w14:textId="77777777" w:rsidTr="00E37790">
        <w:tc>
          <w:tcPr>
            <w:tcW w:w="126" w:type="pct"/>
            <w:tcBorders>
              <w:top w:val="single" w:sz="18" w:space="0" w:color="FFFFFF"/>
              <w:bottom w:val="single" w:sz="18" w:space="0" w:color="FFFFFF"/>
            </w:tcBorders>
            <w:shd w:val="clear" w:color="auto" w:fill="E5E5E5"/>
            <w:vAlign w:val="top"/>
          </w:tcPr>
          <w:p w14:paraId="1A54B2D1" w14:textId="77777777" w:rsidR="00B531EA" w:rsidRPr="00072292" w:rsidRDefault="00B531EA" w:rsidP="001316F2">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3E5CADE7" w14:textId="2847D637" w:rsidR="00B531EA" w:rsidRPr="00072292" w:rsidRDefault="00B531EA" w:rsidP="001316F2">
            <w:pPr>
              <w:rPr>
                <w:rFonts w:asciiTheme="minorHAnsi" w:hAnsiTheme="minorHAnsi"/>
                <w:sz w:val="22"/>
                <w:szCs w:val="22"/>
                <w:lang w:val="lv-LV"/>
              </w:rPr>
            </w:pPr>
            <w:r w:rsidRPr="00072292">
              <w:rPr>
                <w:rFonts w:asciiTheme="minorHAnsi" w:hAnsiTheme="minorHAnsi"/>
                <w:sz w:val="22"/>
                <w:szCs w:val="22"/>
                <w:lang w:val="lv-LV"/>
              </w:rPr>
              <w:t>UX</w:t>
            </w:r>
          </w:p>
        </w:tc>
        <w:tc>
          <w:tcPr>
            <w:tcW w:w="3825" w:type="pct"/>
            <w:tcBorders>
              <w:top w:val="single" w:sz="2" w:space="0" w:color="BFBFBF"/>
              <w:bottom w:val="single" w:sz="2" w:space="0" w:color="BFBFBF"/>
            </w:tcBorders>
            <w:vAlign w:val="top"/>
          </w:tcPr>
          <w:p w14:paraId="048856AE" w14:textId="13EE7284" w:rsidR="00B531EA" w:rsidRPr="00072292" w:rsidRDefault="00B531EA" w:rsidP="001316F2">
            <w:pPr>
              <w:rPr>
                <w:rFonts w:asciiTheme="minorHAnsi" w:hAnsiTheme="minorHAnsi"/>
                <w:sz w:val="22"/>
                <w:szCs w:val="22"/>
                <w:lang w:val="lv-LV"/>
              </w:rPr>
            </w:pPr>
            <w:r w:rsidRPr="00072292">
              <w:rPr>
                <w:rFonts w:asciiTheme="minorHAnsi" w:hAnsiTheme="minorHAnsi"/>
                <w:sz w:val="22"/>
                <w:szCs w:val="22"/>
                <w:lang w:val="lv-LV"/>
              </w:rPr>
              <w:t xml:space="preserve">Lietotāja pieredze </w:t>
            </w:r>
            <w:r w:rsidRPr="00072292">
              <w:rPr>
                <w:rFonts w:asciiTheme="minorHAnsi" w:hAnsiTheme="minorHAnsi"/>
                <w:i/>
                <w:iCs/>
                <w:sz w:val="22"/>
                <w:szCs w:val="22"/>
                <w:lang w:val="lv-LV"/>
              </w:rPr>
              <w:t>(</w:t>
            </w:r>
            <w:proofErr w:type="spellStart"/>
            <w:r w:rsidRPr="00072292">
              <w:rPr>
                <w:rFonts w:asciiTheme="minorHAnsi" w:hAnsiTheme="minorHAnsi"/>
                <w:i/>
                <w:iCs/>
                <w:sz w:val="22"/>
                <w:szCs w:val="22"/>
                <w:lang w:val="lv-LV"/>
              </w:rPr>
              <w:t>angl</w:t>
            </w:r>
            <w:proofErr w:type="spellEnd"/>
            <w:r w:rsidRPr="00072292">
              <w:rPr>
                <w:rFonts w:asciiTheme="minorHAnsi" w:hAnsiTheme="minorHAnsi"/>
                <w:i/>
                <w:iCs/>
                <w:sz w:val="22"/>
                <w:szCs w:val="22"/>
                <w:lang w:val="lv-LV"/>
              </w:rPr>
              <w:t xml:space="preserve">. – </w:t>
            </w:r>
            <w:proofErr w:type="spellStart"/>
            <w:r w:rsidRPr="00072292">
              <w:rPr>
                <w:rFonts w:asciiTheme="minorHAnsi" w:hAnsiTheme="minorHAnsi"/>
                <w:i/>
                <w:iCs/>
                <w:sz w:val="22"/>
                <w:szCs w:val="22"/>
                <w:lang w:val="lv-LV"/>
              </w:rPr>
              <w:t>User</w:t>
            </w:r>
            <w:proofErr w:type="spellEnd"/>
            <w:r w:rsidRPr="00072292">
              <w:rPr>
                <w:rFonts w:asciiTheme="minorHAnsi" w:hAnsiTheme="minorHAnsi"/>
                <w:i/>
                <w:iCs/>
                <w:sz w:val="22"/>
                <w:szCs w:val="22"/>
                <w:lang w:val="lv-LV"/>
              </w:rPr>
              <w:t xml:space="preserve"> </w:t>
            </w:r>
            <w:proofErr w:type="spellStart"/>
            <w:r w:rsidRPr="00072292">
              <w:rPr>
                <w:rFonts w:asciiTheme="minorHAnsi" w:hAnsiTheme="minorHAnsi"/>
                <w:i/>
                <w:iCs/>
                <w:sz w:val="22"/>
                <w:szCs w:val="22"/>
                <w:lang w:val="lv-LV"/>
              </w:rPr>
              <w:t>expierence</w:t>
            </w:r>
            <w:proofErr w:type="spellEnd"/>
            <w:r w:rsidRPr="00072292">
              <w:rPr>
                <w:rFonts w:asciiTheme="minorHAnsi" w:hAnsiTheme="minorHAnsi"/>
                <w:i/>
                <w:iCs/>
                <w:sz w:val="22"/>
                <w:szCs w:val="22"/>
                <w:lang w:val="lv-LV"/>
              </w:rPr>
              <w:t>)</w:t>
            </w:r>
          </w:p>
        </w:tc>
      </w:tr>
    </w:tbl>
    <w:p w14:paraId="56C9172D" w14:textId="77777777" w:rsidR="00694273" w:rsidRPr="00BD2F4B" w:rsidRDefault="00694273" w:rsidP="004C2471">
      <w:pPr>
        <w:spacing w:before="120" w:after="60" w:line="240" w:lineRule="auto"/>
        <w:jc w:val="both"/>
        <w:rPr>
          <w:iCs/>
          <w:lang w:val="lv-LV"/>
        </w:rPr>
      </w:pPr>
    </w:p>
    <w:p w14:paraId="7CCCB457" w14:textId="77777777" w:rsidR="00072292" w:rsidRDefault="00072292" w:rsidP="00D5520A">
      <w:pPr>
        <w:pStyle w:val="Heading1"/>
        <w:numPr>
          <w:ilvl w:val="0"/>
          <w:numId w:val="4"/>
        </w:numPr>
        <w:rPr>
          <w:lang w:val="lv-LV"/>
        </w:rPr>
        <w:sectPr w:rsidR="00072292">
          <w:pgSz w:w="12240" w:h="15840"/>
          <w:pgMar w:top="1440" w:right="1440" w:bottom="1440" w:left="1440" w:header="720" w:footer="720" w:gutter="0"/>
          <w:cols w:space="720"/>
          <w:docGrid w:linePitch="360"/>
        </w:sectPr>
      </w:pPr>
    </w:p>
    <w:p w14:paraId="139D69DB" w14:textId="1FE0F657" w:rsidR="0093096E" w:rsidRDefault="0093096E" w:rsidP="00D5520A">
      <w:pPr>
        <w:pStyle w:val="Heading1"/>
        <w:numPr>
          <w:ilvl w:val="0"/>
          <w:numId w:val="4"/>
        </w:numPr>
        <w:rPr>
          <w:lang w:val="lv-LV"/>
        </w:rPr>
      </w:pPr>
      <w:r>
        <w:rPr>
          <w:lang w:val="lv-LV"/>
        </w:rPr>
        <w:lastRenderedPageBreak/>
        <w:t>Vispārējie principi</w:t>
      </w:r>
    </w:p>
    <w:p w14:paraId="190E688A" w14:textId="6A0DCDC5" w:rsidR="00771C5A" w:rsidRDefault="0093096E" w:rsidP="00CB7D82">
      <w:pPr>
        <w:pStyle w:val="Heading2"/>
        <w:tabs>
          <w:tab w:val="left" w:pos="3261"/>
        </w:tabs>
        <w:rPr>
          <w:rStyle w:val="Heading4Char"/>
          <w:lang w:val="lv-LV"/>
        </w:rPr>
      </w:pPr>
      <w:r>
        <w:rPr>
          <w:lang w:val="lv-LV"/>
        </w:rPr>
        <w:t xml:space="preserve">P1. </w:t>
      </w:r>
      <w:r w:rsidR="00E40818">
        <w:rPr>
          <w:lang w:val="lv-LV"/>
        </w:rPr>
        <w:t>Dar</w:t>
      </w:r>
      <w:r w:rsidR="000A5834" w:rsidRPr="00E2406D">
        <w:rPr>
          <w:noProof/>
          <w:lang w:val="lv-LV"/>
        </w:rPr>
        <mc:AlternateContent>
          <mc:Choice Requires="wps">
            <w:drawing>
              <wp:anchor distT="0" distB="0" distL="114300" distR="114300" simplePos="0" relativeHeight="251658240" behindDoc="0" locked="0" layoutInCell="1" allowOverlap="1" wp14:anchorId="7F935954" wp14:editId="52D6E1E7">
                <wp:simplePos x="0" y="0"/>
                <wp:positionH relativeFrom="column">
                  <wp:posOffset>0</wp:posOffset>
                </wp:positionH>
                <wp:positionV relativeFrom="paragraph">
                  <wp:posOffset>316865</wp:posOffset>
                </wp:positionV>
                <wp:extent cx="1828800" cy="1828800"/>
                <wp:effectExtent l="0" t="0" r="8890" b="10795"/>
                <wp:wrapTopAndBottom/>
                <wp:docPr id="498365650"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49CE92" w14:textId="77777777" w:rsidR="000A5834" w:rsidRPr="00771C5A" w:rsidRDefault="000A5834" w:rsidP="000A5834">
                            <w:pPr>
                              <w:ind w:left="851"/>
                              <w:jc w:val="both"/>
                              <w:rPr>
                                <w:lang w:val="lv-LV"/>
                              </w:rPr>
                            </w:pPr>
                            <w:r w:rsidRPr="00771C5A">
                              <w:rPr>
                                <w:lang w:val="lv-LV"/>
                              </w:rPr>
                              <w:t>Katrai iniciatīvai jānodrošina, ka klientu risināmās problēmas tiek efektīvi saskaņotas ar valdības stratēģiskajām prioritātēm, tādējādi veicinot gan klientu apmierinātību, gan organizāciju mērķu sasniegšanu, paaugstinot valsts pārvaldes efektivitāti.</w:t>
                            </w:r>
                          </w:p>
                          <w:p w14:paraId="20094D28" w14:textId="4675EB1D" w:rsidR="000A5834" w:rsidRDefault="000A5834" w:rsidP="000A5834">
                            <w:pPr>
                              <w:ind w:left="851"/>
                              <w:jc w:val="both"/>
                              <w:rPr>
                                <w:lang w:val="lv-LV"/>
                              </w:rPr>
                            </w:pPr>
                            <w:proofErr w:type="spellStart"/>
                            <w:r w:rsidRPr="00771C5A">
                              <w:rPr>
                                <w:lang w:val="lv-LV"/>
                              </w:rPr>
                              <w:t>Sadarbspējīgu</w:t>
                            </w:r>
                            <w:proofErr w:type="spellEnd"/>
                            <w:r w:rsidRPr="00771C5A">
                              <w:rPr>
                                <w:lang w:val="lv-LV"/>
                              </w:rPr>
                              <w:t xml:space="preserve"> IKT risinājumu efektivitātes vērtējums var būt apskatāms no lietotāju vajadzību apmierināšanas, administratīvā sloga samazinājuma, darba metožu uzlabošanas, investīciju </w:t>
                            </w:r>
                            <w:proofErr w:type="spellStart"/>
                            <w:r w:rsidRPr="00771C5A">
                              <w:rPr>
                                <w:lang w:val="lv-LV"/>
                              </w:rPr>
                              <w:t>atdeves</w:t>
                            </w:r>
                            <w:proofErr w:type="spellEnd"/>
                            <w:r w:rsidRPr="00771C5A">
                              <w:rPr>
                                <w:lang w:val="lv-LV"/>
                              </w:rPr>
                              <w:t>, risku mazināšanas, lietotāju apmierinātības un citiem aspektiem.</w:t>
                            </w:r>
                          </w:p>
                          <w:p w14:paraId="6C058EEB" w14:textId="7D51712F" w:rsidR="00612D47" w:rsidRDefault="00612D47" w:rsidP="00612D47">
                            <w:pPr>
                              <w:ind w:left="851"/>
                              <w:jc w:val="both"/>
                              <w:rPr>
                                <w:lang w:val="lv-LV" w:bidi="lv-LV"/>
                              </w:rPr>
                            </w:pPr>
                            <w:r w:rsidRPr="002830F8">
                              <w:rPr>
                                <w:lang w:val="lv-LV" w:bidi="lv-LV"/>
                              </w:rPr>
                              <w:t>Valsts pārvaldes iestādēm jātiecas racionalizēt savi administratīvie procesi, uzlabojot tos vai atsakoties no tādiem procesiem, kuri nerada vērtību sabiedrībai. Pie tam procesu uzlabošanā ir efektīvi jāievieš IKT pakalpojumi, tostarp mijiedarbībā ar citām publiskās pārvaldes iestādēm, iedzīvotājiem un uzņēmumiem.</w:t>
                            </w:r>
                          </w:p>
                          <w:p w14:paraId="20394AA8" w14:textId="65A31D98" w:rsidR="00E62DCB" w:rsidRPr="00E62DCB" w:rsidRDefault="00E62DCB" w:rsidP="00612D47">
                            <w:pPr>
                              <w:ind w:left="851"/>
                              <w:jc w:val="both"/>
                              <w:rPr>
                                <w:lang w:val="lv-LV" w:bidi="lv-LV"/>
                              </w:rPr>
                            </w:pPr>
                            <w:r w:rsidRPr="00E62DCB">
                              <w:rPr>
                                <w:lang w:val="lv-LV" w:bidi="lv-LV"/>
                              </w:rPr>
                              <w:t xml:space="preserve">Risinājumiem jābūt atbilstošiem gan esošajiem, gan plānotajiem normatīvajiem aktiem, ievērojot </w:t>
                            </w:r>
                            <w:proofErr w:type="spellStart"/>
                            <w:r w:rsidRPr="00E62DCB">
                              <w:rPr>
                                <w:lang w:val="lv-LV" w:bidi="lv-LV"/>
                              </w:rPr>
                              <w:t>normatīvisma</w:t>
                            </w:r>
                            <w:proofErr w:type="spellEnd"/>
                            <w:r w:rsidRPr="00E62DCB">
                              <w:rPr>
                                <w:lang w:val="lv-LV" w:bidi="lv-LV"/>
                              </w:rPr>
                              <w:t xml:space="preserve"> principus. Attīstot risinājumus</w:t>
                            </w:r>
                            <w:r>
                              <w:rPr>
                                <w:lang w:val="lv-LV" w:bidi="lv-LV"/>
                              </w:rPr>
                              <w:t>,</w:t>
                            </w:r>
                            <w:r w:rsidRPr="00E62DCB">
                              <w:rPr>
                                <w:lang w:val="lv-LV" w:bidi="lv-LV"/>
                              </w:rPr>
                              <w:t xml:space="preserve"> jāparedz arī normatīvās vides izmaiņas.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935954" id="_x0000_t202" coordsize="21600,21600" o:spt="202" path="m,l,21600r21600,l21600,xe">
                <v:stroke joinstyle="miter"/>
                <v:path gradientshapeok="t" o:connecttype="rect"/>
              </v:shapetype>
              <v:shape id="Text Box 5" o:spid="_x0000_s1026" type="#_x0000_t202" style="position:absolute;margin-left:0;margin-top:24.9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" fillcolor="white [3201]" strokecolor="#196b24 [3206]" strokeweight="1pt">
                <v:textbox style="mso-fit-shape-to-text:t">
                  <w:txbxContent>
                    <w:p w14:paraId="6349CE92" w14:textId="77777777" w:rsidR="000A5834" w:rsidRPr="00771C5A" w:rsidRDefault="000A5834" w:rsidP="000A5834">
                      <w:pPr>
                        <w:ind w:left="851"/>
                        <w:jc w:val="both"/>
                        <w:rPr>
                          <w:lang w:val="lv-LV"/>
                        </w:rPr>
                      </w:pPr>
                      <w:r w:rsidRPr="00771C5A">
                        <w:rPr>
                          <w:lang w:val="lv-LV"/>
                        </w:rPr>
                        <w:t>Katrai iniciatīvai jānodrošina, ka klientu risināmās problēmas tiek efektīvi saskaņotas ar valdības stratēģiskajām prioritātēm, tādējādi veicinot gan klientu apmierinātību, gan organizāciju mērķu sasniegšanu, paaugstinot valsts pārvaldes efektivitāti.</w:t>
                      </w:r>
                    </w:p>
                    <w:p w14:paraId="20094D28" w14:textId="4675EB1D" w:rsidR="000A5834" w:rsidRDefault="000A5834" w:rsidP="000A5834">
                      <w:pPr>
                        <w:ind w:left="851"/>
                        <w:jc w:val="both"/>
                        <w:rPr>
                          <w:lang w:val="lv-LV"/>
                        </w:rPr>
                      </w:pPr>
                      <w:proofErr w:type="spellStart"/>
                      <w:r w:rsidRPr="00771C5A">
                        <w:rPr>
                          <w:lang w:val="lv-LV"/>
                        </w:rPr>
                        <w:t>Sadarbspējīgu</w:t>
                      </w:r>
                      <w:proofErr w:type="spellEnd"/>
                      <w:r w:rsidRPr="00771C5A">
                        <w:rPr>
                          <w:lang w:val="lv-LV"/>
                        </w:rPr>
                        <w:t xml:space="preserve"> IKT risinājumu efektivitātes vērtējums var būt apskatāms no lietotāju vajadzību apmierināšanas, administratīvā sloga samazinājuma, darba metožu uzlabošanas, investīciju </w:t>
                      </w:r>
                      <w:proofErr w:type="spellStart"/>
                      <w:r w:rsidRPr="00771C5A">
                        <w:rPr>
                          <w:lang w:val="lv-LV"/>
                        </w:rPr>
                        <w:t>atdeves</w:t>
                      </w:r>
                      <w:proofErr w:type="spellEnd"/>
                      <w:r w:rsidRPr="00771C5A">
                        <w:rPr>
                          <w:lang w:val="lv-LV"/>
                        </w:rPr>
                        <w:t>, risku mazināšanas, lietotāju apmierinātības un citiem aspektiem.</w:t>
                      </w:r>
                    </w:p>
                    <w:p w14:paraId="6C058EEB" w14:textId="7D51712F" w:rsidR="00612D47" w:rsidRDefault="00612D47" w:rsidP="00612D47">
                      <w:pPr>
                        <w:ind w:left="851"/>
                        <w:jc w:val="both"/>
                        <w:rPr>
                          <w:lang w:val="lv-LV" w:bidi="lv-LV"/>
                        </w:rPr>
                      </w:pPr>
                      <w:r w:rsidRPr="002830F8">
                        <w:rPr>
                          <w:lang w:val="lv-LV" w:bidi="lv-LV"/>
                        </w:rPr>
                        <w:t>Valsts pārvaldes iestādēm jātiecas racionalizēt savi administratīvie procesi, uzlabojot tos vai atsakoties no tādiem procesiem, kuri nerada vērtību sabiedrībai. Pie tam procesu uzlabošanā ir efektīvi jāievieš IKT pakalpojumi, tostarp mijiedarbībā ar citām publiskās pārvaldes iestādēm, iedzīvotājiem un uzņēmumiem.</w:t>
                      </w:r>
                    </w:p>
                    <w:p w14:paraId="20394AA8" w14:textId="65A31D98" w:rsidR="00E62DCB" w:rsidRPr="00E62DCB" w:rsidRDefault="00E62DCB" w:rsidP="00612D47">
                      <w:pPr>
                        <w:ind w:left="851"/>
                        <w:jc w:val="both"/>
                        <w:rPr>
                          <w:lang w:val="lv-LV" w:bidi="lv-LV"/>
                        </w:rPr>
                      </w:pPr>
                      <w:r w:rsidRPr="00E62DCB">
                        <w:rPr>
                          <w:lang w:val="lv-LV" w:bidi="lv-LV"/>
                        </w:rPr>
                        <w:t xml:space="preserve">Risinājumiem jābūt atbilstošiem gan esošajiem, gan plānotajiem normatīvajiem aktiem, ievērojot </w:t>
                      </w:r>
                      <w:proofErr w:type="spellStart"/>
                      <w:r w:rsidRPr="00E62DCB">
                        <w:rPr>
                          <w:lang w:val="lv-LV" w:bidi="lv-LV"/>
                        </w:rPr>
                        <w:t>normatīvisma</w:t>
                      </w:r>
                      <w:proofErr w:type="spellEnd"/>
                      <w:r w:rsidRPr="00E62DCB">
                        <w:rPr>
                          <w:lang w:val="lv-LV" w:bidi="lv-LV"/>
                        </w:rPr>
                        <w:t xml:space="preserve"> principus. Attīstot risinājumus</w:t>
                      </w:r>
                      <w:r>
                        <w:rPr>
                          <w:lang w:val="lv-LV" w:bidi="lv-LV"/>
                        </w:rPr>
                        <w:t>,</w:t>
                      </w:r>
                      <w:r w:rsidRPr="00E62DCB">
                        <w:rPr>
                          <w:lang w:val="lv-LV" w:bidi="lv-LV"/>
                        </w:rPr>
                        <w:t xml:space="preserve"> jāparedz arī normatīvās vides izmaiņas.</w:t>
                      </w:r>
                    </w:p>
                  </w:txbxContent>
                </v:textbox>
                <w10:wrap type="topAndBottom"/>
              </v:shape>
            </w:pict>
          </mc:Fallback>
        </mc:AlternateContent>
      </w:r>
      <w:r w:rsidR="000A5834" w:rsidRPr="00E2406D">
        <w:rPr>
          <w:rFonts w:ascii="Times New Roman" w:hAnsi="Times New Roman" w:cs="Times New Roman"/>
          <w:noProof/>
          <w:sz w:val="22"/>
          <w:szCs w:val="22"/>
          <w:lang w:val="lv-LV"/>
        </w:rPr>
        <w:drawing>
          <wp:anchor distT="0" distB="0" distL="114300" distR="114300" simplePos="0" relativeHeight="251658241" behindDoc="0" locked="0" layoutInCell="1" allowOverlap="1" wp14:anchorId="18A53476" wp14:editId="14DA48AB">
            <wp:simplePos x="0" y="0"/>
            <wp:positionH relativeFrom="margin">
              <wp:posOffset>88900</wp:posOffset>
            </wp:positionH>
            <wp:positionV relativeFrom="paragraph">
              <wp:posOffset>450850</wp:posOffset>
            </wp:positionV>
            <wp:extent cx="427990" cy="427990"/>
            <wp:effectExtent l="0" t="0" r="0" b="0"/>
            <wp:wrapSquare wrapText="bothSides"/>
            <wp:docPr id="250354558"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E47D33">
        <w:rPr>
          <w:lang w:val="lv-LV"/>
        </w:rPr>
        <w:t>īt</w:t>
      </w:r>
      <w:r w:rsidR="00F82897">
        <w:rPr>
          <w:lang w:val="lv-LV"/>
        </w:rPr>
        <w:t xml:space="preserve"> ar skaidru nodomu</w:t>
      </w:r>
    </w:p>
    <w:p w14:paraId="0AB2C8B4" w14:textId="77777777" w:rsidR="009077C6" w:rsidRDefault="009077C6" w:rsidP="009077C6">
      <w:pPr>
        <w:rPr>
          <w:lang w:val="lv-LV"/>
        </w:rPr>
      </w:pPr>
    </w:p>
    <w:p w14:paraId="66350E3C" w14:textId="5BBB254E" w:rsidR="004C3B43" w:rsidRPr="00A41358" w:rsidRDefault="004C3B43" w:rsidP="009077C6">
      <w:pPr>
        <w:rPr>
          <w:lang w:val="lv-LV"/>
        </w:rPr>
      </w:pPr>
      <w:r w:rsidRPr="00A41358">
        <w:rPr>
          <w:lang w:val="lv-LV"/>
        </w:rPr>
        <w:t>Piemērošanas vadlīnijas:</w:t>
      </w:r>
    </w:p>
    <w:p w14:paraId="67D8ACFB" w14:textId="6CF378E1" w:rsidR="00D335B1" w:rsidRPr="00593B17" w:rsidRDefault="00D335B1" w:rsidP="00D5520A">
      <w:pPr>
        <w:pStyle w:val="ListParagraph"/>
        <w:numPr>
          <w:ilvl w:val="0"/>
          <w:numId w:val="6"/>
        </w:numPr>
        <w:rPr>
          <w:lang w:val="lv-LV"/>
        </w:rPr>
      </w:pPr>
      <w:r w:rsidRPr="006F700D">
        <w:rPr>
          <w:lang w:val="lv-LV"/>
        </w:rPr>
        <w:t>Vei</w:t>
      </w:r>
      <w:r w:rsidR="00A41358" w:rsidRPr="006F700D">
        <w:rPr>
          <w:lang w:val="lv-LV"/>
        </w:rPr>
        <w:t>ciet</w:t>
      </w:r>
      <w:r w:rsidRPr="006F700D">
        <w:rPr>
          <w:lang w:val="lv-LV"/>
        </w:rPr>
        <w:t xml:space="preserve"> esošo</w:t>
      </w:r>
      <w:r w:rsidR="00821EAD">
        <w:rPr>
          <w:lang w:val="lv-LV"/>
        </w:rPr>
        <w:t xml:space="preserve"> jomas</w:t>
      </w:r>
      <w:r w:rsidRPr="006F700D">
        <w:rPr>
          <w:lang w:val="lv-LV"/>
        </w:rPr>
        <w:t xml:space="preserve"> problēmu visaptverošu analīzi,</w:t>
      </w:r>
      <w:r w:rsidRPr="00593B17">
        <w:rPr>
          <w:lang w:val="lv-LV"/>
        </w:rPr>
        <w:t xml:space="preserve"> tostarp, izpētot esošo problēmu cēloņus un to ietekmi uz digitālās pārvaldes arhitektūras komponentiem</w:t>
      </w:r>
      <w:r w:rsidR="00A52D22">
        <w:rPr>
          <w:lang w:val="lv-LV"/>
        </w:rPr>
        <w:t xml:space="preserve"> (rekomendēts piemērot dizaina domāšanas metodes)</w:t>
      </w:r>
      <w:r w:rsidR="00A41358" w:rsidRPr="00593B17">
        <w:rPr>
          <w:lang w:val="lv-LV"/>
        </w:rPr>
        <w:t>:</w:t>
      </w:r>
    </w:p>
    <w:p w14:paraId="46BE0BF5" w14:textId="20655A8E" w:rsidR="00A41358" w:rsidRPr="00A41358" w:rsidRDefault="00A41358" w:rsidP="00D5520A">
      <w:pPr>
        <w:pStyle w:val="ListParagraph"/>
        <w:numPr>
          <w:ilvl w:val="1"/>
          <w:numId w:val="6"/>
        </w:numPr>
        <w:rPr>
          <w:lang w:val="lv-LV"/>
        </w:rPr>
      </w:pPr>
      <w:r w:rsidRPr="00A41358">
        <w:rPr>
          <w:lang w:val="lv-LV"/>
        </w:rPr>
        <w:t xml:space="preserve">Veiciet vajadzību novērtēšanu un datu vākšanu (aptaujas, intervijas, </w:t>
      </w:r>
      <w:proofErr w:type="spellStart"/>
      <w:r w:rsidRPr="00A41358">
        <w:rPr>
          <w:lang w:val="lv-LV"/>
        </w:rPr>
        <w:t>fokusgrupas</w:t>
      </w:r>
      <w:proofErr w:type="spellEnd"/>
      <w:r w:rsidRPr="00A41358">
        <w:rPr>
          <w:lang w:val="lv-LV"/>
        </w:rPr>
        <w:t>), lai izprastu lietotāju pieredzi un izaicinājumus.</w:t>
      </w:r>
    </w:p>
    <w:p w14:paraId="03DD9445" w14:textId="79326CDB" w:rsidR="00A41358" w:rsidRPr="00A41358" w:rsidRDefault="00A41358" w:rsidP="00D5520A">
      <w:pPr>
        <w:pStyle w:val="ListParagraph"/>
        <w:numPr>
          <w:ilvl w:val="1"/>
          <w:numId w:val="6"/>
        </w:numPr>
        <w:rPr>
          <w:lang w:val="lv-LV"/>
        </w:rPr>
      </w:pPr>
      <w:r w:rsidRPr="00A41358">
        <w:rPr>
          <w:lang w:val="lv-LV"/>
        </w:rPr>
        <w:t>Noskaidrojiet risināmo problēmu, veidojot lietotāju ceļojumu kartes, kurās iekļauti sāpju punkti un neskaidrības.</w:t>
      </w:r>
    </w:p>
    <w:p w14:paraId="668DBB82" w14:textId="3017B28F" w:rsidR="00A41358" w:rsidRPr="00A41358" w:rsidRDefault="00A41358" w:rsidP="00D5520A">
      <w:pPr>
        <w:pStyle w:val="ListParagraph"/>
        <w:numPr>
          <w:ilvl w:val="1"/>
          <w:numId w:val="6"/>
        </w:numPr>
        <w:rPr>
          <w:lang w:val="lv-LV"/>
        </w:rPr>
      </w:pPr>
      <w:r w:rsidRPr="00A41358">
        <w:rPr>
          <w:lang w:val="lv-LV"/>
        </w:rPr>
        <w:t>Iesaistiet dažādus iesaistītos – lietotājus, darbiniekus un kopienu organizācijas, lai iegūtu plašāku ieskatu.</w:t>
      </w:r>
    </w:p>
    <w:p w14:paraId="03B67A1D" w14:textId="593A4C51" w:rsidR="00A41358" w:rsidRPr="00593B17" w:rsidRDefault="00A41358" w:rsidP="00D5520A">
      <w:pPr>
        <w:pStyle w:val="ListParagraph"/>
        <w:numPr>
          <w:ilvl w:val="1"/>
          <w:numId w:val="6"/>
        </w:numPr>
        <w:rPr>
          <w:lang w:val="lv-LV"/>
        </w:rPr>
      </w:pPr>
      <w:r w:rsidRPr="00593B17">
        <w:rPr>
          <w:lang w:val="lv-LV"/>
        </w:rPr>
        <w:lastRenderedPageBreak/>
        <w:t>Regulāri analizējiet lietotāju uzvedības un pakalpojumu snieguma tendences, lai identificētu atkārtotas vai jaunas problēmas.</w:t>
      </w:r>
    </w:p>
    <w:p w14:paraId="0D40EFBC" w14:textId="60F0C861" w:rsidR="00593B17" w:rsidRPr="00593B17" w:rsidRDefault="00593B17" w:rsidP="00D5520A">
      <w:pPr>
        <w:pStyle w:val="ListParagraph"/>
        <w:numPr>
          <w:ilvl w:val="1"/>
          <w:numId w:val="6"/>
        </w:numPr>
        <w:rPr>
          <w:lang w:val="lv-LV"/>
        </w:rPr>
      </w:pPr>
      <w:r w:rsidRPr="00593B17">
        <w:rPr>
          <w:lang w:val="lv-LV"/>
        </w:rPr>
        <w:t>Analizējiet politikas un esošās iniciatīvas, sasaistot problēmu ar stratēģiskajiem mērķiem.</w:t>
      </w:r>
    </w:p>
    <w:p w14:paraId="0F39A597" w14:textId="63FAB9F5" w:rsidR="00593B17" w:rsidRPr="00593B17" w:rsidRDefault="00593B17" w:rsidP="00D5520A">
      <w:pPr>
        <w:pStyle w:val="ListParagraph"/>
        <w:numPr>
          <w:ilvl w:val="1"/>
          <w:numId w:val="6"/>
        </w:numPr>
        <w:rPr>
          <w:lang w:val="lv-LV"/>
        </w:rPr>
      </w:pPr>
      <w:r w:rsidRPr="00593B17">
        <w:rPr>
          <w:lang w:val="lv-LV"/>
        </w:rPr>
        <w:t>Sadarbojieties ar citām valsts iestādēm līdzīgu jautājumu risināšanā, veicinot resursu un zināšanu apmaiņu.</w:t>
      </w:r>
    </w:p>
    <w:p w14:paraId="3E6D4132" w14:textId="45D1B980" w:rsidR="00B62268" w:rsidRDefault="00B62268" w:rsidP="00D5520A">
      <w:pPr>
        <w:pStyle w:val="ListParagraph"/>
        <w:numPr>
          <w:ilvl w:val="0"/>
          <w:numId w:val="6"/>
        </w:numPr>
        <w:rPr>
          <w:lang w:val="lv-LV"/>
        </w:rPr>
      </w:pPr>
      <w:r>
        <w:rPr>
          <w:lang w:val="lv-LV"/>
        </w:rPr>
        <w:t xml:space="preserve">Izvirziet </w:t>
      </w:r>
      <w:proofErr w:type="spellStart"/>
      <w:r>
        <w:rPr>
          <w:lang w:val="lv-LV"/>
        </w:rPr>
        <w:t>mērķarhitektūras</w:t>
      </w:r>
      <w:proofErr w:type="spellEnd"/>
      <w:r>
        <w:rPr>
          <w:lang w:val="lv-LV"/>
        </w:rPr>
        <w:t xml:space="preserve"> </w:t>
      </w:r>
      <w:r w:rsidR="00D1652B">
        <w:rPr>
          <w:lang w:val="lv-LV"/>
        </w:rPr>
        <w:t>mērķus, kas risina identificētās problēmas vai nodrošina iespēju realizāciju</w:t>
      </w:r>
    </w:p>
    <w:p w14:paraId="1869078F" w14:textId="4ADE2EEE" w:rsidR="00B62268" w:rsidRPr="00B62268" w:rsidRDefault="00B62268" w:rsidP="00D5520A">
      <w:pPr>
        <w:pStyle w:val="ListParagraph"/>
        <w:numPr>
          <w:ilvl w:val="0"/>
          <w:numId w:val="6"/>
        </w:numPr>
        <w:rPr>
          <w:lang w:val="lv-LV"/>
        </w:rPr>
      </w:pPr>
      <w:r>
        <w:rPr>
          <w:lang w:val="lv-LV"/>
        </w:rPr>
        <w:t xml:space="preserve">Apziniet nepieciešamās izmaiņas </w:t>
      </w:r>
      <w:r w:rsidR="00D1652B">
        <w:rPr>
          <w:lang w:val="lv-LV"/>
        </w:rPr>
        <w:t xml:space="preserve">visos </w:t>
      </w:r>
      <w:r w:rsidR="0099321E">
        <w:rPr>
          <w:lang w:val="lv-LV"/>
        </w:rPr>
        <w:t>jomas arhitektūras skatos, veiciet to saskaņošanu ar jomas iestādēm un izmaiņu ietekmētajām iestādēm</w:t>
      </w:r>
    </w:p>
    <w:p w14:paraId="4F761DFC" w14:textId="5D993EEB" w:rsidR="0070410B" w:rsidRDefault="00D1652B" w:rsidP="00D5520A">
      <w:pPr>
        <w:pStyle w:val="ListParagraph"/>
        <w:numPr>
          <w:ilvl w:val="0"/>
          <w:numId w:val="6"/>
        </w:numPr>
        <w:rPr>
          <w:lang w:val="lv-LV"/>
        </w:rPr>
      </w:pPr>
      <w:r>
        <w:rPr>
          <w:lang w:val="lv-LV"/>
        </w:rPr>
        <w:t>Apziniet</w:t>
      </w:r>
      <w:r w:rsidR="00593B17" w:rsidRPr="00D1652B">
        <w:rPr>
          <w:lang w:val="lv-LV"/>
        </w:rPr>
        <w:t xml:space="preserve"> izmaiņu</w:t>
      </w:r>
      <w:r w:rsidR="0070410B" w:rsidRPr="00D1652B">
        <w:rPr>
          <w:lang w:val="lv-LV"/>
        </w:rPr>
        <w:t xml:space="preserve"> biznesa pamatojumu</w:t>
      </w:r>
      <w:r w:rsidR="0070410B" w:rsidRPr="00593B17">
        <w:rPr>
          <w:lang w:val="lv-LV"/>
        </w:rPr>
        <w:t xml:space="preserve"> </w:t>
      </w:r>
      <w:r w:rsidR="0070410B" w:rsidRPr="00593B17">
        <w:rPr>
          <w:i/>
          <w:iCs/>
          <w:lang w:val="lv-LV"/>
        </w:rPr>
        <w:t xml:space="preserve">(no angļu val. – </w:t>
      </w:r>
      <w:proofErr w:type="spellStart"/>
      <w:r w:rsidR="0070410B" w:rsidRPr="00593B17">
        <w:rPr>
          <w:i/>
          <w:iCs/>
          <w:lang w:val="lv-LV"/>
        </w:rPr>
        <w:t>business</w:t>
      </w:r>
      <w:proofErr w:type="spellEnd"/>
      <w:r w:rsidR="0070410B" w:rsidRPr="00593B17">
        <w:rPr>
          <w:i/>
          <w:iCs/>
          <w:lang w:val="lv-LV"/>
        </w:rPr>
        <w:t xml:space="preserve"> </w:t>
      </w:r>
      <w:proofErr w:type="spellStart"/>
      <w:r w:rsidR="0070410B" w:rsidRPr="00593B17">
        <w:rPr>
          <w:i/>
          <w:iCs/>
          <w:lang w:val="lv-LV"/>
        </w:rPr>
        <w:t>case</w:t>
      </w:r>
      <w:proofErr w:type="spellEnd"/>
      <w:r w:rsidR="0070410B" w:rsidRPr="00593B17">
        <w:rPr>
          <w:i/>
          <w:iCs/>
          <w:lang w:val="lv-LV"/>
        </w:rPr>
        <w:t>)</w:t>
      </w:r>
      <w:r w:rsidR="0070410B" w:rsidRPr="00593B17">
        <w:rPr>
          <w:lang w:val="lv-LV"/>
        </w:rPr>
        <w:t xml:space="preserve"> </w:t>
      </w:r>
    </w:p>
    <w:p w14:paraId="0D5E5DE9" w14:textId="18687EF2" w:rsidR="006A5AB3" w:rsidRPr="00593B17" w:rsidRDefault="006A5AB3" w:rsidP="00D5520A">
      <w:pPr>
        <w:pStyle w:val="ListParagraph"/>
        <w:numPr>
          <w:ilvl w:val="0"/>
          <w:numId w:val="6"/>
        </w:numPr>
        <w:rPr>
          <w:lang w:val="lv-LV"/>
        </w:rPr>
      </w:pPr>
      <w:r>
        <w:rPr>
          <w:lang w:val="lv-LV"/>
        </w:rPr>
        <w:t xml:space="preserve">Definējiet </w:t>
      </w:r>
      <w:proofErr w:type="spellStart"/>
      <w:r>
        <w:rPr>
          <w:lang w:val="lv-LV"/>
        </w:rPr>
        <w:t>mērķarhitektūras</w:t>
      </w:r>
      <w:proofErr w:type="spellEnd"/>
      <w:r>
        <w:rPr>
          <w:lang w:val="lv-LV"/>
        </w:rPr>
        <w:t xml:space="preserve"> ieviešanas iniciatīvas, </w:t>
      </w:r>
      <w:r w:rsidR="00554DC2">
        <w:rPr>
          <w:lang w:val="lv-LV"/>
        </w:rPr>
        <w:t>to priekšnosacījumus un savstarpējās atkarības</w:t>
      </w:r>
    </w:p>
    <w:p w14:paraId="663B96AB" w14:textId="68F9C3C8" w:rsidR="004C3B43" w:rsidRDefault="00065266" w:rsidP="009077C6">
      <w:pPr>
        <w:rPr>
          <w:lang w:val="lv-LV"/>
        </w:rPr>
      </w:pPr>
      <w:r>
        <w:rPr>
          <w:lang w:val="lv-LV"/>
        </w:rPr>
        <w:t>Novērtējuma</w:t>
      </w:r>
      <w:r w:rsidR="004C3B43">
        <w:rPr>
          <w:lang w:val="lv-LV"/>
        </w:rPr>
        <w:t xml:space="preserve"> vadlīnijas:</w:t>
      </w:r>
    </w:p>
    <w:p w14:paraId="0AD7C5C1" w14:textId="4862184E" w:rsidR="00D16663" w:rsidRDefault="00870468" w:rsidP="00D5520A">
      <w:pPr>
        <w:pStyle w:val="ListParagraph"/>
        <w:numPr>
          <w:ilvl w:val="0"/>
          <w:numId w:val="7"/>
        </w:numPr>
        <w:rPr>
          <w:lang w:val="lv-LV"/>
        </w:rPr>
      </w:pPr>
      <w:r>
        <w:rPr>
          <w:lang w:val="lv-LV"/>
        </w:rPr>
        <w:t xml:space="preserve">VPK1. </w:t>
      </w:r>
      <w:r w:rsidR="001C4851">
        <w:rPr>
          <w:lang w:val="lv-LV"/>
        </w:rPr>
        <w:t xml:space="preserve">Vai </w:t>
      </w:r>
      <w:proofErr w:type="spellStart"/>
      <w:r w:rsidR="001C4851">
        <w:rPr>
          <w:lang w:val="lv-LV"/>
        </w:rPr>
        <w:t>m</w:t>
      </w:r>
      <w:r w:rsidR="00FA363E">
        <w:rPr>
          <w:lang w:val="lv-LV"/>
        </w:rPr>
        <w:t>ērķarhitektūr</w:t>
      </w:r>
      <w:r w:rsidR="00672B56">
        <w:rPr>
          <w:lang w:val="lv-LV"/>
        </w:rPr>
        <w:t>ā</w:t>
      </w:r>
      <w:proofErr w:type="spellEnd"/>
      <w:r w:rsidR="00FA363E">
        <w:rPr>
          <w:lang w:val="lv-LV"/>
        </w:rPr>
        <w:t xml:space="preserve"> ir skaidri iezīmētas risināmās problēmas (piemēram, SVID analīzes formā)</w:t>
      </w:r>
      <w:r w:rsidR="001C4851">
        <w:rPr>
          <w:lang w:val="lv-LV"/>
        </w:rPr>
        <w:t>?</w:t>
      </w:r>
    </w:p>
    <w:p w14:paraId="3BE01F6B" w14:textId="10DB9C13" w:rsidR="00AA552D" w:rsidRDefault="00870468" w:rsidP="00D5520A">
      <w:pPr>
        <w:pStyle w:val="ListParagraph"/>
        <w:numPr>
          <w:ilvl w:val="0"/>
          <w:numId w:val="7"/>
        </w:numPr>
        <w:rPr>
          <w:lang w:val="lv-LV"/>
        </w:rPr>
      </w:pPr>
      <w:r>
        <w:rPr>
          <w:lang w:val="lv-LV"/>
        </w:rPr>
        <w:t>VPK</w:t>
      </w:r>
      <w:r w:rsidR="00672B56">
        <w:rPr>
          <w:lang w:val="lv-LV"/>
        </w:rPr>
        <w:t>2</w:t>
      </w:r>
      <w:r>
        <w:rPr>
          <w:lang w:val="lv-LV"/>
        </w:rPr>
        <w:t xml:space="preserve">. </w:t>
      </w:r>
      <w:r w:rsidR="001C4851">
        <w:rPr>
          <w:lang w:val="lv-LV"/>
        </w:rPr>
        <w:t xml:space="preserve">Vai </w:t>
      </w:r>
      <w:proofErr w:type="spellStart"/>
      <w:r w:rsidR="001C4851">
        <w:rPr>
          <w:lang w:val="lv-LV"/>
        </w:rPr>
        <w:t>m</w:t>
      </w:r>
      <w:r w:rsidR="00AA552D">
        <w:rPr>
          <w:lang w:val="lv-LV"/>
        </w:rPr>
        <w:t>ērķarhitektūr</w:t>
      </w:r>
      <w:r w:rsidR="007E344E">
        <w:rPr>
          <w:lang w:val="lv-LV"/>
        </w:rPr>
        <w:t>ā</w:t>
      </w:r>
      <w:proofErr w:type="spellEnd"/>
      <w:r w:rsidR="00AA552D">
        <w:rPr>
          <w:lang w:val="lv-LV"/>
        </w:rPr>
        <w:t xml:space="preserve"> ir izvirzīti sasniedzamie mērķi un rezultatīvie rādītāji</w:t>
      </w:r>
      <w:r w:rsidR="009D08AD">
        <w:rPr>
          <w:lang w:val="lv-LV"/>
        </w:rPr>
        <w:t xml:space="preserve">, kas ir </w:t>
      </w:r>
      <w:r w:rsidR="009D08AD" w:rsidRPr="009D08AD">
        <w:rPr>
          <w:lang w:val="lv-LV"/>
        </w:rPr>
        <w:t>specifiski, izmērāmi, sasniedzami, nozīmīgi</w:t>
      </w:r>
      <w:r w:rsidR="009D08AD">
        <w:rPr>
          <w:lang w:val="lv-LV"/>
        </w:rPr>
        <w:t xml:space="preserve"> </w:t>
      </w:r>
      <w:r w:rsidR="009D08AD" w:rsidRPr="009D08AD">
        <w:rPr>
          <w:lang w:val="lv-LV"/>
        </w:rPr>
        <w:t xml:space="preserve">un realizējami </w:t>
      </w:r>
      <w:r w:rsidR="009D08AD">
        <w:rPr>
          <w:lang w:val="lv-LV"/>
        </w:rPr>
        <w:t>noteiktajos</w:t>
      </w:r>
      <w:r w:rsidR="009D08AD" w:rsidRPr="009D08AD">
        <w:rPr>
          <w:lang w:val="lv-LV"/>
        </w:rPr>
        <w:t xml:space="preserve"> termiņos</w:t>
      </w:r>
      <w:r w:rsidR="001C4851">
        <w:rPr>
          <w:lang w:val="lv-LV"/>
        </w:rPr>
        <w:t>?</w:t>
      </w:r>
    </w:p>
    <w:p w14:paraId="73D30185" w14:textId="15D6615D" w:rsidR="00672B56" w:rsidRPr="00672B56" w:rsidRDefault="00672B56" w:rsidP="00672B56">
      <w:pPr>
        <w:pStyle w:val="ListParagraph"/>
        <w:numPr>
          <w:ilvl w:val="0"/>
          <w:numId w:val="7"/>
        </w:numPr>
        <w:rPr>
          <w:lang w:val="lv-LV"/>
        </w:rPr>
      </w:pPr>
      <w:r>
        <w:rPr>
          <w:lang w:val="lv-LV"/>
        </w:rPr>
        <w:t>VPK</w:t>
      </w:r>
      <w:r>
        <w:rPr>
          <w:lang w:val="lv-LV"/>
        </w:rPr>
        <w:t>3</w:t>
      </w:r>
      <w:r>
        <w:rPr>
          <w:lang w:val="lv-LV"/>
        </w:rPr>
        <w:t xml:space="preserve">. Vai </w:t>
      </w:r>
      <w:proofErr w:type="spellStart"/>
      <w:r>
        <w:rPr>
          <w:lang w:val="lv-LV"/>
        </w:rPr>
        <w:t>m</w:t>
      </w:r>
      <w:r w:rsidRPr="00D16663">
        <w:rPr>
          <w:lang w:val="lv-LV"/>
        </w:rPr>
        <w:t>ērķarhitektūr</w:t>
      </w:r>
      <w:r w:rsidR="007E344E">
        <w:rPr>
          <w:lang w:val="lv-LV"/>
        </w:rPr>
        <w:t>ā</w:t>
      </w:r>
      <w:proofErr w:type="spellEnd"/>
      <w:r w:rsidRPr="00D16663">
        <w:rPr>
          <w:lang w:val="lv-LV"/>
        </w:rPr>
        <w:t xml:space="preserve"> ir apzinātas nepieciešamās izmaiņas </w:t>
      </w:r>
      <w:r>
        <w:rPr>
          <w:lang w:val="lv-LV"/>
        </w:rPr>
        <w:t xml:space="preserve">jomas iestāžu funkcijās/uzdevumos, </w:t>
      </w:r>
      <w:r w:rsidRPr="00D16663">
        <w:rPr>
          <w:lang w:val="lv-LV"/>
        </w:rPr>
        <w:t>normatīvajos aktos</w:t>
      </w:r>
      <w:r w:rsidR="00AD1B0E">
        <w:rPr>
          <w:lang w:val="lv-LV"/>
        </w:rPr>
        <w:t>, pakalpojumos</w:t>
      </w:r>
      <w:r>
        <w:rPr>
          <w:lang w:val="lv-LV"/>
        </w:rPr>
        <w:t xml:space="preserve"> un IKT </w:t>
      </w:r>
      <w:r w:rsidR="00AD1B0E">
        <w:rPr>
          <w:lang w:val="lv-LV"/>
        </w:rPr>
        <w:t>risinājumos</w:t>
      </w:r>
      <w:r>
        <w:rPr>
          <w:lang w:val="lv-LV"/>
        </w:rPr>
        <w:t>, kā arī sniegts izmaiņu pamatojums?</w:t>
      </w:r>
    </w:p>
    <w:p w14:paraId="36DC4914" w14:textId="7556A472" w:rsidR="0095268B" w:rsidRDefault="00870468" w:rsidP="00D5520A">
      <w:pPr>
        <w:pStyle w:val="ListParagraph"/>
        <w:numPr>
          <w:ilvl w:val="0"/>
          <w:numId w:val="7"/>
        </w:numPr>
        <w:rPr>
          <w:lang w:val="lv-LV"/>
        </w:rPr>
      </w:pPr>
      <w:r>
        <w:rPr>
          <w:lang w:val="lv-LV"/>
        </w:rPr>
        <w:t xml:space="preserve">VPK4. </w:t>
      </w:r>
      <w:r w:rsidR="001C4851">
        <w:rPr>
          <w:lang w:val="lv-LV"/>
        </w:rPr>
        <w:t xml:space="preserve">Vai </w:t>
      </w:r>
      <w:proofErr w:type="spellStart"/>
      <w:r w:rsidR="001C4851">
        <w:rPr>
          <w:lang w:val="lv-LV"/>
        </w:rPr>
        <w:t>m</w:t>
      </w:r>
      <w:r w:rsidR="0095268B">
        <w:rPr>
          <w:lang w:val="lv-LV"/>
        </w:rPr>
        <w:t>ērķarhitektūra</w:t>
      </w:r>
      <w:proofErr w:type="spellEnd"/>
      <w:r w:rsidR="0095268B">
        <w:rPr>
          <w:lang w:val="lv-LV"/>
        </w:rPr>
        <w:t xml:space="preserve"> ir saskaņota ar visām jomas iestādēm</w:t>
      </w:r>
      <w:r w:rsidR="00B0196E">
        <w:rPr>
          <w:lang w:val="lv-LV"/>
        </w:rPr>
        <w:t xml:space="preserve"> un </w:t>
      </w:r>
      <w:r w:rsidR="00D7561B">
        <w:rPr>
          <w:lang w:val="lv-LV"/>
        </w:rPr>
        <w:t xml:space="preserve">izmaiņu </w:t>
      </w:r>
      <w:r w:rsidR="00B0196E">
        <w:rPr>
          <w:lang w:val="lv-LV"/>
        </w:rPr>
        <w:t>ietekmētajām iestādēm</w:t>
      </w:r>
      <w:r w:rsidR="001C4851">
        <w:rPr>
          <w:lang w:val="lv-LV"/>
        </w:rPr>
        <w:t>?</w:t>
      </w:r>
    </w:p>
    <w:p w14:paraId="6AC08B00" w14:textId="6197F181" w:rsidR="0007431F" w:rsidRPr="00D16663" w:rsidRDefault="00870468" w:rsidP="00D5520A">
      <w:pPr>
        <w:pStyle w:val="ListParagraph"/>
        <w:numPr>
          <w:ilvl w:val="0"/>
          <w:numId w:val="7"/>
        </w:numPr>
        <w:rPr>
          <w:lang w:val="lv-LV"/>
        </w:rPr>
      </w:pPr>
      <w:r>
        <w:rPr>
          <w:lang w:val="lv-LV"/>
        </w:rPr>
        <w:t xml:space="preserve">VPK5. </w:t>
      </w:r>
      <w:r w:rsidR="001C4851">
        <w:rPr>
          <w:lang w:val="lv-LV"/>
        </w:rPr>
        <w:t xml:space="preserve">Vai </w:t>
      </w:r>
      <w:proofErr w:type="spellStart"/>
      <w:r w:rsidR="001C4851">
        <w:rPr>
          <w:lang w:val="lv-LV"/>
        </w:rPr>
        <w:t>m</w:t>
      </w:r>
      <w:r w:rsidR="0007431F">
        <w:rPr>
          <w:lang w:val="lv-LV"/>
        </w:rPr>
        <w:t>ērķarhitektūras</w:t>
      </w:r>
      <w:proofErr w:type="spellEnd"/>
      <w:r w:rsidR="0007431F">
        <w:rPr>
          <w:lang w:val="lv-LV"/>
        </w:rPr>
        <w:t xml:space="preserve"> ieviešanas iniciatīvas ir </w:t>
      </w:r>
      <w:proofErr w:type="spellStart"/>
      <w:r w:rsidR="0007431F">
        <w:rPr>
          <w:lang w:val="lv-LV"/>
        </w:rPr>
        <w:t>prioritizētas</w:t>
      </w:r>
      <w:proofErr w:type="spellEnd"/>
      <w:r w:rsidR="0007431F">
        <w:rPr>
          <w:lang w:val="lv-LV"/>
        </w:rPr>
        <w:t xml:space="preserve">, tai skaitā ņemot vērā savstarpējās </w:t>
      </w:r>
      <w:r w:rsidR="000F656A">
        <w:rPr>
          <w:lang w:val="lv-LV"/>
        </w:rPr>
        <w:t>atkarības</w:t>
      </w:r>
      <w:r w:rsidR="001C4851">
        <w:rPr>
          <w:lang w:val="lv-LV"/>
        </w:rPr>
        <w:t>?</w:t>
      </w:r>
    </w:p>
    <w:p w14:paraId="6CBECEAF" w14:textId="77777777" w:rsidR="004C3B43" w:rsidRDefault="004C3B43" w:rsidP="009077C6">
      <w:pPr>
        <w:rPr>
          <w:lang w:val="lv-LV"/>
        </w:rPr>
      </w:pPr>
    </w:p>
    <w:p w14:paraId="07D6FCED" w14:textId="2E75F212" w:rsidR="002830F8" w:rsidRDefault="002830F8" w:rsidP="00E43D18">
      <w:pPr>
        <w:pStyle w:val="Heading2"/>
        <w:rPr>
          <w:lang w:val="lv-LV"/>
        </w:rPr>
      </w:pPr>
      <w:r>
        <w:rPr>
          <w:lang w:val="lv-LV"/>
        </w:rPr>
        <w:lastRenderedPageBreak/>
        <w:t>P</w:t>
      </w:r>
      <w:r w:rsidR="004519A7">
        <w:rPr>
          <w:lang w:val="lv-LV"/>
        </w:rPr>
        <w:t>2</w:t>
      </w:r>
      <w:r>
        <w:rPr>
          <w:lang w:val="lv-LV"/>
        </w:rPr>
        <w:t xml:space="preserve">. </w:t>
      </w:r>
      <w:r w:rsidRPr="00E2406D">
        <w:rPr>
          <w:noProof/>
          <w:lang w:val="lv-LV"/>
        </w:rPr>
        <mc:AlternateContent>
          <mc:Choice Requires="wps">
            <w:drawing>
              <wp:anchor distT="0" distB="0" distL="114300" distR="114300" simplePos="0" relativeHeight="251658242" behindDoc="0" locked="0" layoutInCell="1" allowOverlap="1" wp14:anchorId="491B96EF" wp14:editId="427A2EE2">
                <wp:simplePos x="0" y="0"/>
                <wp:positionH relativeFrom="column">
                  <wp:posOffset>0</wp:posOffset>
                </wp:positionH>
                <wp:positionV relativeFrom="paragraph">
                  <wp:posOffset>316865</wp:posOffset>
                </wp:positionV>
                <wp:extent cx="1828800" cy="1828800"/>
                <wp:effectExtent l="0" t="0" r="8890" b="10795"/>
                <wp:wrapTopAndBottom/>
                <wp:docPr id="1445366157"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2D38662" w14:textId="34F243AB" w:rsidR="002830F8" w:rsidRDefault="00A839B6" w:rsidP="002830F8">
                            <w:pPr>
                              <w:ind w:left="851"/>
                              <w:jc w:val="both"/>
                              <w:rPr>
                                <w:lang w:val="lv-LV" w:bidi="lv-LV"/>
                              </w:rPr>
                            </w:pPr>
                            <w:r>
                              <w:rPr>
                                <w:lang w:val="lv-LV" w:bidi="lv-LV"/>
                              </w:rPr>
                              <w:t xml:space="preserve">Klients ir digitālo pakalpojumu izveides centrālais elements. </w:t>
                            </w:r>
                            <w:r w:rsidR="00F82897" w:rsidRPr="00F82897">
                              <w:rPr>
                                <w:lang w:val="lv-LV" w:bidi="lv-LV"/>
                              </w:rPr>
                              <w:t>Padziļināta izpratne par lietotāju kontekstu, vajadzībām un iemesliem, kāpēc viņi izvēlas vai izvairās no pakalpojuma, ir būtiska, lai veidotu risinājumus, kas ir vērtīgi un noderīgi lietotājiem.</w:t>
                            </w:r>
                          </w:p>
                          <w:p w14:paraId="15F9BC6D" w14:textId="77777777" w:rsidR="002E0A24" w:rsidRPr="002E0A24" w:rsidRDefault="002E0A24" w:rsidP="002E0A24">
                            <w:pPr>
                              <w:ind w:left="851"/>
                              <w:jc w:val="both"/>
                              <w:rPr>
                                <w:lang w:val="lv-LV" w:bidi="lv-LV"/>
                              </w:rPr>
                            </w:pPr>
                            <w:r w:rsidRPr="002E0A24">
                              <w:rPr>
                                <w:lang w:val="lv-LV" w:bidi="lv-LV"/>
                              </w:rPr>
                              <w:t>Valsts pārvaldes IKT risinājumu attīstības pamata fokuss ir IKT pakalpojumu sniegšana iedzīvotājiem,  uzņēmumiem vai jebkurai pārvaldes iestādei, tai skaitā arī ārpus valsts robežām, aptverot trīs veidu sadarbību:</w:t>
                            </w:r>
                          </w:p>
                          <w:p w14:paraId="28BE5334" w14:textId="77777777" w:rsidR="002E0A24" w:rsidRPr="002E0A24" w:rsidRDefault="002E0A24" w:rsidP="00D5520A">
                            <w:pPr>
                              <w:numPr>
                                <w:ilvl w:val="0"/>
                                <w:numId w:val="1"/>
                              </w:numPr>
                              <w:jc w:val="both"/>
                              <w:rPr>
                                <w:lang w:val="lv-LV" w:bidi="lv-LV"/>
                              </w:rPr>
                            </w:pPr>
                            <w:r w:rsidRPr="002E0A24">
                              <w:rPr>
                                <w:lang w:val="lv-LV" w:bidi="lv-LV"/>
                              </w:rPr>
                              <w:t>A2A (pārvaldes iestāde — pārvaldes iestāde),</w:t>
                            </w:r>
                          </w:p>
                          <w:p w14:paraId="288AAECF" w14:textId="77777777" w:rsidR="002E0A24" w:rsidRPr="002E0A24" w:rsidRDefault="002E0A24" w:rsidP="00D5520A">
                            <w:pPr>
                              <w:numPr>
                                <w:ilvl w:val="0"/>
                                <w:numId w:val="1"/>
                              </w:numPr>
                              <w:jc w:val="both"/>
                              <w:rPr>
                                <w:lang w:val="lv-LV" w:bidi="lv-LV"/>
                              </w:rPr>
                            </w:pPr>
                            <w:r w:rsidRPr="002E0A24">
                              <w:rPr>
                                <w:lang w:val="lv-LV" w:bidi="lv-LV"/>
                              </w:rPr>
                              <w:t>A2B (pārvaldes iestāde — uzņēmums),</w:t>
                            </w:r>
                          </w:p>
                          <w:p w14:paraId="6B610886" w14:textId="77777777" w:rsidR="002E0A24" w:rsidRPr="002E0A24" w:rsidRDefault="002E0A24" w:rsidP="00D5520A">
                            <w:pPr>
                              <w:numPr>
                                <w:ilvl w:val="0"/>
                                <w:numId w:val="1"/>
                              </w:numPr>
                              <w:jc w:val="both"/>
                              <w:rPr>
                                <w:lang w:val="lv-LV" w:bidi="lv-LV"/>
                              </w:rPr>
                            </w:pPr>
                            <w:r w:rsidRPr="002E0A24">
                              <w:rPr>
                                <w:lang w:val="lv-LV" w:bidi="lv-LV"/>
                              </w:rPr>
                              <w:t>A2C (pārvaldes iestāde — iedzīvotājs).</w:t>
                            </w:r>
                          </w:p>
                          <w:p w14:paraId="7E898938" w14:textId="419AA46B" w:rsidR="002E0A24" w:rsidRDefault="002E0A24" w:rsidP="002E0A24">
                            <w:pPr>
                              <w:ind w:left="851"/>
                              <w:jc w:val="both"/>
                              <w:rPr>
                                <w:lang w:val="lv-LV" w:bidi="lv-LV"/>
                              </w:rPr>
                            </w:pPr>
                            <w:r w:rsidRPr="002E0A24">
                              <w:rPr>
                                <w:lang w:val="lv-LV" w:bidi="lv-LV"/>
                              </w:rPr>
                              <w:t xml:space="preserve">IKT risinājumu attīstība nevar būt pašmērķis, un viennozīmīgi nosakāma IKT lietotāju interešu prioritāte. </w:t>
                            </w:r>
                          </w:p>
                          <w:p w14:paraId="7E49DF68" w14:textId="77777777" w:rsidR="00080CC6" w:rsidRPr="00960BA3" w:rsidRDefault="00080CC6" w:rsidP="00080CC6">
                            <w:pPr>
                              <w:ind w:left="851"/>
                              <w:jc w:val="both"/>
                              <w:rPr>
                                <w:lang w:val="lv-LV"/>
                              </w:rPr>
                            </w:pPr>
                            <w:r w:rsidRPr="00960BA3">
                              <w:rPr>
                                <w:lang w:val="lv-LV"/>
                              </w:rPr>
                              <w:t>Visiem klientiem, neatkarīgi no viņu iespējām, atrašanās vietas vai apstākļiem, ir jābūt iespējai vienlīdzīgi piekļūt un izmantot piedāvātos risinājumus un pakalpojumus. Jānodrošina, ka neviena sabiedrības grupa netiek izslēgta no attīstības un priekšrocībām, ko sniedz tehnoloģijas un valsts pārvaldes iniciatīvas.</w:t>
                            </w:r>
                          </w:p>
                          <w:p w14:paraId="36F55EFD" w14:textId="43BABFB6" w:rsidR="00080CC6" w:rsidRPr="00F82897" w:rsidRDefault="00080CC6" w:rsidP="00080CC6">
                            <w:pPr>
                              <w:ind w:left="851"/>
                              <w:jc w:val="both"/>
                              <w:rPr>
                                <w:lang w:val="lv-LV" w:bidi="lv-LV"/>
                              </w:rPr>
                            </w:pPr>
                            <w:proofErr w:type="spellStart"/>
                            <w:r w:rsidRPr="00960BA3">
                              <w:rPr>
                                <w:lang w:val="lv-LV" w:bidi="lv-LV"/>
                              </w:rPr>
                              <w:t>Iekļautība</w:t>
                            </w:r>
                            <w:proofErr w:type="spellEnd"/>
                            <w:r w:rsidRPr="00960BA3">
                              <w:rPr>
                                <w:lang w:val="lv-LV" w:bidi="lv-LV"/>
                              </w:rPr>
                              <w:t xml:space="preserve"> nodrošina, ka ikviens, neatkarīgi no sociālajām un ekonomiskajām atšķirībām vai iespējamiem šķēršļiem, var pilnībā izmantot jaunāko tehnoloģiju sniegtās iespējas piekļūt un izmantot publiskos pakalpojumus. </w:t>
                            </w:r>
                            <w:proofErr w:type="spellStart"/>
                            <w:r w:rsidRPr="00960BA3">
                              <w:rPr>
                                <w:lang w:val="lv-LV" w:bidi="lv-LV"/>
                              </w:rPr>
                              <w:t>Piekļūstamība</w:t>
                            </w:r>
                            <w:proofErr w:type="spellEnd"/>
                            <w:r w:rsidRPr="00960BA3">
                              <w:rPr>
                                <w:lang w:val="lv-LV" w:bidi="lv-LV"/>
                              </w:rPr>
                              <w:t xml:space="preserve"> garantē, ka cilvēki ar invaliditāti, vecāka gadagājuma iedzīvotāji un citas neaizsargātas grupas saņem tādu pašu piekļuves līmeni kā pārējie sabiedrības locekļi.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1B96EF" id="_x0000_s1027" type="#_x0000_t202" style="position:absolute;margin-left:0;margin-top:24.95pt;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" fillcolor="white [3201]" strokecolor="#196b24 [3206]" strokeweight="1pt">
                <v:textbox style="mso-fit-shape-to-text:t">
                  <w:txbxContent>
                    <w:p w14:paraId="02D38662" w14:textId="34F243AB" w:rsidR="002830F8" w:rsidRDefault="00A839B6" w:rsidP="002830F8">
                      <w:pPr>
                        <w:ind w:left="851"/>
                        <w:jc w:val="both"/>
                        <w:rPr>
                          <w:lang w:val="lv-LV" w:bidi="lv-LV"/>
                        </w:rPr>
                      </w:pPr>
                      <w:r>
                        <w:rPr>
                          <w:lang w:val="lv-LV" w:bidi="lv-LV"/>
                        </w:rPr>
                        <w:t xml:space="preserve">Klients ir digitālo pakalpojumu izveides centrālais elements. </w:t>
                      </w:r>
                      <w:r w:rsidR="00F82897" w:rsidRPr="00F82897">
                        <w:rPr>
                          <w:lang w:val="lv-LV" w:bidi="lv-LV"/>
                        </w:rPr>
                        <w:t>Padziļināta izpratne par lietotāju kontekstu, vajadzībām un iemesliem, kāpēc viņi izvēlas vai izvairās no pakalpojuma, ir būtiska, lai veidotu risinājumus, kas ir vērtīgi un noderīgi lietotājiem.</w:t>
                      </w:r>
                    </w:p>
                    <w:p w14:paraId="15F9BC6D" w14:textId="77777777" w:rsidR="002E0A24" w:rsidRPr="002E0A24" w:rsidRDefault="002E0A24" w:rsidP="002E0A24">
                      <w:pPr>
                        <w:ind w:left="851"/>
                        <w:jc w:val="both"/>
                        <w:rPr>
                          <w:lang w:val="lv-LV" w:bidi="lv-LV"/>
                        </w:rPr>
                      </w:pPr>
                      <w:r w:rsidRPr="002E0A24">
                        <w:rPr>
                          <w:lang w:val="lv-LV" w:bidi="lv-LV"/>
                        </w:rPr>
                        <w:t>Valsts pārvaldes IKT risinājumu attīstības pamata fokuss ir IKT pakalpojumu sniegšana iedzīvotājiem,  uzņēmumiem vai jebkurai pārvaldes iestādei, tai skaitā arī ārpus valsts robežām, aptverot trīs veidu sadarbību:</w:t>
                      </w:r>
                    </w:p>
                    <w:p w14:paraId="28BE5334" w14:textId="77777777" w:rsidR="002E0A24" w:rsidRPr="002E0A24" w:rsidRDefault="002E0A24" w:rsidP="00D5520A">
                      <w:pPr>
                        <w:numPr>
                          <w:ilvl w:val="0"/>
                          <w:numId w:val="1"/>
                        </w:numPr>
                        <w:jc w:val="both"/>
                        <w:rPr>
                          <w:lang w:val="lv-LV" w:bidi="lv-LV"/>
                        </w:rPr>
                      </w:pPr>
                      <w:r w:rsidRPr="002E0A24">
                        <w:rPr>
                          <w:lang w:val="lv-LV" w:bidi="lv-LV"/>
                        </w:rPr>
                        <w:t>A2A (pārvaldes iestāde — pārvaldes iestāde),</w:t>
                      </w:r>
                    </w:p>
                    <w:p w14:paraId="288AAECF" w14:textId="77777777" w:rsidR="002E0A24" w:rsidRPr="002E0A24" w:rsidRDefault="002E0A24" w:rsidP="00D5520A">
                      <w:pPr>
                        <w:numPr>
                          <w:ilvl w:val="0"/>
                          <w:numId w:val="1"/>
                        </w:numPr>
                        <w:jc w:val="both"/>
                        <w:rPr>
                          <w:lang w:val="lv-LV" w:bidi="lv-LV"/>
                        </w:rPr>
                      </w:pPr>
                      <w:r w:rsidRPr="002E0A24">
                        <w:rPr>
                          <w:lang w:val="lv-LV" w:bidi="lv-LV"/>
                        </w:rPr>
                        <w:t>A2B (pārvaldes iestāde — uzņēmums),</w:t>
                      </w:r>
                    </w:p>
                    <w:p w14:paraId="6B610886" w14:textId="77777777" w:rsidR="002E0A24" w:rsidRPr="002E0A24" w:rsidRDefault="002E0A24" w:rsidP="00D5520A">
                      <w:pPr>
                        <w:numPr>
                          <w:ilvl w:val="0"/>
                          <w:numId w:val="1"/>
                        </w:numPr>
                        <w:jc w:val="both"/>
                        <w:rPr>
                          <w:lang w:val="lv-LV" w:bidi="lv-LV"/>
                        </w:rPr>
                      </w:pPr>
                      <w:r w:rsidRPr="002E0A24">
                        <w:rPr>
                          <w:lang w:val="lv-LV" w:bidi="lv-LV"/>
                        </w:rPr>
                        <w:t>A2C (pārvaldes iestāde — iedzīvotājs).</w:t>
                      </w:r>
                    </w:p>
                    <w:p w14:paraId="7E898938" w14:textId="419AA46B" w:rsidR="002E0A24" w:rsidRDefault="002E0A24" w:rsidP="002E0A24">
                      <w:pPr>
                        <w:ind w:left="851"/>
                        <w:jc w:val="both"/>
                        <w:rPr>
                          <w:lang w:val="lv-LV" w:bidi="lv-LV"/>
                        </w:rPr>
                      </w:pPr>
                      <w:r w:rsidRPr="002E0A24">
                        <w:rPr>
                          <w:lang w:val="lv-LV" w:bidi="lv-LV"/>
                        </w:rPr>
                        <w:t xml:space="preserve">IKT risinājumu attīstība nevar būt pašmērķis, un viennozīmīgi nosakāma IKT lietotāju interešu prioritāte. </w:t>
                      </w:r>
                    </w:p>
                    <w:p w14:paraId="7E49DF68" w14:textId="77777777" w:rsidR="00080CC6" w:rsidRPr="00960BA3" w:rsidRDefault="00080CC6" w:rsidP="00080CC6">
                      <w:pPr>
                        <w:ind w:left="851"/>
                        <w:jc w:val="both"/>
                        <w:rPr>
                          <w:lang w:val="lv-LV"/>
                        </w:rPr>
                      </w:pPr>
                      <w:r w:rsidRPr="00960BA3">
                        <w:rPr>
                          <w:lang w:val="lv-LV"/>
                        </w:rPr>
                        <w:t>Visiem klientiem, neatkarīgi no viņu iespējām, atrašanās vietas vai apstākļiem, ir jābūt iespējai vienlīdzīgi piekļūt un izmantot piedāvātos risinājumus un pakalpojumus. Jānodrošina, ka neviena sabiedrības grupa netiek izslēgta no attīstības un priekšrocībām, ko sniedz tehnoloģijas un valsts pārvaldes iniciatīvas.</w:t>
                      </w:r>
                    </w:p>
                    <w:p w14:paraId="36F55EFD" w14:textId="43BABFB6" w:rsidR="00080CC6" w:rsidRPr="00F82897" w:rsidRDefault="00080CC6" w:rsidP="00080CC6">
                      <w:pPr>
                        <w:ind w:left="851"/>
                        <w:jc w:val="both"/>
                        <w:rPr>
                          <w:lang w:val="lv-LV" w:bidi="lv-LV"/>
                        </w:rPr>
                      </w:pPr>
                      <w:proofErr w:type="spellStart"/>
                      <w:r w:rsidRPr="00960BA3">
                        <w:rPr>
                          <w:lang w:val="lv-LV" w:bidi="lv-LV"/>
                        </w:rPr>
                        <w:t>Iekļautība</w:t>
                      </w:r>
                      <w:proofErr w:type="spellEnd"/>
                      <w:r w:rsidRPr="00960BA3">
                        <w:rPr>
                          <w:lang w:val="lv-LV" w:bidi="lv-LV"/>
                        </w:rPr>
                        <w:t xml:space="preserve"> nodrošina, ka ikviens, neatkarīgi no sociālajām un ekonomiskajām atšķirībām vai iespējamiem šķēršļiem, var pilnībā izmantot jaunāko tehnoloģiju sniegtās iespējas piekļūt un izmantot publiskos pakalpojumus. </w:t>
                      </w:r>
                      <w:proofErr w:type="spellStart"/>
                      <w:r w:rsidRPr="00960BA3">
                        <w:rPr>
                          <w:lang w:val="lv-LV" w:bidi="lv-LV"/>
                        </w:rPr>
                        <w:t>Piekļūstamība</w:t>
                      </w:r>
                      <w:proofErr w:type="spellEnd"/>
                      <w:r w:rsidRPr="00960BA3">
                        <w:rPr>
                          <w:lang w:val="lv-LV" w:bidi="lv-LV"/>
                        </w:rPr>
                        <w:t xml:space="preserve"> garantē, ka cilvēki ar invaliditāti, vecāka gadagājuma iedzīvotāji un citas neaizsargātas grupas saņem tādu pašu piekļuves līmeni kā pārējie sabiedrības locekļi.</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43" behindDoc="0" locked="0" layoutInCell="1" allowOverlap="1" wp14:anchorId="646568B2" wp14:editId="216E5147">
            <wp:simplePos x="0" y="0"/>
            <wp:positionH relativeFrom="margin">
              <wp:posOffset>88900</wp:posOffset>
            </wp:positionH>
            <wp:positionV relativeFrom="paragraph">
              <wp:posOffset>450850</wp:posOffset>
            </wp:positionV>
            <wp:extent cx="427990" cy="427990"/>
            <wp:effectExtent l="0" t="0" r="0" b="0"/>
            <wp:wrapSquare wrapText="bothSides"/>
            <wp:docPr id="760667177"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F82897">
        <w:rPr>
          <w:lang w:val="lv-LV"/>
        </w:rPr>
        <w:t>Paz</w:t>
      </w:r>
      <w:r w:rsidR="00E47D33">
        <w:rPr>
          <w:lang w:val="lv-LV"/>
        </w:rPr>
        <w:t>īt</w:t>
      </w:r>
      <w:r w:rsidR="00F82897">
        <w:rPr>
          <w:lang w:val="lv-LV"/>
        </w:rPr>
        <w:t xml:space="preserve"> savu klientu</w:t>
      </w:r>
      <w:r w:rsidR="002F6D56">
        <w:rPr>
          <w:lang w:val="lv-LV"/>
        </w:rPr>
        <w:t xml:space="preserve"> un neatstāt nevienu novārtā</w:t>
      </w:r>
    </w:p>
    <w:p w14:paraId="71A78C8B" w14:textId="4F99FD99" w:rsidR="00960BA3" w:rsidRPr="00E40818" w:rsidRDefault="00960BA3" w:rsidP="004519A7">
      <w:pPr>
        <w:rPr>
          <w:rStyle w:val="Heading4Char"/>
          <w:i w:val="0"/>
          <w:iCs w:val="0"/>
          <w:lang w:val="lv-LV"/>
        </w:rPr>
      </w:pPr>
    </w:p>
    <w:p w14:paraId="4F1AF126" w14:textId="77777777" w:rsidR="00AD546F" w:rsidRPr="00096FC8" w:rsidRDefault="00AD546F" w:rsidP="00B531EA">
      <w:pPr>
        <w:jc w:val="both"/>
        <w:rPr>
          <w:lang w:val="lv-LV"/>
        </w:rPr>
      </w:pPr>
      <w:r w:rsidRPr="00096FC8">
        <w:rPr>
          <w:lang w:val="lv-LV"/>
        </w:rPr>
        <w:t>Piemērošanas vadlīnijas:</w:t>
      </w:r>
    </w:p>
    <w:p w14:paraId="43C7AFE0" w14:textId="2CE88F6B" w:rsidR="00960BA3" w:rsidRPr="00096FC8" w:rsidRDefault="00465932" w:rsidP="00B531EA">
      <w:pPr>
        <w:pStyle w:val="ListParagraph"/>
        <w:numPr>
          <w:ilvl w:val="0"/>
          <w:numId w:val="8"/>
        </w:numPr>
        <w:jc w:val="both"/>
        <w:rPr>
          <w:lang w:val="lv-LV"/>
        </w:rPr>
      </w:pPr>
      <w:r w:rsidRPr="00096FC8">
        <w:rPr>
          <w:lang w:val="lv-LV"/>
        </w:rPr>
        <w:t>Veiciet pakalpojumu un IKT risinājumu lietotāju pārdziļinātu izpēti, identificējot mērķa grupas, to pārstāvjus un viņu specifiskās vajadzības</w:t>
      </w:r>
      <w:r w:rsidR="00EB0798" w:rsidRPr="00096FC8">
        <w:rPr>
          <w:lang w:val="lv-LV"/>
        </w:rPr>
        <w:t xml:space="preserve">, tostarp, fiziskās, emocionālās un kulturālās </w:t>
      </w:r>
      <w:r w:rsidR="001F7DD0" w:rsidRPr="00096FC8">
        <w:rPr>
          <w:lang w:val="lv-LV"/>
        </w:rPr>
        <w:t>(rekomendēts piemērot dizaina domāšanas metodes)</w:t>
      </w:r>
    </w:p>
    <w:p w14:paraId="56C5CCD0" w14:textId="6FA14C7F" w:rsidR="00BF4A3A" w:rsidRPr="00096FC8" w:rsidRDefault="00BF4A3A" w:rsidP="00B531EA">
      <w:pPr>
        <w:pStyle w:val="ListParagraph"/>
        <w:numPr>
          <w:ilvl w:val="0"/>
          <w:numId w:val="8"/>
        </w:numPr>
        <w:jc w:val="both"/>
        <w:rPr>
          <w:lang w:val="lv-LV"/>
        </w:rPr>
      </w:pPr>
      <w:r w:rsidRPr="00096FC8">
        <w:rPr>
          <w:lang w:val="lv-LV"/>
        </w:rPr>
        <w:lastRenderedPageBreak/>
        <w:t xml:space="preserve">Definējiet pakalpojumu un IKT risinājumu lietotāju sagaidāmos ieguvumus no </w:t>
      </w:r>
      <w:proofErr w:type="spellStart"/>
      <w:r w:rsidRPr="00096FC8">
        <w:rPr>
          <w:lang w:val="lv-LV"/>
        </w:rPr>
        <w:t>mērķarhitektūras</w:t>
      </w:r>
      <w:proofErr w:type="spellEnd"/>
      <w:r w:rsidRPr="00096FC8">
        <w:rPr>
          <w:lang w:val="lv-LV"/>
        </w:rPr>
        <w:t xml:space="preserve"> īstenošanas</w:t>
      </w:r>
    </w:p>
    <w:p w14:paraId="30355842" w14:textId="024F28F3" w:rsidR="00095632" w:rsidRPr="00096FC8" w:rsidRDefault="00095632" w:rsidP="00B531EA">
      <w:pPr>
        <w:pStyle w:val="ListParagraph"/>
        <w:numPr>
          <w:ilvl w:val="0"/>
          <w:numId w:val="8"/>
        </w:numPr>
        <w:jc w:val="both"/>
        <w:rPr>
          <w:lang w:val="lv-LV"/>
        </w:rPr>
      </w:pPr>
      <w:r w:rsidRPr="00096FC8">
        <w:rPr>
          <w:lang w:val="lv-LV"/>
        </w:rPr>
        <w:t>Analizējot pakalpojum</w:t>
      </w:r>
      <w:r w:rsidR="00C6120B" w:rsidRPr="00096FC8">
        <w:rPr>
          <w:lang w:val="lv-LV"/>
        </w:rPr>
        <w:t>u</w:t>
      </w:r>
      <w:r w:rsidRPr="00096FC8">
        <w:rPr>
          <w:lang w:val="lv-LV"/>
        </w:rPr>
        <w:t xml:space="preserve"> sniegšanas procesu, jāņem vērā visi pakalpojuma posmi un saistītie pakalpojumi, lai nodrošinātu to pieejamību visiem lietotājiem, tostarp personām ar invaliditāti</w:t>
      </w:r>
    </w:p>
    <w:p w14:paraId="48AA6A99" w14:textId="1B2EA7F6" w:rsidR="00465932" w:rsidRPr="00096FC8" w:rsidRDefault="00B87237" w:rsidP="00B531EA">
      <w:pPr>
        <w:pStyle w:val="ListParagraph"/>
        <w:numPr>
          <w:ilvl w:val="0"/>
          <w:numId w:val="8"/>
        </w:numPr>
        <w:jc w:val="both"/>
        <w:rPr>
          <w:lang w:val="lv-LV"/>
        </w:rPr>
      </w:pPr>
      <w:r w:rsidRPr="00096FC8">
        <w:rPr>
          <w:lang w:val="lv-LV"/>
        </w:rPr>
        <w:t xml:space="preserve">Iesaistiet lietotājus pakalpojumu un IKT risinājumu </w:t>
      </w:r>
      <w:proofErr w:type="spellStart"/>
      <w:r w:rsidRPr="00096FC8">
        <w:rPr>
          <w:lang w:val="lv-LV"/>
        </w:rPr>
        <w:t>kop</w:t>
      </w:r>
      <w:r w:rsidR="00EB0798" w:rsidRPr="00096FC8">
        <w:rPr>
          <w:lang w:val="lv-LV"/>
        </w:rPr>
        <w:t>projektēšanā</w:t>
      </w:r>
      <w:proofErr w:type="spellEnd"/>
      <w:r w:rsidRPr="00096FC8">
        <w:rPr>
          <w:lang w:val="lv-LV"/>
        </w:rPr>
        <w:t xml:space="preserve"> </w:t>
      </w:r>
      <w:r w:rsidRPr="00096FC8">
        <w:rPr>
          <w:i/>
          <w:iCs/>
          <w:lang w:val="lv-LV"/>
        </w:rPr>
        <w:t xml:space="preserve">(no angļu val. – </w:t>
      </w:r>
      <w:proofErr w:type="spellStart"/>
      <w:r w:rsidRPr="00096FC8">
        <w:rPr>
          <w:i/>
          <w:iCs/>
          <w:lang w:val="lv-LV"/>
        </w:rPr>
        <w:t>co-creation</w:t>
      </w:r>
      <w:proofErr w:type="spellEnd"/>
      <w:r w:rsidRPr="00096FC8">
        <w:rPr>
          <w:i/>
          <w:iCs/>
          <w:lang w:val="lv-LV"/>
        </w:rPr>
        <w:t>)</w:t>
      </w:r>
      <w:r w:rsidR="00A52D22" w:rsidRPr="00096FC8">
        <w:rPr>
          <w:i/>
          <w:iCs/>
          <w:lang w:val="lv-LV"/>
        </w:rPr>
        <w:t xml:space="preserve">, </w:t>
      </w:r>
      <w:r w:rsidR="00A52D22" w:rsidRPr="00096FC8">
        <w:rPr>
          <w:lang w:val="lv-LV"/>
        </w:rPr>
        <w:t>t.sk., prototipu un risinājumu testēšanā</w:t>
      </w:r>
    </w:p>
    <w:p w14:paraId="3A973257" w14:textId="587B2DB2" w:rsidR="000120A1" w:rsidRPr="00096FC8" w:rsidRDefault="000120A1" w:rsidP="00B531EA">
      <w:pPr>
        <w:pStyle w:val="ListParagraph"/>
        <w:numPr>
          <w:ilvl w:val="0"/>
          <w:numId w:val="8"/>
        </w:numPr>
        <w:jc w:val="both"/>
        <w:rPr>
          <w:lang w:val="lv-LV"/>
        </w:rPr>
      </w:pPr>
      <w:r w:rsidRPr="00096FC8">
        <w:rPr>
          <w:lang w:val="lv-LV"/>
        </w:rPr>
        <w:t>Iesaistiet pakalpojumu un IKT risinājumu dizainerus un lietotāju pieredzes (UX) dizainerus, lai veiktu lietotāju izpēti, kartētu pieredzi un izstrādātu pakalpojumu un IKT risinājumus tā, lai apmierinātu visu lietotāju vajadzības.</w:t>
      </w:r>
    </w:p>
    <w:p w14:paraId="224D89EC" w14:textId="77777777" w:rsidR="00E203F8" w:rsidRPr="00096FC8" w:rsidRDefault="00B87237" w:rsidP="00B531EA">
      <w:pPr>
        <w:pStyle w:val="ListParagraph"/>
        <w:numPr>
          <w:ilvl w:val="0"/>
          <w:numId w:val="8"/>
        </w:numPr>
        <w:jc w:val="both"/>
        <w:rPr>
          <w:lang w:val="lv-LV"/>
        </w:rPr>
      </w:pPr>
      <w:r w:rsidRPr="00096FC8">
        <w:rPr>
          <w:lang w:val="lv-LV"/>
        </w:rPr>
        <w:t xml:space="preserve">Definējiet pakalpojumu un IKT risinājumu lietojamības un </w:t>
      </w:r>
      <w:proofErr w:type="spellStart"/>
      <w:r w:rsidRPr="00096FC8">
        <w:rPr>
          <w:lang w:val="lv-LV"/>
        </w:rPr>
        <w:t>piekļūstamības</w:t>
      </w:r>
      <w:proofErr w:type="spellEnd"/>
      <w:r w:rsidRPr="00096FC8">
        <w:rPr>
          <w:lang w:val="lv-LV"/>
        </w:rPr>
        <w:t xml:space="preserve"> prasības un paredziet to īstenošanu </w:t>
      </w:r>
      <w:proofErr w:type="spellStart"/>
      <w:r w:rsidRPr="00096FC8">
        <w:rPr>
          <w:lang w:val="lv-LV"/>
        </w:rPr>
        <w:t>mērķarhitektūras</w:t>
      </w:r>
      <w:proofErr w:type="spellEnd"/>
      <w:r w:rsidRPr="00096FC8">
        <w:rPr>
          <w:lang w:val="lv-LV"/>
        </w:rPr>
        <w:t xml:space="preserve"> risinājumos</w:t>
      </w:r>
    </w:p>
    <w:p w14:paraId="5AFF3001" w14:textId="72B62BA4" w:rsidR="00E203F8" w:rsidRPr="00096FC8" w:rsidRDefault="00E203F8" w:rsidP="00B531EA">
      <w:pPr>
        <w:pStyle w:val="ListParagraph"/>
        <w:numPr>
          <w:ilvl w:val="0"/>
          <w:numId w:val="8"/>
        </w:numPr>
        <w:jc w:val="both"/>
        <w:rPr>
          <w:bCs/>
          <w:lang w:val="lv-LV"/>
        </w:rPr>
      </w:pPr>
      <w:r w:rsidRPr="00096FC8">
        <w:rPr>
          <w:bCs/>
          <w:lang w:val="lv-LV"/>
        </w:rPr>
        <w:t xml:space="preserve">Veidojot IKT </w:t>
      </w:r>
      <w:r w:rsidR="00140953" w:rsidRPr="00096FC8">
        <w:rPr>
          <w:bCs/>
          <w:lang w:val="lv-LV"/>
        </w:rPr>
        <w:t>risinājumus</w:t>
      </w:r>
      <w:r w:rsidRPr="00096FC8">
        <w:rPr>
          <w:bCs/>
          <w:lang w:val="lv-LV"/>
        </w:rPr>
        <w:t xml:space="preserve">, kurai plānota publiskā </w:t>
      </w:r>
      <w:proofErr w:type="spellStart"/>
      <w:r w:rsidRPr="00096FC8">
        <w:rPr>
          <w:bCs/>
          <w:lang w:val="lv-LV"/>
        </w:rPr>
        <w:t>saskarne</w:t>
      </w:r>
      <w:proofErr w:type="spellEnd"/>
      <w:r w:rsidRPr="00096FC8">
        <w:rPr>
          <w:bCs/>
          <w:lang w:val="lv-LV"/>
        </w:rPr>
        <w:t xml:space="preserve">, nodrošiniet, ka to izstrādes process tiek veikts atbilstoši - LVS ISO 9241-210 “Cilvēka un sistēmas mijiedarbības ergonomika. 210. daļai: </w:t>
      </w:r>
      <w:proofErr w:type="spellStart"/>
      <w:r w:rsidRPr="00096FC8">
        <w:rPr>
          <w:bCs/>
          <w:lang w:val="lv-LV"/>
        </w:rPr>
        <w:t>Cilvēkorientēta</w:t>
      </w:r>
      <w:proofErr w:type="spellEnd"/>
      <w:r w:rsidRPr="00096FC8">
        <w:rPr>
          <w:bCs/>
          <w:lang w:val="lv-LV"/>
        </w:rPr>
        <w:t xml:space="preserve"> interaktīvo sistēmu projektēšana”, t.i.:</w:t>
      </w:r>
    </w:p>
    <w:p w14:paraId="0AE17F1E"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projektēšanas pamatā ir precīzi formulēta izpratne par lietotājiem, uzdevumiem un vidi;</w:t>
      </w:r>
    </w:p>
    <w:p w14:paraId="07D652D5"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lietotāji ir iesaistīti projektēšanas un izstrādes procesā;</w:t>
      </w:r>
    </w:p>
    <w:p w14:paraId="443459F2"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 xml:space="preserve">projektēšanu virza un uzlabo </w:t>
      </w:r>
      <w:proofErr w:type="spellStart"/>
      <w:r w:rsidRPr="00096FC8">
        <w:rPr>
          <w:rFonts w:cs="Arial"/>
          <w:lang w:val="lv-LV"/>
        </w:rPr>
        <w:t>lietotājorientēta</w:t>
      </w:r>
      <w:proofErr w:type="spellEnd"/>
      <w:r w:rsidRPr="00096FC8">
        <w:rPr>
          <w:rFonts w:cs="Arial"/>
          <w:lang w:val="lv-LV"/>
        </w:rPr>
        <w:t xml:space="preserve"> izvērtēšana;</w:t>
      </w:r>
    </w:p>
    <w:p w14:paraId="276B64F8"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process ir iteratīvs;</w:t>
      </w:r>
    </w:p>
    <w:p w14:paraId="5E0D3F94"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projektēšana attiecas uz visu lietotāja pieredzi;</w:t>
      </w:r>
    </w:p>
    <w:p w14:paraId="0EAE97B8" w14:textId="348900C8"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projektēšanas komandai piemīt daudznozaru prasmes un skatījums.</w:t>
      </w:r>
    </w:p>
    <w:p w14:paraId="4CFD1851" w14:textId="71437976" w:rsidR="00140953" w:rsidRPr="00096FC8" w:rsidRDefault="00140953" w:rsidP="00B531EA">
      <w:pPr>
        <w:pStyle w:val="ListParagraph"/>
        <w:numPr>
          <w:ilvl w:val="0"/>
          <w:numId w:val="8"/>
        </w:numPr>
        <w:jc w:val="both"/>
        <w:rPr>
          <w:bCs/>
          <w:lang w:val="lv-LV"/>
        </w:rPr>
      </w:pPr>
      <w:r w:rsidRPr="00096FC8">
        <w:rPr>
          <w:bCs/>
          <w:lang w:val="lv-LV"/>
        </w:rPr>
        <w:t>Veidojot IKT risinājumus,</w:t>
      </w:r>
      <w:r w:rsidR="007F7DB2" w:rsidRPr="00096FC8">
        <w:rPr>
          <w:bCs/>
          <w:lang w:val="lv-LV"/>
        </w:rPr>
        <w:t xml:space="preserve"> </w:t>
      </w:r>
      <w:r w:rsidRPr="00096FC8">
        <w:rPr>
          <w:bCs/>
          <w:lang w:val="lv-LV"/>
        </w:rPr>
        <w:t xml:space="preserve">kuriem plānota publiskā </w:t>
      </w:r>
      <w:proofErr w:type="spellStart"/>
      <w:r w:rsidRPr="00096FC8">
        <w:rPr>
          <w:bCs/>
          <w:lang w:val="lv-LV"/>
        </w:rPr>
        <w:t>saskarne</w:t>
      </w:r>
      <w:proofErr w:type="spellEnd"/>
      <w:r w:rsidRPr="00096FC8">
        <w:rPr>
          <w:bCs/>
          <w:lang w:val="lv-LV"/>
        </w:rPr>
        <w:t>, nodrošiniet, lai e-pakalpojumi būtu pieejami visiem iedzīvotājiem, tostarp cilvēkiem ar invaliditāti, veciem cilvēkiem un citām nelabvēlīgā situācijā esošu iedzīvotāju grupām saskaņā ar Eiropas un Latvijas normatīviem:</w:t>
      </w:r>
    </w:p>
    <w:p w14:paraId="249ACB5F" w14:textId="77777777" w:rsidR="00140953" w:rsidRPr="00096FC8" w:rsidRDefault="00140953" w:rsidP="00B531EA">
      <w:pPr>
        <w:pStyle w:val="ListParagraph"/>
        <w:numPr>
          <w:ilvl w:val="1"/>
          <w:numId w:val="8"/>
        </w:numPr>
        <w:jc w:val="both"/>
        <w:rPr>
          <w:bCs/>
          <w:lang w:val="lv-LV"/>
        </w:rPr>
      </w:pPr>
      <w:r w:rsidRPr="00096FC8">
        <w:rPr>
          <w:bCs/>
          <w:lang w:val="lv-LV"/>
        </w:rPr>
        <w:t xml:space="preserve">- Eiropas Parlamenta un Padomes 2016. gada 26. oktobra direktīva (ES) 2016/2102 par publiskā sektora struktūru tīmekļvietņu un mobilo lietotņu </w:t>
      </w:r>
      <w:proofErr w:type="spellStart"/>
      <w:r w:rsidRPr="00096FC8">
        <w:rPr>
          <w:bCs/>
          <w:lang w:val="lv-LV"/>
        </w:rPr>
        <w:t>piekļūstamību</w:t>
      </w:r>
      <w:proofErr w:type="spellEnd"/>
      <w:r w:rsidRPr="00096FC8">
        <w:rPr>
          <w:bCs/>
          <w:lang w:val="lv-LV"/>
        </w:rPr>
        <w:t xml:space="preserve"> (</w:t>
      </w:r>
      <w:hyperlink r:id="rId17" w:history="1">
        <w:r w:rsidRPr="00096FC8">
          <w:rPr>
            <w:rStyle w:val="Hyperlink"/>
            <w:bCs/>
            <w:lang w:val="lv-LV"/>
          </w:rPr>
          <w:t>http://eur-lex.europa.eu/legal-content/EN-LV/TXT/?uri=CELEX:32016L2102&amp;from=EN</w:t>
        </w:r>
      </w:hyperlink>
      <w:r w:rsidRPr="00096FC8">
        <w:rPr>
          <w:bCs/>
          <w:lang w:val="lv-LV"/>
        </w:rPr>
        <w:t xml:space="preserve">).  </w:t>
      </w:r>
    </w:p>
    <w:p w14:paraId="6178BD39" w14:textId="77777777" w:rsidR="00140953" w:rsidRPr="00096FC8" w:rsidRDefault="00140953" w:rsidP="00B531EA">
      <w:pPr>
        <w:pStyle w:val="ListParagraph"/>
        <w:numPr>
          <w:ilvl w:val="1"/>
          <w:numId w:val="8"/>
        </w:numPr>
        <w:jc w:val="both"/>
        <w:rPr>
          <w:bCs/>
          <w:lang w:val="lv-LV"/>
        </w:rPr>
      </w:pPr>
      <w:r w:rsidRPr="00096FC8">
        <w:rPr>
          <w:bCs/>
          <w:lang w:val="lv-LV"/>
        </w:rPr>
        <w:t xml:space="preserve">- LVS EN 301549:2017 ""IKT produktu un pakalpojumu </w:t>
      </w:r>
      <w:proofErr w:type="spellStart"/>
      <w:r w:rsidRPr="00096FC8">
        <w:rPr>
          <w:bCs/>
          <w:lang w:val="lv-LV"/>
        </w:rPr>
        <w:t>piekļūstamības</w:t>
      </w:r>
      <w:proofErr w:type="spellEnd"/>
      <w:r w:rsidRPr="00096FC8">
        <w:rPr>
          <w:bCs/>
          <w:lang w:val="lv-LV"/>
        </w:rPr>
        <w:t xml:space="preserve"> prasības Eiropas publiskajos iepirkumos"" (</w:t>
      </w:r>
      <w:hyperlink r:id="rId18" w:history="1">
        <w:r w:rsidRPr="00096FC8">
          <w:rPr>
            <w:rStyle w:val="Hyperlink"/>
            <w:bCs/>
            <w:lang w:val="lv-LV"/>
          </w:rPr>
          <w:t>https://www.lvs.lv/lv/products/133571</w:t>
        </w:r>
      </w:hyperlink>
      <w:r w:rsidRPr="00096FC8">
        <w:rPr>
          <w:bCs/>
          <w:lang w:val="lv-LV"/>
        </w:rPr>
        <w:t xml:space="preserve">),  </w:t>
      </w:r>
    </w:p>
    <w:p w14:paraId="70001902" w14:textId="77777777" w:rsidR="00140953" w:rsidRPr="00096FC8" w:rsidRDefault="00140953" w:rsidP="00B531EA">
      <w:pPr>
        <w:pStyle w:val="ListParagraph"/>
        <w:numPr>
          <w:ilvl w:val="1"/>
          <w:numId w:val="8"/>
        </w:numPr>
        <w:jc w:val="both"/>
        <w:rPr>
          <w:bCs/>
          <w:lang w:val="lv-LV"/>
        </w:rPr>
      </w:pPr>
      <w:r w:rsidRPr="00096FC8">
        <w:rPr>
          <w:bCs/>
          <w:lang w:val="lv-LV"/>
        </w:rPr>
        <w:t xml:space="preserve">Piezīme: standarts tiešā veidā izmanto </w:t>
      </w:r>
      <w:proofErr w:type="spellStart"/>
      <w:r w:rsidRPr="00096FC8">
        <w:rPr>
          <w:bCs/>
          <w:i/>
          <w:lang w:val="lv-LV"/>
        </w:rPr>
        <w:t>Web</w:t>
      </w:r>
      <w:proofErr w:type="spellEnd"/>
      <w:r w:rsidRPr="00096FC8">
        <w:rPr>
          <w:bCs/>
          <w:i/>
          <w:lang w:val="lv-LV"/>
        </w:rPr>
        <w:t xml:space="preserve"> </w:t>
      </w:r>
      <w:proofErr w:type="spellStart"/>
      <w:r w:rsidRPr="00096FC8">
        <w:rPr>
          <w:bCs/>
          <w:i/>
          <w:lang w:val="lv-LV"/>
        </w:rPr>
        <w:t>Content</w:t>
      </w:r>
      <w:proofErr w:type="spellEnd"/>
      <w:r w:rsidRPr="00096FC8">
        <w:rPr>
          <w:bCs/>
          <w:i/>
          <w:lang w:val="lv-LV"/>
        </w:rPr>
        <w:t xml:space="preserve"> </w:t>
      </w:r>
      <w:proofErr w:type="spellStart"/>
      <w:r w:rsidRPr="00096FC8">
        <w:rPr>
          <w:bCs/>
          <w:i/>
          <w:lang w:val="lv-LV"/>
        </w:rPr>
        <w:t>Accessibility</w:t>
      </w:r>
      <w:proofErr w:type="spellEnd"/>
      <w:r w:rsidRPr="00096FC8">
        <w:rPr>
          <w:bCs/>
          <w:i/>
          <w:lang w:val="lv-LV"/>
        </w:rPr>
        <w:t xml:space="preserve"> </w:t>
      </w:r>
      <w:proofErr w:type="spellStart"/>
      <w:r w:rsidRPr="00096FC8">
        <w:rPr>
          <w:bCs/>
          <w:i/>
          <w:lang w:val="lv-LV"/>
        </w:rPr>
        <w:t>Guidelines</w:t>
      </w:r>
      <w:proofErr w:type="spellEnd"/>
      <w:r w:rsidRPr="00096FC8">
        <w:rPr>
          <w:bCs/>
          <w:i/>
          <w:lang w:val="lv-LV"/>
        </w:rPr>
        <w:t xml:space="preserve"> 2.</w:t>
      </w:r>
      <w:r w:rsidRPr="00096FC8">
        <w:rPr>
          <w:bCs/>
          <w:lang w:val="lv-LV"/>
        </w:rPr>
        <w:t>0 vadlīnijas (</w:t>
      </w:r>
      <w:hyperlink r:id="rId19" w:history="1">
        <w:r w:rsidRPr="00096FC8">
          <w:rPr>
            <w:rStyle w:val="Hyperlink"/>
            <w:bCs/>
            <w:lang w:val="lv-LV"/>
          </w:rPr>
          <w:t>https://www.w3.org/TR/WCAG20/</w:t>
        </w:r>
      </w:hyperlink>
      <w:r w:rsidRPr="00096FC8">
        <w:rPr>
          <w:bCs/>
          <w:lang w:val="lv-LV"/>
        </w:rPr>
        <w:t xml:space="preserve">) </w:t>
      </w:r>
    </w:p>
    <w:p w14:paraId="145D36E1" w14:textId="65CD481A" w:rsidR="007F7DB2" w:rsidRPr="00096FC8" w:rsidRDefault="007F7DB2" w:rsidP="00B531EA">
      <w:pPr>
        <w:pStyle w:val="ListParagraph"/>
        <w:numPr>
          <w:ilvl w:val="0"/>
          <w:numId w:val="8"/>
        </w:numPr>
        <w:jc w:val="both"/>
        <w:rPr>
          <w:bCs/>
          <w:lang w:val="lv-LV"/>
        </w:rPr>
      </w:pPr>
      <w:r w:rsidRPr="00096FC8">
        <w:rPr>
          <w:bCs/>
          <w:lang w:val="lv-LV"/>
        </w:rPr>
        <w:lastRenderedPageBreak/>
        <w:t xml:space="preserve">Paredziet atgriezeniskās saites sniegšanas mehānismus. Sniedziet lietotājiem iespēju sniegt atsauksmes, ziņot par problēmām un ierosināt pakalpojumu un IKT risinājumu uzlabojumus. </w:t>
      </w:r>
    </w:p>
    <w:p w14:paraId="3945C57E" w14:textId="14378033" w:rsidR="00E203F8" w:rsidRPr="00096FC8" w:rsidRDefault="00345DA6" w:rsidP="00B531EA">
      <w:pPr>
        <w:pStyle w:val="ListParagraph"/>
        <w:numPr>
          <w:ilvl w:val="0"/>
          <w:numId w:val="8"/>
        </w:numPr>
        <w:jc w:val="both"/>
        <w:rPr>
          <w:lang w:val="lv-LV"/>
        </w:rPr>
      </w:pPr>
      <w:r w:rsidRPr="00096FC8">
        <w:rPr>
          <w:lang w:val="lv-LV"/>
        </w:rPr>
        <w:t>Nodrošiniet vienotu klienta atbalsta līmeni v</w:t>
      </w:r>
      <w:r w:rsidRPr="00096FC8">
        <w:rPr>
          <w:lang w:val="lv-LV"/>
        </w:rPr>
        <w:t xml:space="preserve">isiem pakalpojumiem pašapkalpošanās tīmekļvietnēs </w:t>
      </w:r>
    </w:p>
    <w:p w14:paraId="2071EF44" w14:textId="77777777" w:rsidR="00E924EA" w:rsidRPr="001D50E4" w:rsidRDefault="00E924EA" w:rsidP="00E924EA">
      <w:pPr>
        <w:rPr>
          <w:lang w:val="lv-LV"/>
        </w:rPr>
      </w:pPr>
      <w:r w:rsidRPr="001D50E4">
        <w:rPr>
          <w:lang w:val="lv-LV"/>
        </w:rPr>
        <w:t>Novērtējuma vadlīnijas:</w:t>
      </w:r>
    </w:p>
    <w:p w14:paraId="0D53B8FF" w14:textId="299A3925" w:rsidR="00140953" w:rsidRPr="003D1368" w:rsidRDefault="00870468" w:rsidP="00D5520A">
      <w:pPr>
        <w:pStyle w:val="ListParagraph"/>
        <w:numPr>
          <w:ilvl w:val="0"/>
          <w:numId w:val="8"/>
        </w:numPr>
        <w:rPr>
          <w:lang w:val="lv-LV"/>
        </w:rPr>
      </w:pPr>
      <w:r w:rsidRPr="003D1368">
        <w:rPr>
          <w:lang w:val="lv-LV"/>
        </w:rPr>
        <w:t xml:space="preserve">VPK6. </w:t>
      </w:r>
      <w:r w:rsidR="00003336" w:rsidRPr="003D1368">
        <w:rPr>
          <w:lang w:val="lv-LV"/>
        </w:rPr>
        <w:t xml:space="preserve">Vai </w:t>
      </w:r>
      <w:proofErr w:type="spellStart"/>
      <w:r w:rsidR="00003336" w:rsidRPr="003D1368">
        <w:rPr>
          <w:lang w:val="lv-LV"/>
        </w:rPr>
        <w:t>m</w:t>
      </w:r>
      <w:r w:rsidR="00140953" w:rsidRPr="003D1368">
        <w:rPr>
          <w:lang w:val="lv-LV"/>
        </w:rPr>
        <w:t>ērķarhitektūr</w:t>
      </w:r>
      <w:r w:rsidR="00AE73BB" w:rsidRPr="003D1368">
        <w:rPr>
          <w:lang w:val="lv-LV"/>
        </w:rPr>
        <w:t>ā</w:t>
      </w:r>
      <w:proofErr w:type="spellEnd"/>
      <w:r w:rsidR="00140953" w:rsidRPr="003D1368">
        <w:rPr>
          <w:lang w:val="lv-LV"/>
        </w:rPr>
        <w:t xml:space="preserve"> ir apzinātas galvenās pakalpojumu un IKT risinājumu lietotāju grupas un to vajadzības</w:t>
      </w:r>
      <w:r w:rsidR="004E5320" w:rsidRPr="003D1368">
        <w:rPr>
          <w:lang w:val="lv-LV"/>
        </w:rPr>
        <w:t xml:space="preserve"> (piemēram, SVID analīzes formā)</w:t>
      </w:r>
      <w:r w:rsidR="00003336" w:rsidRPr="003D1368">
        <w:rPr>
          <w:lang w:val="lv-LV"/>
        </w:rPr>
        <w:t>?</w:t>
      </w:r>
    </w:p>
    <w:p w14:paraId="5A74466F" w14:textId="2D528CFF" w:rsidR="00140953" w:rsidRPr="003D1368" w:rsidRDefault="00870468" w:rsidP="00D5520A">
      <w:pPr>
        <w:pStyle w:val="ListParagraph"/>
        <w:numPr>
          <w:ilvl w:val="0"/>
          <w:numId w:val="8"/>
        </w:numPr>
        <w:rPr>
          <w:lang w:val="lv-LV"/>
        </w:rPr>
      </w:pPr>
      <w:r w:rsidRPr="003D1368">
        <w:rPr>
          <w:lang w:val="lv-LV"/>
        </w:rPr>
        <w:t>VPK</w:t>
      </w:r>
      <w:r w:rsidRPr="003D1368">
        <w:rPr>
          <w:lang w:val="lv-LV"/>
        </w:rPr>
        <w:t xml:space="preserve">7. </w:t>
      </w:r>
      <w:r w:rsidR="00003336" w:rsidRPr="003D1368">
        <w:rPr>
          <w:lang w:val="lv-LV"/>
        </w:rPr>
        <w:t xml:space="preserve">Vai </w:t>
      </w:r>
      <w:proofErr w:type="spellStart"/>
      <w:r w:rsidR="00003336" w:rsidRPr="003D1368">
        <w:rPr>
          <w:lang w:val="lv-LV"/>
        </w:rPr>
        <w:t>m</w:t>
      </w:r>
      <w:r w:rsidR="00140953" w:rsidRPr="003D1368">
        <w:rPr>
          <w:lang w:val="lv-LV"/>
        </w:rPr>
        <w:t>ērķarhitektūras</w:t>
      </w:r>
      <w:proofErr w:type="spellEnd"/>
      <w:r w:rsidR="00140953" w:rsidRPr="003D1368">
        <w:rPr>
          <w:lang w:val="lv-LV"/>
        </w:rPr>
        <w:t xml:space="preserve"> izstrādē vai īstenošanā ir paredzēts iesaistīt pakalpojumu un IKT risinājumu faktiskos </w:t>
      </w:r>
      <w:r w:rsidR="00EB1536" w:rsidRPr="003D1368">
        <w:rPr>
          <w:lang w:val="lv-LV"/>
        </w:rPr>
        <w:t>lietotājus</w:t>
      </w:r>
      <w:r w:rsidR="00140953" w:rsidRPr="003D1368">
        <w:rPr>
          <w:lang w:val="lv-LV"/>
        </w:rPr>
        <w:t xml:space="preserve"> vai to pārstāvjus</w:t>
      </w:r>
      <w:r w:rsidR="00003336" w:rsidRPr="003D1368">
        <w:rPr>
          <w:lang w:val="lv-LV"/>
        </w:rPr>
        <w:t>?</w:t>
      </w:r>
    </w:p>
    <w:p w14:paraId="303EDE70" w14:textId="70D2900A" w:rsidR="00363A6C" w:rsidRPr="003D1368" w:rsidRDefault="00870468" w:rsidP="00D5520A">
      <w:pPr>
        <w:pStyle w:val="ListParagraph"/>
        <w:numPr>
          <w:ilvl w:val="0"/>
          <w:numId w:val="8"/>
        </w:numPr>
        <w:rPr>
          <w:lang w:val="lv-LV"/>
        </w:rPr>
      </w:pPr>
      <w:r w:rsidRPr="003D1368">
        <w:rPr>
          <w:lang w:val="lv-LV"/>
        </w:rPr>
        <w:t>VPK</w:t>
      </w:r>
      <w:r w:rsidRPr="003D1368">
        <w:rPr>
          <w:lang w:val="lv-LV"/>
        </w:rPr>
        <w:t xml:space="preserve">8. </w:t>
      </w:r>
      <w:r w:rsidR="00363A6C" w:rsidRPr="003D1368">
        <w:rPr>
          <w:lang w:val="lv-LV"/>
        </w:rPr>
        <w:t xml:space="preserve">Vai ir skaidri definēti lietotāju sagaidāmie ieguvumi no </w:t>
      </w:r>
      <w:proofErr w:type="spellStart"/>
      <w:r w:rsidR="00363A6C" w:rsidRPr="003D1368">
        <w:rPr>
          <w:lang w:val="lv-LV"/>
        </w:rPr>
        <w:t>mērķarhitektūras</w:t>
      </w:r>
      <w:proofErr w:type="spellEnd"/>
      <w:r w:rsidR="00363A6C" w:rsidRPr="003D1368">
        <w:rPr>
          <w:lang w:val="lv-LV"/>
        </w:rPr>
        <w:t xml:space="preserve"> īstenošanas</w:t>
      </w:r>
      <w:r w:rsidR="007E15D3" w:rsidRPr="003D1368">
        <w:rPr>
          <w:lang w:val="lv-LV"/>
        </w:rPr>
        <w:t>, piemēram, mērķu aprakstā?</w:t>
      </w:r>
    </w:p>
    <w:p w14:paraId="1989E71F" w14:textId="1F964123" w:rsidR="00140953" w:rsidRPr="003D1368" w:rsidRDefault="00870468" w:rsidP="00D5520A">
      <w:pPr>
        <w:pStyle w:val="ListParagraph"/>
        <w:numPr>
          <w:ilvl w:val="0"/>
          <w:numId w:val="8"/>
        </w:numPr>
        <w:rPr>
          <w:lang w:val="lv-LV"/>
        </w:rPr>
      </w:pPr>
      <w:r w:rsidRPr="003D1368">
        <w:rPr>
          <w:lang w:val="lv-LV"/>
        </w:rPr>
        <w:t>VPK</w:t>
      </w:r>
      <w:r w:rsidRPr="003D1368">
        <w:rPr>
          <w:lang w:val="lv-LV"/>
        </w:rPr>
        <w:t xml:space="preserve">9. </w:t>
      </w:r>
      <w:r w:rsidR="00003336" w:rsidRPr="003D1368">
        <w:rPr>
          <w:lang w:val="lv-LV"/>
        </w:rPr>
        <w:t xml:space="preserve">Vai </w:t>
      </w:r>
      <w:proofErr w:type="spellStart"/>
      <w:r w:rsidR="00003336" w:rsidRPr="003D1368">
        <w:rPr>
          <w:lang w:val="lv-LV"/>
        </w:rPr>
        <w:t>m</w:t>
      </w:r>
      <w:r w:rsidR="00140953" w:rsidRPr="003D1368">
        <w:rPr>
          <w:lang w:val="lv-LV"/>
        </w:rPr>
        <w:t>ērķarhitektūras</w:t>
      </w:r>
      <w:proofErr w:type="spellEnd"/>
      <w:r w:rsidR="00140953" w:rsidRPr="003D1368">
        <w:rPr>
          <w:lang w:val="lv-LV"/>
        </w:rPr>
        <w:t xml:space="preserve"> izstrādē ir apzināta un novērtēta lietojamības</w:t>
      </w:r>
      <w:r w:rsidR="004B6286" w:rsidRPr="003D1368">
        <w:rPr>
          <w:lang w:val="lv-LV"/>
        </w:rPr>
        <w:t>, iekļaušanas</w:t>
      </w:r>
      <w:r w:rsidR="00140953" w:rsidRPr="003D1368">
        <w:rPr>
          <w:lang w:val="lv-LV"/>
        </w:rPr>
        <w:t xml:space="preserve"> un </w:t>
      </w:r>
      <w:proofErr w:type="spellStart"/>
      <w:r w:rsidR="00140953" w:rsidRPr="003D1368">
        <w:rPr>
          <w:lang w:val="lv-LV"/>
        </w:rPr>
        <w:t>piekļūstamības</w:t>
      </w:r>
      <w:proofErr w:type="spellEnd"/>
      <w:r w:rsidR="00140953" w:rsidRPr="003D1368">
        <w:rPr>
          <w:lang w:val="lv-LV"/>
        </w:rPr>
        <w:t xml:space="preserve"> prasību ietekme uz arhitektūras komponentiem</w:t>
      </w:r>
      <w:r w:rsidR="00003336" w:rsidRPr="003D1368">
        <w:rPr>
          <w:lang w:val="lv-LV"/>
        </w:rPr>
        <w:t>?</w:t>
      </w:r>
    </w:p>
    <w:p w14:paraId="0542E1F9" w14:textId="5E9F7C0C" w:rsidR="00305259" w:rsidRPr="003D1368" w:rsidRDefault="00870468" w:rsidP="00D5520A">
      <w:pPr>
        <w:pStyle w:val="ListParagraph"/>
        <w:numPr>
          <w:ilvl w:val="0"/>
          <w:numId w:val="8"/>
        </w:numPr>
        <w:rPr>
          <w:lang w:val="lv-LV"/>
        </w:rPr>
      </w:pPr>
      <w:r w:rsidRPr="003D1368">
        <w:rPr>
          <w:lang w:val="lv-LV"/>
        </w:rPr>
        <w:t>VPK</w:t>
      </w:r>
      <w:r w:rsidRPr="003D1368">
        <w:rPr>
          <w:lang w:val="lv-LV"/>
        </w:rPr>
        <w:t xml:space="preserve">10. </w:t>
      </w:r>
      <w:r w:rsidR="00305259" w:rsidRPr="003D1368">
        <w:rPr>
          <w:lang w:val="lv-LV"/>
        </w:rPr>
        <w:t xml:space="preserve">Vai </w:t>
      </w:r>
      <w:proofErr w:type="spellStart"/>
      <w:r w:rsidR="00305259" w:rsidRPr="003D1368">
        <w:rPr>
          <w:lang w:val="lv-LV"/>
        </w:rPr>
        <w:t>mērķarhitektūrā</w:t>
      </w:r>
      <w:proofErr w:type="spellEnd"/>
      <w:r w:rsidR="00305259" w:rsidRPr="003D1368">
        <w:rPr>
          <w:lang w:val="lv-LV"/>
        </w:rPr>
        <w:t xml:space="preserve"> ir paredzēti mehānismi, kas ļauj lietotājiem sniegt atsauksmes, ziņot par problēmām un ierosināt uzlabojumus?</w:t>
      </w:r>
    </w:p>
    <w:p w14:paraId="0374EE23" w14:textId="28460DAB" w:rsidR="00A462C6" w:rsidRPr="003D1368" w:rsidRDefault="00A462C6" w:rsidP="00D5520A">
      <w:pPr>
        <w:pStyle w:val="ListParagraph"/>
        <w:numPr>
          <w:ilvl w:val="0"/>
          <w:numId w:val="8"/>
        </w:numPr>
        <w:rPr>
          <w:lang w:val="lv-LV"/>
        </w:rPr>
      </w:pPr>
      <w:r w:rsidRPr="003D1368">
        <w:rPr>
          <w:lang w:val="lv-LV"/>
        </w:rPr>
        <w:t xml:space="preserve">VPK11. Vai ir apzinātas nepieciešamās kompetences </w:t>
      </w:r>
      <w:proofErr w:type="spellStart"/>
      <w:r w:rsidR="009701C0" w:rsidRPr="003D1368">
        <w:rPr>
          <w:lang w:val="lv-LV"/>
        </w:rPr>
        <w:t>mērķarhitektūras</w:t>
      </w:r>
      <w:proofErr w:type="spellEnd"/>
      <w:r w:rsidR="009701C0" w:rsidRPr="003D1368">
        <w:rPr>
          <w:lang w:val="lv-LV"/>
        </w:rPr>
        <w:t xml:space="preserve"> ieviešanai un saistītie riski?</w:t>
      </w:r>
    </w:p>
    <w:p w14:paraId="12776CAC" w14:textId="77777777" w:rsidR="00E924EA" w:rsidRPr="00E924EA" w:rsidRDefault="00E924EA" w:rsidP="00E924EA">
      <w:pPr>
        <w:rPr>
          <w:lang w:val="lv-LV"/>
        </w:rPr>
      </w:pPr>
    </w:p>
    <w:p w14:paraId="5B45B826" w14:textId="09465B19" w:rsidR="00960BA3" w:rsidRPr="00E40818" w:rsidRDefault="00960BA3" w:rsidP="00E43D18">
      <w:pPr>
        <w:pStyle w:val="Heading2"/>
        <w:rPr>
          <w:rStyle w:val="Heading4Char"/>
          <w:i w:val="0"/>
          <w:iCs w:val="0"/>
          <w:lang w:val="lv-LV"/>
        </w:rPr>
      </w:pPr>
      <w:r>
        <w:rPr>
          <w:lang w:val="lv-LV"/>
        </w:rPr>
        <w:lastRenderedPageBreak/>
        <w:t>P</w:t>
      </w:r>
      <w:r w:rsidR="001B7BB2">
        <w:rPr>
          <w:lang w:val="lv-LV"/>
        </w:rPr>
        <w:t>3</w:t>
      </w:r>
      <w:r>
        <w:rPr>
          <w:lang w:val="lv-LV"/>
        </w:rPr>
        <w:t>. Neizgudrot divriteni no jauna</w:t>
      </w:r>
      <w:r w:rsidRPr="00E2406D">
        <w:rPr>
          <w:noProof/>
          <w:lang w:val="lv-LV"/>
        </w:rPr>
        <mc:AlternateContent>
          <mc:Choice Requires="wps">
            <w:drawing>
              <wp:anchor distT="0" distB="0" distL="114300" distR="114300" simplePos="0" relativeHeight="251658250" behindDoc="0" locked="0" layoutInCell="1" allowOverlap="1" wp14:anchorId="3CF743D0" wp14:editId="74F14B04">
                <wp:simplePos x="0" y="0"/>
                <wp:positionH relativeFrom="column">
                  <wp:posOffset>0</wp:posOffset>
                </wp:positionH>
                <wp:positionV relativeFrom="paragraph">
                  <wp:posOffset>316865</wp:posOffset>
                </wp:positionV>
                <wp:extent cx="1828800" cy="1828800"/>
                <wp:effectExtent l="0" t="0" r="8890" b="10795"/>
                <wp:wrapTopAndBottom/>
                <wp:docPr id="318722238"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4C4CBBB" w14:textId="19ABB98B" w:rsidR="00960BA3" w:rsidRPr="009B7016" w:rsidRDefault="00960BA3" w:rsidP="00960BA3">
                            <w:pPr>
                              <w:ind w:left="851"/>
                              <w:jc w:val="both"/>
                              <w:rPr>
                                <w:lang w:val="lv-LV"/>
                              </w:rPr>
                            </w:pPr>
                            <w:r w:rsidRPr="009B7016">
                              <w:rPr>
                                <w:lang w:val="lv-LV"/>
                              </w:rPr>
                              <w:t xml:space="preserve">Izmantojot citu institūciju pieredzi un ieviešot kopīgas platformas, modeļus un standartus, tiek veicināta efektivitāte, radīta vērtība un nodrošināta vienota </w:t>
                            </w:r>
                            <w:r w:rsidR="009B7016">
                              <w:rPr>
                                <w:lang w:val="lv-LV"/>
                              </w:rPr>
                              <w:t>l</w:t>
                            </w:r>
                            <w:r w:rsidRPr="009B7016">
                              <w:rPr>
                                <w:lang w:val="lv-LV"/>
                              </w:rPr>
                              <w:t xml:space="preserve">ietotāju pieredze. </w:t>
                            </w:r>
                          </w:p>
                          <w:p w14:paraId="1CC8B7F3" w14:textId="77777777" w:rsidR="00960BA3" w:rsidRPr="009B7016" w:rsidRDefault="00960BA3" w:rsidP="00960BA3">
                            <w:pPr>
                              <w:ind w:left="851"/>
                              <w:jc w:val="both"/>
                              <w:rPr>
                                <w:lang w:val="lv-LV" w:bidi="lv-LV"/>
                              </w:rPr>
                            </w:pPr>
                            <w:r w:rsidRPr="009B7016">
                              <w:rPr>
                                <w:lang w:val="lv-LV" w:bidi="lv-LV"/>
                              </w:rPr>
                              <w:t xml:space="preserve">Atkārtota </w:t>
                            </w:r>
                            <w:proofErr w:type="spellStart"/>
                            <w:r w:rsidRPr="009B7016">
                              <w:rPr>
                                <w:lang w:val="lv-LV" w:bidi="lv-LV"/>
                              </w:rPr>
                              <w:t>izmantojamība</w:t>
                            </w:r>
                            <w:proofErr w:type="spellEnd"/>
                            <w:r w:rsidRPr="009B7016">
                              <w:rPr>
                                <w:lang w:val="lv-LV" w:bidi="lv-LV"/>
                              </w:rPr>
                              <w:t xml:space="preserve"> nozīmē to, ka valsts pārvaldes iestādes savu IKT pakalpojumu attīstībā tiecas izmantot pieejamos risinājumus un pakalpojumus, izvērtējot lietderību un atbilstību konkrētajai vajadzībai un attiecīgā gadījumā pieņemot lēmumu izmantot tos. Tas nozīmē, ka publiskās pārvaldes iestādēm jābūt gatavām koplietot ar citiem savus risinājumus, koncepcijas, satvarus, specifikācijas, rīkus un komponentus.</w:t>
                            </w:r>
                          </w:p>
                          <w:p w14:paraId="3AA6D902" w14:textId="599D05FB" w:rsidR="006178DA" w:rsidRDefault="00080CC6" w:rsidP="00080CC6">
                            <w:pPr>
                              <w:ind w:left="851"/>
                              <w:jc w:val="both"/>
                              <w:rPr>
                                <w:lang w:val="lv-LV" w:bidi="lv-LV"/>
                              </w:rPr>
                            </w:pPr>
                            <w:r w:rsidRPr="009B7016">
                              <w:rPr>
                                <w:lang w:val="lv-LV" w:bidi="lv-LV"/>
                              </w:rPr>
                              <w:t xml:space="preserve">Atkārtota izmantošana attiecināma gan uz vienotiem datu apmaiņas kanāliem, gan IKT koplietošanas, gan IT infrastruktūras pakalpojumiem. </w:t>
                            </w:r>
                          </w:p>
                          <w:p w14:paraId="1B0F177A" w14:textId="77777777" w:rsidR="009B7016" w:rsidRPr="001B7BB2" w:rsidRDefault="009B7016" w:rsidP="009B7016">
                            <w:pPr>
                              <w:ind w:left="851"/>
                              <w:jc w:val="both"/>
                              <w:rPr>
                                <w:lang w:val="lv-LV" w:bidi="lv-LV"/>
                              </w:rPr>
                            </w:pPr>
                            <w:r w:rsidRPr="001B7BB2">
                              <w:rPr>
                                <w:lang w:val="lv-LV" w:bidi="lv-LV"/>
                              </w:rPr>
                              <w:t>Konsekventa tehnoloģiju un platformu izmantošana uzlabo savietojamību, samazina sarežģītību un atvieglo sistēmu uzturēšanu, kā arī paātrina piegādātāju integrāciju, samazinot laiku un izmaksas, kas saistītas ar tehnoloģiju izvērtēšanu. Vienotas tehnoloģijas ļauj efektīvi pārdalīt resursus starp projektiem, optimizējot piegādes un pielāgojoties mainīgajām prioritātēm, vienlaikus novēršot nekontrolētu tehnoloģiju pieaugumu un tehnisko parādu. Standartizācija arī nodrošina vienkāršākus procesus, vieglāku integrāciju un izmaksu ietaupījumus, izmantojot ekonomijas mērogu, tādējādi veicinot ilgtspējīgu un elastīgu arhitektūru.</w:t>
                            </w:r>
                          </w:p>
                          <w:p w14:paraId="676EA725" w14:textId="1BCD32E9" w:rsidR="009B7016" w:rsidRPr="009B7016" w:rsidRDefault="009B7016" w:rsidP="009B7016">
                            <w:pPr>
                              <w:ind w:left="851"/>
                              <w:jc w:val="both"/>
                              <w:rPr>
                                <w:lang w:val="lv-LV" w:bidi="lv-LV"/>
                              </w:rPr>
                            </w:pPr>
                            <w:r w:rsidRPr="001B7BB2">
                              <w:rPr>
                                <w:lang w:val="lv-LV" w:bidi="lv-LV"/>
                              </w:rPr>
                              <w:t>Rekomendēts izvēlēties un izmanto</w:t>
                            </w:r>
                            <w:r>
                              <w:rPr>
                                <w:lang w:val="lv-LV" w:bidi="lv-LV"/>
                              </w:rPr>
                              <w:t>t</w:t>
                            </w:r>
                            <w:r w:rsidRPr="001B7BB2">
                              <w:rPr>
                                <w:lang w:val="lv-LV" w:bidi="lv-LV"/>
                              </w:rPr>
                              <w:t xml:space="preserve"> gatavus risinājumus, izvairoties no to modificēšanas, lai nodrošinātu vieglu uzturēšanu, savietojamību un aizvietojamību.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F743D0" id="_x0000_s1028" type="#_x0000_t202" style="position:absolute;margin-left:0;margin-top:24.95pt;width:2in;height:2in;z-index:2516582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" fillcolor="white [3201]" strokecolor="#196b24 [3206]" strokeweight="1pt">
                <v:textbox style="mso-fit-shape-to-text:t">
                  <w:txbxContent>
                    <w:p w14:paraId="54C4CBBB" w14:textId="19ABB98B" w:rsidR="00960BA3" w:rsidRPr="009B7016" w:rsidRDefault="00960BA3" w:rsidP="00960BA3">
                      <w:pPr>
                        <w:ind w:left="851"/>
                        <w:jc w:val="both"/>
                        <w:rPr>
                          <w:lang w:val="lv-LV"/>
                        </w:rPr>
                      </w:pPr>
                      <w:r w:rsidRPr="009B7016">
                        <w:rPr>
                          <w:lang w:val="lv-LV"/>
                        </w:rPr>
                        <w:t xml:space="preserve">Izmantojot citu institūciju pieredzi un ieviešot kopīgas platformas, modeļus un standartus, tiek veicināta efektivitāte, radīta vērtība un nodrošināta vienota </w:t>
                      </w:r>
                      <w:r w:rsidR="009B7016">
                        <w:rPr>
                          <w:lang w:val="lv-LV"/>
                        </w:rPr>
                        <w:t>l</w:t>
                      </w:r>
                      <w:r w:rsidRPr="009B7016">
                        <w:rPr>
                          <w:lang w:val="lv-LV"/>
                        </w:rPr>
                        <w:t xml:space="preserve">ietotāju pieredze. </w:t>
                      </w:r>
                    </w:p>
                    <w:p w14:paraId="1CC8B7F3" w14:textId="77777777" w:rsidR="00960BA3" w:rsidRPr="009B7016" w:rsidRDefault="00960BA3" w:rsidP="00960BA3">
                      <w:pPr>
                        <w:ind w:left="851"/>
                        <w:jc w:val="both"/>
                        <w:rPr>
                          <w:lang w:val="lv-LV" w:bidi="lv-LV"/>
                        </w:rPr>
                      </w:pPr>
                      <w:r w:rsidRPr="009B7016">
                        <w:rPr>
                          <w:lang w:val="lv-LV" w:bidi="lv-LV"/>
                        </w:rPr>
                        <w:t xml:space="preserve">Atkārtota </w:t>
                      </w:r>
                      <w:proofErr w:type="spellStart"/>
                      <w:r w:rsidRPr="009B7016">
                        <w:rPr>
                          <w:lang w:val="lv-LV" w:bidi="lv-LV"/>
                        </w:rPr>
                        <w:t>izmantojamība</w:t>
                      </w:r>
                      <w:proofErr w:type="spellEnd"/>
                      <w:r w:rsidRPr="009B7016">
                        <w:rPr>
                          <w:lang w:val="lv-LV" w:bidi="lv-LV"/>
                        </w:rPr>
                        <w:t xml:space="preserve"> nozīmē to, ka valsts pārvaldes iestādes savu IKT pakalpojumu attīstībā tiecas izmantot pieejamos risinājumus un pakalpojumus, izvērtējot lietderību un atbilstību konkrētajai vajadzībai un attiecīgā gadījumā pieņemot lēmumu izmantot tos. Tas nozīmē, ka publiskās pārvaldes iestādēm jābūt gatavām koplietot ar citiem savus risinājumus, koncepcijas, satvarus, specifikācijas, rīkus un komponentus.</w:t>
                      </w:r>
                    </w:p>
                    <w:p w14:paraId="3AA6D902" w14:textId="599D05FB" w:rsidR="006178DA" w:rsidRDefault="00080CC6" w:rsidP="00080CC6">
                      <w:pPr>
                        <w:ind w:left="851"/>
                        <w:jc w:val="both"/>
                        <w:rPr>
                          <w:lang w:val="lv-LV" w:bidi="lv-LV"/>
                        </w:rPr>
                      </w:pPr>
                      <w:r w:rsidRPr="009B7016">
                        <w:rPr>
                          <w:lang w:val="lv-LV" w:bidi="lv-LV"/>
                        </w:rPr>
                        <w:t xml:space="preserve">Atkārtota izmantošana attiecināma gan uz vienotiem datu apmaiņas kanāliem, gan IKT koplietošanas, gan IT infrastruktūras pakalpojumiem. </w:t>
                      </w:r>
                    </w:p>
                    <w:p w14:paraId="1B0F177A" w14:textId="77777777" w:rsidR="009B7016" w:rsidRPr="001B7BB2" w:rsidRDefault="009B7016" w:rsidP="009B7016">
                      <w:pPr>
                        <w:ind w:left="851"/>
                        <w:jc w:val="both"/>
                        <w:rPr>
                          <w:lang w:val="lv-LV" w:bidi="lv-LV"/>
                        </w:rPr>
                      </w:pPr>
                      <w:r w:rsidRPr="001B7BB2">
                        <w:rPr>
                          <w:lang w:val="lv-LV" w:bidi="lv-LV"/>
                        </w:rPr>
                        <w:t>Konsekventa tehnoloģiju un platformu izmantošana uzlabo savietojamību, samazina sarežģītību un atvieglo sistēmu uzturēšanu, kā arī paātrina piegādātāju integrāciju, samazinot laiku un izmaksas, kas saistītas ar tehnoloģiju izvērtēšanu. Vienotas tehnoloģijas ļauj efektīvi pārdalīt resursus starp projektiem, optimizējot piegādes un pielāgojoties mainīgajām prioritātēm, vienlaikus novēršot nekontrolētu tehnoloģiju pieaugumu un tehnisko parādu. Standartizācija arī nodrošina vienkāršākus procesus, vieglāku integrāciju un izmaksu ietaupījumus, izmantojot ekonomijas mērogu, tādējādi veicinot ilgtspējīgu un elastīgu arhitektūru.</w:t>
                      </w:r>
                    </w:p>
                    <w:p w14:paraId="676EA725" w14:textId="1BCD32E9" w:rsidR="009B7016" w:rsidRPr="009B7016" w:rsidRDefault="009B7016" w:rsidP="009B7016">
                      <w:pPr>
                        <w:ind w:left="851"/>
                        <w:jc w:val="both"/>
                        <w:rPr>
                          <w:lang w:val="lv-LV" w:bidi="lv-LV"/>
                        </w:rPr>
                      </w:pPr>
                      <w:r w:rsidRPr="001B7BB2">
                        <w:rPr>
                          <w:lang w:val="lv-LV" w:bidi="lv-LV"/>
                        </w:rPr>
                        <w:t>Rekomendēts izvēlēties un izmanto</w:t>
                      </w:r>
                      <w:r>
                        <w:rPr>
                          <w:lang w:val="lv-LV" w:bidi="lv-LV"/>
                        </w:rPr>
                        <w:t>t</w:t>
                      </w:r>
                      <w:r w:rsidRPr="001B7BB2">
                        <w:rPr>
                          <w:lang w:val="lv-LV" w:bidi="lv-LV"/>
                        </w:rPr>
                        <w:t xml:space="preserve"> gatavus risinājumus, izvairoties no to modificēšanas, lai nodrošinātu vieglu uzturēšanu, savietojamību un aizvietojamību.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51" behindDoc="0" locked="0" layoutInCell="1" allowOverlap="1" wp14:anchorId="67D7CB17" wp14:editId="5C972E42">
            <wp:simplePos x="0" y="0"/>
            <wp:positionH relativeFrom="margin">
              <wp:posOffset>88900</wp:posOffset>
            </wp:positionH>
            <wp:positionV relativeFrom="paragraph">
              <wp:posOffset>450850</wp:posOffset>
            </wp:positionV>
            <wp:extent cx="427990" cy="427990"/>
            <wp:effectExtent l="0" t="0" r="0" b="0"/>
            <wp:wrapSquare wrapText="bothSides"/>
            <wp:docPr id="1630632986"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p>
    <w:p w14:paraId="72589B0F" w14:textId="77777777" w:rsidR="002830F8" w:rsidRDefault="002830F8" w:rsidP="002830F8">
      <w:pPr>
        <w:rPr>
          <w:lang w:val="lv-LV"/>
        </w:rPr>
      </w:pPr>
    </w:p>
    <w:p w14:paraId="0D24F18B" w14:textId="3F66E712" w:rsidR="00BD6B1F" w:rsidRDefault="00BD6B1F" w:rsidP="002830F8">
      <w:pPr>
        <w:rPr>
          <w:lang w:val="lv-LV"/>
        </w:rPr>
      </w:pPr>
      <w:r>
        <w:rPr>
          <w:lang w:val="lv-LV"/>
        </w:rPr>
        <w:t>Piemērošanas vadlīnijas:</w:t>
      </w:r>
    </w:p>
    <w:p w14:paraId="601385F2" w14:textId="2DF67BB3" w:rsidR="00BD6B1F" w:rsidRPr="004402D0" w:rsidRDefault="00BD6B1F" w:rsidP="00D5520A">
      <w:pPr>
        <w:pStyle w:val="ListParagraph"/>
        <w:numPr>
          <w:ilvl w:val="0"/>
          <w:numId w:val="8"/>
        </w:numPr>
        <w:rPr>
          <w:lang w:val="lv-LV"/>
        </w:rPr>
      </w:pPr>
      <w:r w:rsidRPr="004402D0">
        <w:rPr>
          <w:lang w:val="lv-LV"/>
        </w:rPr>
        <w:t xml:space="preserve">Veiciet starptautisko un Latvijas mēroga izveidoto koplietošanas risinājumu koplietošanu un atkārtotu izmantošanu, tādējādi veicinot </w:t>
      </w:r>
      <w:proofErr w:type="spellStart"/>
      <w:r w:rsidRPr="004402D0">
        <w:rPr>
          <w:lang w:val="lv-LV"/>
        </w:rPr>
        <w:t>sadarbspēju</w:t>
      </w:r>
      <w:proofErr w:type="spellEnd"/>
      <w:r w:rsidRPr="004402D0">
        <w:rPr>
          <w:lang w:val="lv-LV"/>
        </w:rPr>
        <w:t xml:space="preserve"> un efektīvu IKT investīciju plānošanu.</w:t>
      </w:r>
    </w:p>
    <w:p w14:paraId="59412600" w14:textId="2B715F66" w:rsidR="00BD6B1F" w:rsidRPr="004402D0" w:rsidRDefault="001019DB" w:rsidP="00D5520A">
      <w:pPr>
        <w:pStyle w:val="ListParagraph"/>
        <w:numPr>
          <w:ilvl w:val="0"/>
          <w:numId w:val="8"/>
        </w:numPr>
        <w:rPr>
          <w:lang w:val="lv-LV"/>
        </w:rPr>
      </w:pPr>
      <w:r w:rsidRPr="004402D0">
        <w:rPr>
          <w:lang w:val="lv-LV" w:bidi="lv-LV"/>
        </w:rPr>
        <w:t xml:space="preserve">Īstenojot un attīstot IKT risinājumus, ievērojiet Eiropas Savienības noteiktos  </w:t>
      </w:r>
      <w:proofErr w:type="spellStart"/>
      <w:r w:rsidRPr="004402D0">
        <w:rPr>
          <w:lang w:val="lv-LV" w:bidi="lv-LV"/>
        </w:rPr>
        <w:t>domēnspecifiskos</w:t>
      </w:r>
      <w:proofErr w:type="spellEnd"/>
      <w:r w:rsidRPr="004402D0">
        <w:rPr>
          <w:lang w:val="lv-LV" w:bidi="lv-LV"/>
        </w:rPr>
        <w:t xml:space="preserve"> standartus, apziniet un virziet IKT risinājumu attīstību  saskaņā ar </w:t>
      </w:r>
      <w:r w:rsidRPr="004402D0">
        <w:rPr>
          <w:lang w:val="lv-LV" w:bidi="lv-LV"/>
        </w:rPr>
        <w:lastRenderedPageBreak/>
        <w:t xml:space="preserve">Eiropas </w:t>
      </w:r>
      <w:proofErr w:type="spellStart"/>
      <w:r w:rsidRPr="004402D0">
        <w:rPr>
          <w:lang w:val="lv-LV" w:bidi="lv-LV"/>
        </w:rPr>
        <w:t>sadarbspējas</w:t>
      </w:r>
      <w:proofErr w:type="spellEnd"/>
      <w:r w:rsidRPr="004402D0">
        <w:rPr>
          <w:lang w:val="lv-LV" w:bidi="lv-LV"/>
        </w:rPr>
        <w:t xml:space="preserve"> pamatprincipiem un ieteikumiem, un aktīvi izmantojiet ES dalībvalstu un Latvijas vienotos sadarbības risinājumus</w:t>
      </w:r>
      <w:r w:rsidR="006B3B6E">
        <w:rPr>
          <w:lang w:val="lv-LV" w:bidi="lv-LV"/>
        </w:rPr>
        <w:t>.</w:t>
      </w:r>
    </w:p>
    <w:p w14:paraId="04B634BB" w14:textId="007E505C" w:rsidR="00BD6B1F" w:rsidRPr="004402D0" w:rsidRDefault="00BD6B1F" w:rsidP="00BD6B1F">
      <w:pPr>
        <w:rPr>
          <w:lang w:val="lv-LV"/>
        </w:rPr>
      </w:pPr>
      <w:r w:rsidRPr="004402D0">
        <w:rPr>
          <w:lang w:val="lv-LV"/>
        </w:rPr>
        <w:t>Novērtējuma vadlīnijas:</w:t>
      </w:r>
    </w:p>
    <w:p w14:paraId="38D769AF" w14:textId="55B11276" w:rsidR="00BD6B1F" w:rsidRPr="00CC47BE" w:rsidRDefault="00870468" w:rsidP="00D5520A">
      <w:pPr>
        <w:pStyle w:val="ListParagraph"/>
        <w:numPr>
          <w:ilvl w:val="0"/>
          <w:numId w:val="8"/>
        </w:numPr>
        <w:rPr>
          <w:lang w:val="lv-LV"/>
        </w:rPr>
      </w:pPr>
      <w:r>
        <w:rPr>
          <w:lang w:val="lv-LV"/>
        </w:rPr>
        <w:t>VPK</w:t>
      </w:r>
      <w:r>
        <w:rPr>
          <w:lang w:val="lv-LV"/>
        </w:rPr>
        <w:t>1</w:t>
      </w:r>
      <w:r w:rsidR="00A27D70">
        <w:rPr>
          <w:lang w:val="lv-LV"/>
        </w:rPr>
        <w:t>2</w:t>
      </w:r>
      <w:r>
        <w:rPr>
          <w:lang w:val="lv-LV"/>
        </w:rPr>
        <w:t xml:space="preserve">. </w:t>
      </w:r>
      <w:r w:rsidR="004402D0" w:rsidRPr="00CC47BE">
        <w:rPr>
          <w:lang w:val="lv-LV"/>
        </w:rPr>
        <w:t xml:space="preserve">Vai </w:t>
      </w:r>
      <w:proofErr w:type="spellStart"/>
      <w:r w:rsidR="004402D0" w:rsidRPr="00CC47BE">
        <w:rPr>
          <w:lang w:val="lv-LV"/>
        </w:rPr>
        <w:t>m</w:t>
      </w:r>
      <w:r w:rsidR="00E62454" w:rsidRPr="00CC47BE">
        <w:rPr>
          <w:lang w:val="lv-LV"/>
        </w:rPr>
        <w:t>ērķarhitektūrā</w:t>
      </w:r>
      <w:proofErr w:type="spellEnd"/>
      <w:r w:rsidR="00E62454" w:rsidRPr="00CC47BE">
        <w:rPr>
          <w:lang w:val="lv-LV"/>
        </w:rPr>
        <w:t xml:space="preserve"> ir paredzēta valsts koplietošanas risinājumu izmantošana, tostarp:</w:t>
      </w:r>
    </w:p>
    <w:p w14:paraId="5A953B76" w14:textId="7CBEA4C4" w:rsidR="00E62454" w:rsidRPr="00CC47BE" w:rsidRDefault="00CC47BE" w:rsidP="00D5520A">
      <w:pPr>
        <w:pStyle w:val="ListParagraph"/>
        <w:numPr>
          <w:ilvl w:val="1"/>
          <w:numId w:val="8"/>
        </w:numPr>
        <w:rPr>
          <w:lang w:val="lv-LV"/>
        </w:rPr>
      </w:pPr>
      <w:bookmarkStart w:id="3" w:name="_Hlk184376894"/>
      <w:proofErr w:type="spellStart"/>
      <w:r w:rsidRPr="00CC47BE">
        <w:rPr>
          <w:rFonts w:cstheme="majorBidi"/>
        </w:rPr>
        <w:t>Vienota</w:t>
      </w:r>
      <w:r w:rsidR="00864B02">
        <w:rPr>
          <w:rFonts w:cstheme="majorBidi"/>
        </w:rPr>
        <w:t>is</w:t>
      </w:r>
      <w:proofErr w:type="spellEnd"/>
      <w:r w:rsidRPr="00CC47BE">
        <w:rPr>
          <w:rFonts w:cstheme="majorBidi"/>
        </w:rPr>
        <w:t xml:space="preserve"> datu</w:t>
      </w:r>
      <w:r w:rsidR="00951BD6" w:rsidRPr="00CC47BE">
        <w:rPr>
          <w:rFonts w:cstheme="majorBidi"/>
        </w:rPr>
        <w:t xml:space="preserve"> </w:t>
      </w:r>
      <w:proofErr w:type="spellStart"/>
      <w:r w:rsidR="00951BD6" w:rsidRPr="00CC47BE">
        <w:rPr>
          <w:rFonts w:cstheme="majorBidi"/>
        </w:rPr>
        <w:t>kanāl</w:t>
      </w:r>
      <w:r w:rsidR="00864B02">
        <w:rPr>
          <w:rFonts w:cstheme="majorBidi"/>
        </w:rPr>
        <w:t>s</w:t>
      </w:r>
      <w:proofErr w:type="spellEnd"/>
      <w:r w:rsidR="00951BD6" w:rsidRPr="00CC47BE">
        <w:rPr>
          <w:rFonts w:cstheme="majorBidi"/>
        </w:rPr>
        <w:t xml:space="preserve"> DAGR</w:t>
      </w:r>
      <w:bookmarkEnd w:id="3"/>
      <w:r w:rsidRPr="00CC47BE">
        <w:rPr>
          <w:rFonts w:cstheme="majorBidi"/>
        </w:rPr>
        <w:t xml:space="preserve"> </w:t>
      </w:r>
    </w:p>
    <w:p w14:paraId="4BAC588D" w14:textId="01DE3003" w:rsidR="00CC47BE" w:rsidRDefault="00E43E9B" w:rsidP="00D5520A">
      <w:pPr>
        <w:pStyle w:val="ListParagraph"/>
        <w:numPr>
          <w:ilvl w:val="1"/>
          <w:numId w:val="8"/>
        </w:numPr>
        <w:rPr>
          <w:lang w:val="lv-LV"/>
        </w:rPr>
      </w:pPr>
      <w:r>
        <w:rPr>
          <w:lang w:val="lv-LV"/>
        </w:rPr>
        <w:t>Pakalpojumu informācijas portāl</w:t>
      </w:r>
      <w:r w:rsidR="00864B02">
        <w:rPr>
          <w:lang w:val="lv-LV"/>
        </w:rPr>
        <w:t>i</w:t>
      </w:r>
      <w:r>
        <w:rPr>
          <w:lang w:val="lv-LV"/>
        </w:rPr>
        <w:t xml:space="preserve"> </w:t>
      </w:r>
      <w:r w:rsidR="009568B7">
        <w:rPr>
          <w:lang w:val="lv-LV"/>
        </w:rPr>
        <w:t>(</w:t>
      </w:r>
      <w:r w:rsidR="009568B7">
        <w:rPr>
          <w:lang w:val="lv-LV"/>
        </w:rPr>
        <w:t>i</w:t>
      </w:r>
      <w:r w:rsidR="009568B7" w:rsidRPr="000D3EDC">
        <w:rPr>
          <w:lang w:val="lv-LV"/>
        </w:rPr>
        <w:t>edzīvotājiem – Latvija.gov.lv;</w:t>
      </w:r>
      <w:r w:rsidR="009568B7">
        <w:rPr>
          <w:lang w:val="lv-LV"/>
        </w:rPr>
        <w:t xml:space="preserve"> u</w:t>
      </w:r>
      <w:r w:rsidR="009568B7" w:rsidRPr="000D3EDC">
        <w:rPr>
          <w:lang w:val="lv-LV"/>
        </w:rPr>
        <w:t>zņēmējiem – business.gov.lv;</w:t>
      </w:r>
      <w:r w:rsidR="009568B7">
        <w:rPr>
          <w:lang w:val="lv-LV"/>
        </w:rPr>
        <w:t xml:space="preserve"> i</w:t>
      </w:r>
      <w:r w:rsidR="009568B7" w:rsidRPr="000D3EDC">
        <w:rPr>
          <w:lang w:val="lv-LV"/>
        </w:rPr>
        <w:t>estādēm - virsis.gov.lv</w:t>
      </w:r>
      <w:r w:rsidR="009568B7">
        <w:rPr>
          <w:lang w:val="lv-LV"/>
        </w:rPr>
        <w:t>)</w:t>
      </w:r>
    </w:p>
    <w:p w14:paraId="3C4B119C" w14:textId="7A626BE0" w:rsidR="00864B02" w:rsidRDefault="00864B02" w:rsidP="00D5520A">
      <w:pPr>
        <w:pStyle w:val="ListParagraph"/>
        <w:numPr>
          <w:ilvl w:val="1"/>
          <w:numId w:val="8"/>
        </w:numPr>
        <w:rPr>
          <w:lang w:val="lv-LV"/>
        </w:rPr>
      </w:pPr>
      <w:r>
        <w:rPr>
          <w:lang w:val="lv-LV"/>
        </w:rPr>
        <w:t>Oficiālā elektroniskā adrese</w:t>
      </w:r>
    </w:p>
    <w:p w14:paraId="6EB549D7" w14:textId="7CD0DFBE" w:rsidR="009568B7" w:rsidRDefault="000446D4" w:rsidP="00D5520A">
      <w:pPr>
        <w:pStyle w:val="ListParagraph"/>
        <w:numPr>
          <w:ilvl w:val="1"/>
          <w:numId w:val="8"/>
        </w:numPr>
        <w:rPr>
          <w:lang w:val="lv-LV"/>
        </w:rPr>
      </w:pPr>
      <w:r w:rsidRPr="00C27E83">
        <w:rPr>
          <w:lang w:val="lv-LV"/>
        </w:rPr>
        <w:t>V</w:t>
      </w:r>
      <w:r w:rsidR="00864B02">
        <w:rPr>
          <w:lang w:val="lv-LV"/>
        </w:rPr>
        <w:t>ienotās pieteikšanās</w:t>
      </w:r>
      <w:r w:rsidRPr="00C27E83">
        <w:rPr>
          <w:lang w:val="lv-LV"/>
        </w:rPr>
        <w:t xml:space="preserve"> moduli</w:t>
      </w:r>
      <w:r>
        <w:rPr>
          <w:lang w:val="lv-LV"/>
        </w:rPr>
        <w:t xml:space="preserve">s </w:t>
      </w:r>
    </w:p>
    <w:p w14:paraId="4270F754" w14:textId="77777777" w:rsidR="00864B02" w:rsidRDefault="000446D4" w:rsidP="00FC7834">
      <w:pPr>
        <w:pStyle w:val="ListParagraph"/>
        <w:numPr>
          <w:ilvl w:val="1"/>
          <w:numId w:val="8"/>
        </w:numPr>
        <w:rPr>
          <w:lang w:val="lv-LV"/>
        </w:rPr>
      </w:pPr>
      <w:r w:rsidRPr="00864B02">
        <w:rPr>
          <w:lang w:val="lv-LV"/>
        </w:rPr>
        <w:t>Elektroniskās identitātes un uzticamības pakalpojumi (</w:t>
      </w:r>
      <w:proofErr w:type="spellStart"/>
      <w:r w:rsidRPr="00864B02">
        <w:rPr>
          <w:lang w:val="lv-LV"/>
        </w:rPr>
        <w:t>eParaksts</w:t>
      </w:r>
      <w:proofErr w:type="spellEnd"/>
      <w:r w:rsidR="00611E14" w:rsidRPr="00864B02">
        <w:rPr>
          <w:lang w:val="lv-LV"/>
        </w:rPr>
        <w:t>)</w:t>
      </w:r>
    </w:p>
    <w:p w14:paraId="530605E7" w14:textId="02CD1781" w:rsidR="00611E14" w:rsidRDefault="00611E14" w:rsidP="00FC7834">
      <w:pPr>
        <w:pStyle w:val="ListParagraph"/>
        <w:numPr>
          <w:ilvl w:val="1"/>
          <w:numId w:val="8"/>
        </w:numPr>
        <w:rPr>
          <w:lang w:val="lv-LV"/>
        </w:rPr>
      </w:pPr>
      <w:r w:rsidRPr="00864B02">
        <w:rPr>
          <w:lang w:val="lv-LV"/>
        </w:rPr>
        <w:t>Vienotais maksājumu modulis</w:t>
      </w:r>
    </w:p>
    <w:p w14:paraId="7AEF294C" w14:textId="52EEE4E1" w:rsidR="00864B02" w:rsidRDefault="00864B02" w:rsidP="00FC7834">
      <w:pPr>
        <w:pStyle w:val="ListParagraph"/>
        <w:numPr>
          <w:ilvl w:val="1"/>
          <w:numId w:val="8"/>
        </w:numPr>
        <w:rPr>
          <w:lang w:val="lv-LV"/>
        </w:rPr>
      </w:pPr>
      <w:r>
        <w:rPr>
          <w:lang w:val="lv-LV"/>
        </w:rPr>
        <w:t xml:space="preserve">VISS </w:t>
      </w:r>
      <w:r w:rsidR="002C0691">
        <w:rPr>
          <w:lang w:val="lv-LV"/>
        </w:rPr>
        <w:t xml:space="preserve">koplietošanas </w:t>
      </w:r>
      <w:proofErr w:type="spellStart"/>
      <w:r w:rsidR="002C0691">
        <w:rPr>
          <w:lang w:val="lv-LV"/>
        </w:rPr>
        <w:t>pakalpes</w:t>
      </w:r>
      <w:proofErr w:type="spellEnd"/>
    </w:p>
    <w:p w14:paraId="7BC95853" w14:textId="55063283" w:rsidR="002C0691" w:rsidRDefault="000C15AA" w:rsidP="00FC7834">
      <w:pPr>
        <w:pStyle w:val="ListParagraph"/>
        <w:numPr>
          <w:ilvl w:val="1"/>
          <w:numId w:val="8"/>
        </w:numPr>
        <w:rPr>
          <w:lang w:val="lv-LV"/>
        </w:rPr>
      </w:pPr>
      <w:r>
        <w:rPr>
          <w:lang w:val="lv-LV"/>
        </w:rPr>
        <w:t xml:space="preserve">Valsts informācijas sistēmu, resursu un </w:t>
      </w:r>
      <w:proofErr w:type="spellStart"/>
      <w:r>
        <w:rPr>
          <w:lang w:val="lv-LV"/>
        </w:rPr>
        <w:t>sadarbspējas</w:t>
      </w:r>
      <w:proofErr w:type="spellEnd"/>
      <w:r>
        <w:rPr>
          <w:lang w:val="lv-LV"/>
        </w:rPr>
        <w:t xml:space="preserve"> reģistrs</w:t>
      </w:r>
    </w:p>
    <w:p w14:paraId="6EF85055" w14:textId="5F98DFE4" w:rsidR="000C15AA" w:rsidRDefault="000C15AA" w:rsidP="00FC7834">
      <w:pPr>
        <w:pStyle w:val="ListParagraph"/>
        <w:numPr>
          <w:ilvl w:val="1"/>
          <w:numId w:val="8"/>
        </w:numPr>
        <w:rPr>
          <w:lang w:val="lv-LV"/>
        </w:rPr>
      </w:pPr>
      <w:r>
        <w:rPr>
          <w:lang w:val="lv-LV"/>
        </w:rPr>
        <w:t>Latvijas atvērto datu portāls</w:t>
      </w:r>
    </w:p>
    <w:p w14:paraId="4787A2BA" w14:textId="74D29BAE" w:rsidR="000C15AA" w:rsidRDefault="009F69E3" w:rsidP="00FC7834">
      <w:pPr>
        <w:pStyle w:val="ListParagraph"/>
        <w:numPr>
          <w:ilvl w:val="1"/>
          <w:numId w:val="8"/>
        </w:numPr>
        <w:rPr>
          <w:lang w:val="lv-LV"/>
        </w:rPr>
      </w:pPr>
      <w:r>
        <w:rPr>
          <w:lang w:val="lv-LV"/>
        </w:rPr>
        <w:t xml:space="preserve">Ģeotelpisko datu </w:t>
      </w:r>
      <w:proofErr w:type="spellStart"/>
      <w:r>
        <w:rPr>
          <w:lang w:val="lv-LV"/>
        </w:rPr>
        <w:t>savietotājs</w:t>
      </w:r>
      <w:proofErr w:type="spellEnd"/>
    </w:p>
    <w:p w14:paraId="1824ADB7" w14:textId="26CB5604" w:rsidR="009F69E3" w:rsidRDefault="009F69E3" w:rsidP="008167FC">
      <w:pPr>
        <w:pStyle w:val="ListParagraph"/>
        <w:numPr>
          <w:ilvl w:val="1"/>
          <w:numId w:val="8"/>
        </w:numPr>
        <w:rPr>
          <w:lang w:val="lv-LV"/>
        </w:rPr>
      </w:pPr>
      <w:proofErr w:type="spellStart"/>
      <w:r>
        <w:rPr>
          <w:lang w:val="lv-LV"/>
        </w:rPr>
        <w:t>Ģeoportāls</w:t>
      </w:r>
      <w:proofErr w:type="spellEnd"/>
    </w:p>
    <w:p w14:paraId="0C252AFA" w14:textId="518BCB4B" w:rsidR="00EF0B1A" w:rsidRPr="008167FC" w:rsidRDefault="00EF0B1A" w:rsidP="008167FC">
      <w:pPr>
        <w:pStyle w:val="ListParagraph"/>
        <w:numPr>
          <w:ilvl w:val="1"/>
          <w:numId w:val="8"/>
        </w:numPr>
        <w:rPr>
          <w:lang w:val="lv-LV"/>
        </w:rPr>
      </w:pPr>
      <w:r>
        <w:rPr>
          <w:lang w:val="lv-LV"/>
        </w:rPr>
        <w:t>Citi (lūdzu norādīt)</w:t>
      </w:r>
    </w:p>
    <w:p w14:paraId="09A191C4" w14:textId="71DF6BF6" w:rsidR="005D153F" w:rsidRPr="004402D0" w:rsidRDefault="00870468" w:rsidP="00D5520A">
      <w:pPr>
        <w:pStyle w:val="ListParagraph"/>
        <w:numPr>
          <w:ilvl w:val="0"/>
          <w:numId w:val="8"/>
        </w:numPr>
        <w:rPr>
          <w:lang w:val="lv-LV"/>
        </w:rPr>
      </w:pPr>
      <w:r>
        <w:rPr>
          <w:lang w:val="lv-LV"/>
        </w:rPr>
        <w:t>VPK</w:t>
      </w:r>
      <w:r>
        <w:rPr>
          <w:lang w:val="lv-LV"/>
        </w:rPr>
        <w:t>1</w:t>
      </w:r>
      <w:r w:rsidR="00A27D70">
        <w:rPr>
          <w:lang w:val="lv-LV"/>
        </w:rPr>
        <w:t>3</w:t>
      </w:r>
      <w:r>
        <w:rPr>
          <w:lang w:val="lv-LV"/>
        </w:rPr>
        <w:t xml:space="preserve">. </w:t>
      </w:r>
      <w:r w:rsidR="004402D0" w:rsidRPr="004402D0">
        <w:rPr>
          <w:lang w:val="lv-LV"/>
        </w:rPr>
        <w:t xml:space="preserve">Vai </w:t>
      </w:r>
      <w:proofErr w:type="spellStart"/>
      <w:r w:rsidR="004402D0" w:rsidRPr="004402D0">
        <w:rPr>
          <w:lang w:val="lv-LV"/>
        </w:rPr>
        <w:t>m</w:t>
      </w:r>
      <w:r w:rsidR="005D153F" w:rsidRPr="004402D0">
        <w:rPr>
          <w:lang w:val="lv-LV"/>
        </w:rPr>
        <w:t>ērķarhitektūrā</w:t>
      </w:r>
      <w:proofErr w:type="spellEnd"/>
      <w:r w:rsidR="005D153F" w:rsidRPr="004402D0">
        <w:rPr>
          <w:lang w:val="lv-LV"/>
        </w:rPr>
        <w:t xml:space="preserve"> tiek paredzēts veidot koplietojamus un atkārtoti izmantojamus risinājumus</w:t>
      </w:r>
      <w:r w:rsidR="004402D0" w:rsidRPr="004402D0">
        <w:rPr>
          <w:lang w:val="lv-LV"/>
        </w:rPr>
        <w:t>?</w:t>
      </w:r>
    </w:p>
    <w:p w14:paraId="12A296C4" w14:textId="095842B2" w:rsidR="004402D0" w:rsidRPr="004402D0" w:rsidRDefault="00870468" w:rsidP="00D5520A">
      <w:pPr>
        <w:pStyle w:val="ListParagraph"/>
        <w:numPr>
          <w:ilvl w:val="0"/>
          <w:numId w:val="8"/>
        </w:numPr>
        <w:rPr>
          <w:lang w:val="lv-LV"/>
        </w:rPr>
      </w:pPr>
      <w:r>
        <w:rPr>
          <w:lang w:val="lv-LV"/>
        </w:rPr>
        <w:t>VPK</w:t>
      </w:r>
      <w:r>
        <w:rPr>
          <w:lang w:val="lv-LV"/>
        </w:rPr>
        <w:t>1</w:t>
      </w:r>
      <w:r w:rsidR="00A27D70">
        <w:rPr>
          <w:lang w:val="lv-LV"/>
        </w:rPr>
        <w:t>4</w:t>
      </w:r>
      <w:r>
        <w:rPr>
          <w:lang w:val="lv-LV"/>
        </w:rPr>
        <w:t xml:space="preserve">. </w:t>
      </w:r>
      <w:r w:rsidR="004402D0" w:rsidRPr="004402D0">
        <w:rPr>
          <w:lang w:val="lv-LV"/>
        </w:rPr>
        <w:t xml:space="preserve">Vai IKT risinājumu izstrāde un attīstība atbilst Eiropas Savienības noteiktajiem </w:t>
      </w:r>
      <w:proofErr w:type="spellStart"/>
      <w:r w:rsidR="004402D0" w:rsidRPr="004402D0">
        <w:rPr>
          <w:lang w:val="lv-LV"/>
        </w:rPr>
        <w:t>domēnspecifiskajiem</w:t>
      </w:r>
      <w:proofErr w:type="spellEnd"/>
      <w:r w:rsidR="004402D0" w:rsidRPr="004402D0">
        <w:rPr>
          <w:lang w:val="lv-LV"/>
        </w:rPr>
        <w:t xml:space="preserve"> standartiem</w:t>
      </w:r>
      <w:r w:rsidR="00F60AE4">
        <w:rPr>
          <w:lang w:val="lv-LV"/>
        </w:rPr>
        <w:t xml:space="preserve"> (piemēram, veselības nozares datu standarti)?</w:t>
      </w:r>
    </w:p>
    <w:p w14:paraId="0708C066" w14:textId="7F7CBC3B" w:rsidR="002E0A24" w:rsidRPr="00E40818" w:rsidRDefault="002E0A24" w:rsidP="00E43D18">
      <w:pPr>
        <w:pStyle w:val="Heading2"/>
        <w:rPr>
          <w:rStyle w:val="Heading4Char"/>
          <w:i w:val="0"/>
          <w:iCs w:val="0"/>
          <w:lang w:val="lv-LV"/>
        </w:rPr>
      </w:pPr>
      <w:r>
        <w:rPr>
          <w:lang w:val="lv-LV"/>
        </w:rPr>
        <w:lastRenderedPageBreak/>
        <w:t>P</w:t>
      </w:r>
      <w:r w:rsidR="001B7BB2">
        <w:rPr>
          <w:lang w:val="lv-LV"/>
        </w:rPr>
        <w:t>4</w:t>
      </w:r>
      <w:r>
        <w:rPr>
          <w:lang w:val="lv-LV"/>
        </w:rPr>
        <w:t xml:space="preserve">. </w:t>
      </w:r>
      <w:r w:rsidRPr="00E2406D">
        <w:rPr>
          <w:noProof/>
          <w:lang w:val="lv-LV"/>
        </w:rPr>
        <mc:AlternateContent>
          <mc:Choice Requires="wps">
            <w:drawing>
              <wp:anchor distT="0" distB="0" distL="114300" distR="114300" simplePos="0" relativeHeight="251658244" behindDoc="0" locked="0" layoutInCell="1" allowOverlap="1" wp14:anchorId="5ED0775D" wp14:editId="7E80248A">
                <wp:simplePos x="0" y="0"/>
                <wp:positionH relativeFrom="column">
                  <wp:posOffset>0</wp:posOffset>
                </wp:positionH>
                <wp:positionV relativeFrom="paragraph">
                  <wp:posOffset>316865</wp:posOffset>
                </wp:positionV>
                <wp:extent cx="1828800" cy="1828800"/>
                <wp:effectExtent l="0" t="0" r="8890" b="10795"/>
                <wp:wrapTopAndBottom/>
                <wp:docPr id="15037942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2DF9ADE" w14:textId="15BADDBC" w:rsidR="00FB2E2D" w:rsidRDefault="00FB2E2D" w:rsidP="000E63DC">
                            <w:pPr>
                              <w:ind w:left="851"/>
                              <w:jc w:val="both"/>
                              <w:rPr>
                                <w:lang w:val="lv-LV"/>
                              </w:rPr>
                            </w:pPr>
                            <w:r w:rsidRPr="00FB2E2D">
                              <w:rPr>
                                <w:lang w:val="lv-LV"/>
                              </w:rPr>
                              <w:t xml:space="preserve">Valsts pārvaldei jābūt caurskatāmai, pārredzamai un atklātai, veicinot datu, specifikāciju un programmatūras pieejamību brīvai piekļuvei un atkārtotai izmantošanai. </w:t>
                            </w:r>
                          </w:p>
                          <w:p w14:paraId="2E77A101" w14:textId="77777777" w:rsidR="000E63DC" w:rsidRPr="000E63DC" w:rsidRDefault="000E63DC" w:rsidP="000E63DC">
                            <w:pPr>
                              <w:ind w:left="851"/>
                              <w:jc w:val="both"/>
                              <w:rPr>
                                <w:lang w:val="lv-LV" w:bidi="lv-LV"/>
                              </w:rPr>
                            </w:pPr>
                            <w:proofErr w:type="spellStart"/>
                            <w:r w:rsidRPr="000E63DC">
                              <w:rPr>
                                <w:lang w:val="lv-LV" w:bidi="lv-LV"/>
                              </w:rPr>
                              <w:t>Sadarbspējīgu</w:t>
                            </w:r>
                            <w:proofErr w:type="spellEnd"/>
                            <w:r w:rsidRPr="000E63DC">
                              <w:rPr>
                                <w:lang w:val="lv-LV" w:bidi="lv-LV"/>
                              </w:rPr>
                              <w:t xml:space="preserve"> publisko pakalpojumu kontekstā jēdziens </w:t>
                            </w:r>
                            <w:r w:rsidRPr="000E63DC">
                              <w:rPr>
                                <w:b/>
                                <w:lang w:val="lv-LV" w:bidi="lv-LV"/>
                              </w:rPr>
                              <w:t>atklātība</w:t>
                            </w:r>
                            <w:r w:rsidRPr="000E63DC">
                              <w:rPr>
                                <w:lang w:val="lv-LV" w:bidi="lv-LV"/>
                              </w:rPr>
                              <w:t xml:space="preserve"> attiecas uz datiem, specifikācijām un programmatūru.</w:t>
                            </w:r>
                          </w:p>
                          <w:p w14:paraId="743CEBBC" w14:textId="05EA67B7" w:rsidR="000E63DC" w:rsidRDefault="000E63DC" w:rsidP="000E63DC">
                            <w:pPr>
                              <w:ind w:left="851"/>
                              <w:jc w:val="both"/>
                              <w:rPr>
                                <w:lang w:val="lv-LV" w:bidi="lv-LV"/>
                              </w:rPr>
                            </w:pPr>
                            <w:r w:rsidRPr="000E63DC">
                              <w:rPr>
                                <w:lang w:val="lv-LV" w:bidi="lv-LV"/>
                              </w:rPr>
                              <w:t xml:space="preserve">Jēdziens “atklāti valsts pārvaldes dati” (turpmāk — </w:t>
                            </w:r>
                            <w:r w:rsidRPr="000E63DC">
                              <w:rPr>
                                <w:b/>
                                <w:lang w:val="lv-LV" w:bidi="lv-LV"/>
                              </w:rPr>
                              <w:t>“atklāti dati”</w:t>
                            </w:r>
                            <w:r w:rsidRPr="000E63DC">
                              <w:rPr>
                                <w:lang w:val="lv-LV" w:bidi="lv-LV"/>
                              </w:rPr>
                              <w:t xml:space="preserve">) nosaka publisko datu brīvi pieejamiem piekļuvei un izmantošanai, ja vien netiek piemēroti ierobežojumi, piemēram, aizsargājot personas datus, konfidencialitāti vai intelektuālā īpašuma tiesības. </w:t>
                            </w:r>
                          </w:p>
                          <w:p w14:paraId="0E9011DB" w14:textId="229F2334" w:rsidR="00B439C5" w:rsidRPr="00FB2E2D" w:rsidRDefault="00B439C5" w:rsidP="00B439C5">
                            <w:pPr>
                              <w:ind w:left="851"/>
                              <w:jc w:val="both"/>
                              <w:rPr>
                                <w:lang w:val="lv-LV" w:bidi="lv-LV"/>
                              </w:rPr>
                            </w:pPr>
                            <w:r w:rsidRPr="00B439C5">
                              <w:rPr>
                                <w:b/>
                                <w:lang w:val="lv-LV" w:bidi="lv-LV"/>
                              </w:rPr>
                              <w:t>Atklātā pirmkoda programmatūras tehnoloģiju un produktu</w:t>
                            </w:r>
                            <w:r w:rsidRPr="00B439C5">
                              <w:rPr>
                                <w:lang w:val="lv-LV" w:bidi="lv-LV"/>
                              </w:rPr>
                              <w:t xml:space="preserve"> izmantošana var palīdzēt samazināt izstrādes izmaksas, izvairīties no dalības ierobežošanas un ātri pielāgoties īpašām darbības vajadzībām. </w:t>
                            </w:r>
                          </w:p>
                          <w:p w14:paraId="518F8620" w14:textId="45AF5869" w:rsidR="002E0A24" w:rsidRDefault="00FB2E2D" w:rsidP="002E0A24">
                            <w:pPr>
                              <w:ind w:left="851"/>
                              <w:jc w:val="both"/>
                              <w:rPr>
                                <w:lang w:val="lv-LV"/>
                              </w:rPr>
                            </w:pPr>
                            <w:r w:rsidRPr="00FB2E2D">
                              <w:rPr>
                                <w:lang w:val="lv-LV"/>
                              </w:rPr>
                              <w:t>Atklātība nodrošina iedzīvotājiem un uzņēmumiem iespēju iesaistīties valsts pakalpojumu attīstībā, uzlabojot pakalpojumu kvalitāti un veicinot uzticēšanos pārvaldes lēmumu pieņemšanas procesiem.</w:t>
                            </w:r>
                          </w:p>
                          <w:p w14:paraId="5C7A4CE5" w14:textId="47960F34" w:rsidR="00CC37CD" w:rsidRPr="0022004A" w:rsidRDefault="00CC37CD" w:rsidP="002E0A24">
                            <w:pPr>
                              <w:ind w:left="851"/>
                              <w:jc w:val="both"/>
                              <w:rPr>
                                <w:lang w:val="lv-LV"/>
                              </w:rPr>
                            </w:pPr>
                            <w:proofErr w:type="spellStart"/>
                            <w:r w:rsidRPr="0022004A">
                              <w:rPr>
                                <w:b/>
                                <w:bCs/>
                                <w:lang w:val="lv-LV"/>
                              </w:rPr>
                              <w:t>Pārredzamība</w:t>
                            </w:r>
                            <w:proofErr w:type="spellEnd"/>
                            <w:r w:rsidRPr="0022004A">
                              <w:rPr>
                                <w:lang w:val="lv-LV"/>
                              </w:rPr>
                              <w:t xml:space="preserve"> arhitektūras principu un nacionālā </w:t>
                            </w:r>
                            <w:proofErr w:type="spellStart"/>
                            <w:r w:rsidRPr="0022004A">
                              <w:rPr>
                                <w:lang w:val="lv-LV"/>
                              </w:rPr>
                              <w:t>sadarbspējas</w:t>
                            </w:r>
                            <w:proofErr w:type="spellEnd"/>
                            <w:r w:rsidRPr="0022004A">
                              <w:rPr>
                                <w:lang w:val="lv-LV"/>
                              </w:rPr>
                              <w:t xml:space="preserve"> satvara kontekstā nozīmē spēju ielūkoties valsts pārvaldes iestāžu darbības vidē, lai citām iestādēm, iedzīvotājiem un uzņēmumiem būtu iespēja izprast administratīvos noteikumus, procesus, datus, pakalpojumus un lēmumu pieņemšanas procesus. Tā ietver arī pieejamu </w:t>
                            </w:r>
                            <w:proofErr w:type="spellStart"/>
                            <w:r w:rsidRPr="0022004A">
                              <w:rPr>
                                <w:lang w:val="lv-LV"/>
                              </w:rPr>
                              <w:t>saskarņu</w:t>
                            </w:r>
                            <w:proofErr w:type="spellEnd"/>
                            <w:r w:rsidRPr="0022004A">
                              <w:rPr>
                                <w:lang w:val="lv-LV"/>
                              </w:rPr>
                              <w:t xml:space="preserve"> nodrošināšanu publiskās pārvaldes iestāžu iekšējām informācijas sistēmām, kuras nereti ir neviendabīgas un nesavienojamas. </w:t>
                            </w:r>
                            <w:proofErr w:type="spellStart"/>
                            <w:r w:rsidRPr="0022004A">
                              <w:rPr>
                                <w:lang w:val="lv-LV"/>
                              </w:rPr>
                              <w:t>Sadarbspēja</w:t>
                            </w:r>
                            <w:proofErr w:type="spellEnd"/>
                            <w:r w:rsidRPr="0022004A">
                              <w:rPr>
                                <w:lang w:val="lv-LV"/>
                              </w:rPr>
                              <w:t xml:space="preserve">, kas ir būtiska šajā procesā, ļauj integrēt šīs sistēmas un to datus lielākās sistēmās, atvieglojot atkārtotu izmantošanu. Vienlaikus </w:t>
                            </w:r>
                            <w:proofErr w:type="spellStart"/>
                            <w:r w:rsidRPr="0022004A">
                              <w:rPr>
                                <w:lang w:val="lv-LV"/>
                              </w:rPr>
                              <w:t>pārredzamība</w:t>
                            </w:r>
                            <w:proofErr w:type="spellEnd"/>
                            <w:r w:rsidRPr="0022004A">
                              <w:rPr>
                                <w:lang w:val="lv-LV"/>
                              </w:rPr>
                              <w:t xml:space="preserve"> ietver personas datu aizsardzības nodrošināšanu, ievērojot piemērojamo tiesisko regulējumu.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D0775D" id="_x0000_s1029" type="#_x0000_t202" style="position:absolute;margin-left:0;margin-top:24.95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" fillcolor="white [3201]" strokecolor="#196b24 [3206]" strokeweight="1pt">
                <v:textbox style="mso-fit-shape-to-text:t">
                  <w:txbxContent>
                    <w:p w14:paraId="72DF9ADE" w14:textId="15BADDBC" w:rsidR="00FB2E2D" w:rsidRDefault="00FB2E2D" w:rsidP="000E63DC">
                      <w:pPr>
                        <w:ind w:left="851"/>
                        <w:jc w:val="both"/>
                        <w:rPr>
                          <w:lang w:val="lv-LV"/>
                        </w:rPr>
                      </w:pPr>
                      <w:r w:rsidRPr="00FB2E2D">
                        <w:rPr>
                          <w:lang w:val="lv-LV"/>
                        </w:rPr>
                        <w:t xml:space="preserve">Valsts pārvaldei jābūt caurskatāmai, pārredzamai un atklātai, veicinot datu, specifikāciju un programmatūras pieejamību brīvai piekļuvei un atkārtotai izmantošanai. </w:t>
                      </w:r>
                    </w:p>
                    <w:p w14:paraId="2E77A101" w14:textId="77777777" w:rsidR="000E63DC" w:rsidRPr="000E63DC" w:rsidRDefault="000E63DC" w:rsidP="000E63DC">
                      <w:pPr>
                        <w:ind w:left="851"/>
                        <w:jc w:val="both"/>
                        <w:rPr>
                          <w:lang w:val="lv-LV" w:bidi="lv-LV"/>
                        </w:rPr>
                      </w:pPr>
                      <w:proofErr w:type="spellStart"/>
                      <w:r w:rsidRPr="000E63DC">
                        <w:rPr>
                          <w:lang w:val="lv-LV" w:bidi="lv-LV"/>
                        </w:rPr>
                        <w:t>Sadarbspējīgu</w:t>
                      </w:r>
                      <w:proofErr w:type="spellEnd"/>
                      <w:r w:rsidRPr="000E63DC">
                        <w:rPr>
                          <w:lang w:val="lv-LV" w:bidi="lv-LV"/>
                        </w:rPr>
                        <w:t xml:space="preserve"> publisko pakalpojumu kontekstā jēdziens </w:t>
                      </w:r>
                      <w:r w:rsidRPr="000E63DC">
                        <w:rPr>
                          <w:b/>
                          <w:lang w:val="lv-LV" w:bidi="lv-LV"/>
                        </w:rPr>
                        <w:t>atklātība</w:t>
                      </w:r>
                      <w:r w:rsidRPr="000E63DC">
                        <w:rPr>
                          <w:lang w:val="lv-LV" w:bidi="lv-LV"/>
                        </w:rPr>
                        <w:t xml:space="preserve"> attiecas uz datiem, specifikācijām un programmatūru.</w:t>
                      </w:r>
                    </w:p>
                    <w:p w14:paraId="743CEBBC" w14:textId="05EA67B7" w:rsidR="000E63DC" w:rsidRDefault="000E63DC" w:rsidP="000E63DC">
                      <w:pPr>
                        <w:ind w:left="851"/>
                        <w:jc w:val="both"/>
                        <w:rPr>
                          <w:lang w:val="lv-LV" w:bidi="lv-LV"/>
                        </w:rPr>
                      </w:pPr>
                      <w:r w:rsidRPr="000E63DC">
                        <w:rPr>
                          <w:lang w:val="lv-LV" w:bidi="lv-LV"/>
                        </w:rPr>
                        <w:t xml:space="preserve">Jēdziens “atklāti valsts pārvaldes dati” (turpmāk — </w:t>
                      </w:r>
                      <w:r w:rsidRPr="000E63DC">
                        <w:rPr>
                          <w:b/>
                          <w:lang w:val="lv-LV" w:bidi="lv-LV"/>
                        </w:rPr>
                        <w:t>“atklāti dati”</w:t>
                      </w:r>
                      <w:r w:rsidRPr="000E63DC">
                        <w:rPr>
                          <w:lang w:val="lv-LV" w:bidi="lv-LV"/>
                        </w:rPr>
                        <w:t xml:space="preserve">) nosaka publisko datu brīvi pieejamiem piekļuvei un izmantošanai, ja vien netiek piemēroti ierobežojumi, piemēram, aizsargājot personas datus, konfidencialitāti vai intelektuālā īpašuma tiesības. </w:t>
                      </w:r>
                    </w:p>
                    <w:p w14:paraId="0E9011DB" w14:textId="229F2334" w:rsidR="00B439C5" w:rsidRPr="00FB2E2D" w:rsidRDefault="00B439C5" w:rsidP="00B439C5">
                      <w:pPr>
                        <w:ind w:left="851"/>
                        <w:jc w:val="both"/>
                        <w:rPr>
                          <w:lang w:val="lv-LV" w:bidi="lv-LV"/>
                        </w:rPr>
                      </w:pPr>
                      <w:r w:rsidRPr="00B439C5">
                        <w:rPr>
                          <w:b/>
                          <w:lang w:val="lv-LV" w:bidi="lv-LV"/>
                        </w:rPr>
                        <w:t>Atklātā pirmkoda programmatūras tehnoloģiju un produktu</w:t>
                      </w:r>
                      <w:r w:rsidRPr="00B439C5">
                        <w:rPr>
                          <w:lang w:val="lv-LV" w:bidi="lv-LV"/>
                        </w:rPr>
                        <w:t xml:space="preserve"> izmantošana var palīdzēt samazināt izstrādes izmaksas, izvairīties no dalības ierobežošanas un ātri pielāgoties īpašām darbības vajadzībām. </w:t>
                      </w:r>
                    </w:p>
                    <w:p w14:paraId="518F8620" w14:textId="45AF5869" w:rsidR="002E0A24" w:rsidRDefault="00FB2E2D" w:rsidP="002E0A24">
                      <w:pPr>
                        <w:ind w:left="851"/>
                        <w:jc w:val="both"/>
                        <w:rPr>
                          <w:lang w:val="lv-LV"/>
                        </w:rPr>
                      </w:pPr>
                      <w:r w:rsidRPr="00FB2E2D">
                        <w:rPr>
                          <w:lang w:val="lv-LV"/>
                        </w:rPr>
                        <w:t>Atklātība nodrošina iedzīvotājiem un uzņēmumiem iespēju iesaistīties valsts pakalpojumu attīstībā, uzlabojot pakalpojumu kvalitāti un veicinot uzticēšanos pārvaldes lēmumu pieņemšanas procesiem.</w:t>
                      </w:r>
                    </w:p>
                    <w:p w14:paraId="5C7A4CE5" w14:textId="47960F34" w:rsidR="00CC37CD" w:rsidRPr="0022004A" w:rsidRDefault="00CC37CD" w:rsidP="002E0A24">
                      <w:pPr>
                        <w:ind w:left="851"/>
                        <w:jc w:val="both"/>
                        <w:rPr>
                          <w:lang w:val="lv-LV"/>
                        </w:rPr>
                      </w:pPr>
                      <w:proofErr w:type="spellStart"/>
                      <w:r w:rsidRPr="0022004A">
                        <w:rPr>
                          <w:b/>
                          <w:bCs/>
                          <w:lang w:val="lv-LV"/>
                        </w:rPr>
                        <w:t>Pārredzamība</w:t>
                      </w:r>
                      <w:proofErr w:type="spellEnd"/>
                      <w:r w:rsidRPr="0022004A">
                        <w:rPr>
                          <w:lang w:val="lv-LV"/>
                        </w:rPr>
                        <w:t xml:space="preserve"> arhitektūras principu un nacionālā </w:t>
                      </w:r>
                      <w:proofErr w:type="spellStart"/>
                      <w:r w:rsidRPr="0022004A">
                        <w:rPr>
                          <w:lang w:val="lv-LV"/>
                        </w:rPr>
                        <w:t>sadarbspējas</w:t>
                      </w:r>
                      <w:proofErr w:type="spellEnd"/>
                      <w:r w:rsidRPr="0022004A">
                        <w:rPr>
                          <w:lang w:val="lv-LV"/>
                        </w:rPr>
                        <w:t xml:space="preserve"> satvara kontekstā nozīmē spēju ielūkoties valsts pārvaldes iestāžu darbības vidē, lai citām iestādēm, iedzīvotājiem un uzņēmumiem būtu iespēja izprast administratīvos noteikumus, procesus, datus, pakalpojumus un lēmumu pieņemšanas procesus. Tā ietver arī pieejamu </w:t>
                      </w:r>
                      <w:proofErr w:type="spellStart"/>
                      <w:r w:rsidRPr="0022004A">
                        <w:rPr>
                          <w:lang w:val="lv-LV"/>
                        </w:rPr>
                        <w:t>saskarņu</w:t>
                      </w:r>
                      <w:proofErr w:type="spellEnd"/>
                      <w:r w:rsidRPr="0022004A">
                        <w:rPr>
                          <w:lang w:val="lv-LV"/>
                        </w:rPr>
                        <w:t xml:space="preserve"> nodrošināšanu publiskās pārvaldes iestāžu iekšējām informācijas sistēmām, kuras nereti ir neviendabīgas un nesavienojamas. </w:t>
                      </w:r>
                      <w:proofErr w:type="spellStart"/>
                      <w:r w:rsidRPr="0022004A">
                        <w:rPr>
                          <w:lang w:val="lv-LV"/>
                        </w:rPr>
                        <w:t>Sadarbspēja</w:t>
                      </w:r>
                      <w:proofErr w:type="spellEnd"/>
                      <w:r w:rsidRPr="0022004A">
                        <w:rPr>
                          <w:lang w:val="lv-LV"/>
                        </w:rPr>
                        <w:t xml:space="preserve">, kas ir būtiska šajā procesā, ļauj integrēt šīs sistēmas un to datus lielākās sistēmās, atvieglojot atkārtotu izmantošanu. Vienlaikus </w:t>
                      </w:r>
                      <w:proofErr w:type="spellStart"/>
                      <w:r w:rsidRPr="0022004A">
                        <w:rPr>
                          <w:lang w:val="lv-LV"/>
                        </w:rPr>
                        <w:t>pārredzamība</w:t>
                      </w:r>
                      <w:proofErr w:type="spellEnd"/>
                      <w:r w:rsidRPr="0022004A">
                        <w:rPr>
                          <w:lang w:val="lv-LV"/>
                        </w:rPr>
                        <w:t xml:space="preserve"> ietver personas datu aizsardzības nodrošināšanu, ievērojot piemērojamo tiesisko regulējumu.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45" behindDoc="0" locked="0" layoutInCell="1" allowOverlap="1" wp14:anchorId="1506C8B5" wp14:editId="404E83EC">
            <wp:simplePos x="0" y="0"/>
            <wp:positionH relativeFrom="margin">
              <wp:posOffset>88900</wp:posOffset>
            </wp:positionH>
            <wp:positionV relativeFrom="paragraph">
              <wp:posOffset>450850</wp:posOffset>
            </wp:positionV>
            <wp:extent cx="427990" cy="427990"/>
            <wp:effectExtent l="0" t="0" r="0" b="0"/>
            <wp:wrapSquare wrapText="bothSides"/>
            <wp:docPr id="322563885"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5C4346">
        <w:rPr>
          <w:lang w:val="lv-LV"/>
        </w:rPr>
        <w:t>Rad</w:t>
      </w:r>
      <w:r w:rsidR="00E47D33">
        <w:rPr>
          <w:lang w:val="lv-LV"/>
        </w:rPr>
        <w:t xml:space="preserve">īt </w:t>
      </w:r>
      <w:r w:rsidR="005C4346">
        <w:rPr>
          <w:lang w:val="lv-LV"/>
        </w:rPr>
        <w:t>caurskatām</w:t>
      </w:r>
      <w:r w:rsidR="00062E26">
        <w:rPr>
          <w:lang w:val="lv-LV"/>
        </w:rPr>
        <w:t>u</w:t>
      </w:r>
      <w:r w:rsidR="005C4346">
        <w:rPr>
          <w:lang w:val="lv-LV"/>
        </w:rPr>
        <w:t>, atklāt</w:t>
      </w:r>
      <w:r w:rsidR="00062E26">
        <w:rPr>
          <w:lang w:val="lv-LV"/>
        </w:rPr>
        <w:t xml:space="preserve">u </w:t>
      </w:r>
      <w:r w:rsidR="005C4346">
        <w:rPr>
          <w:lang w:val="lv-LV"/>
        </w:rPr>
        <w:t>un atvērt</w:t>
      </w:r>
      <w:r w:rsidR="00062E26">
        <w:rPr>
          <w:lang w:val="lv-LV"/>
        </w:rPr>
        <w:t>u valsts pārvaldi</w:t>
      </w:r>
    </w:p>
    <w:p w14:paraId="75C9C9F1" w14:textId="77777777" w:rsidR="002E0A24" w:rsidRDefault="002E0A24" w:rsidP="002E0A24">
      <w:pPr>
        <w:rPr>
          <w:lang w:val="lv-LV"/>
        </w:rPr>
      </w:pPr>
    </w:p>
    <w:p w14:paraId="25D97128" w14:textId="6D26EBDC" w:rsidR="006E5B75" w:rsidRPr="00C15F23" w:rsidRDefault="00D00965" w:rsidP="006E5B75">
      <w:pPr>
        <w:rPr>
          <w:lang w:val="lv-LV"/>
        </w:rPr>
      </w:pPr>
      <w:r w:rsidRPr="00C15F23">
        <w:rPr>
          <w:lang w:val="lv-LV"/>
        </w:rPr>
        <w:t>Piemērošanas vadlīnijas:</w:t>
      </w:r>
    </w:p>
    <w:p w14:paraId="1AE03E0F" w14:textId="4F4CAE2A" w:rsidR="00502031" w:rsidRPr="004D31D4" w:rsidRDefault="00BC60B3" w:rsidP="00D5520A">
      <w:pPr>
        <w:pStyle w:val="ListParagraph"/>
        <w:numPr>
          <w:ilvl w:val="0"/>
          <w:numId w:val="8"/>
        </w:numPr>
        <w:rPr>
          <w:lang w:val="lv-LV"/>
        </w:rPr>
      </w:pPr>
      <w:r w:rsidRPr="004D31D4">
        <w:rPr>
          <w:lang w:val="lv-LV"/>
        </w:rPr>
        <w:t xml:space="preserve">Nodrošiniet jomas esošās un </w:t>
      </w:r>
      <w:proofErr w:type="spellStart"/>
      <w:r w:rsidRPr="004D31D4">
        <w:rPr>
          <w:lang w:val="lv-LV"/>
        </w:rPr>
        <w:t>mērķarhitektūras</w:t>
      </w:r>
      <w:proofErr w:type="spellEnd"/>
      <w:r w:rsidRPr="004D31D4">
        <w:rPr>
          <w:lang w:val="lv-LV"/>
        </w:rPr>
        <w:t xml:space="preserve"> caurskatāmību, veidot esošās arhitektūras komponentu un to sasaistes aprakstīšanu VIRSIS</w:t>
      </w:r>
      <w:r w:rsidR="00525395">
        <w:rPr>
          <w:lang w:val="lv-LV"/>
        </w:rPr>
        <w:t xml:space="preserve"> un publicēt visiem pieejamu jomas </w:t>
      </w:r>
      <w:proofErr w:type="spellStart"/>
      <w:r w:rsidR="00525395">
        <w:rPr>
          <w:lang w:val="lv-LV"/>
        </w:rPr>
        <w:t>mērķarhitektūru</w:t>
      </w:r>
      <w:proofErr w:type="spellEnd"/>
      <w:r w:rsidR="00525395">
        <w:rPr>
          <w:lang w:val="lv-LV"/>
        </w:rPr>
        <w:t xml:space="preserve"> (VARAM arhitektūras vietnē)</w:t>
      </w:r>
    </w:p>
    <w:p w14:paraId="4E711AA4" w14:textId="3DF79B54" w:rsidR="00BC60B3" w:rsidRPr="004D31D4" w:rsidRDefault="00BC60B3" w:rsidP="00D5520A">
      <w:pPr>
        <w:pStyle w:val="ListParagraph"/>
        <w:numPr>
          <w:ilvl w:val="0"/>
          <w:numId w:val="8"/>
        </w:numPr>
        <w:rPr>
          <w:lang w:val="lv-LV"/>
        </w:rPr>
      </w:pPr>
      <w:r w:rsidRPr="004D31D4">
        <w:rPr>
          <w:lang w:val="lv-LV"/>
        </w:rPr>
        <w:lastRenderedPageBreak/>
        <w:t>Izvērtējiet</w:t>
      </w:r>
      <w:r w:rsidR="00502031" w:rsidRPr="004D31D4">
        <w:rPr>
          <w:lang w:val="lv-LV"/>
        </w:rPr>
        <w:t xml:space="preserve"> iestādes īpašumā esošos jēgpilnus datus un publiskojiet tos kā atklātus datus, ja uz tiem neattiecas īpaši ierobežojumi</w:t>
      </w:r>
    </w:p>
    <w:p w14:paraId="31339451" w14:textId="2EB16D93" w:rsidR="00BC60B3" w:rsidRPr="004D31D4" w:rsidRDefault="00BC60B3" w:rsidP="00D5520A">
      <w:pPr>
        <w:pStyle w:val="ListParagraph"/>
        <w:numPr>
          <w:ilvl w:val="0"/>
          <w:numId w:val="8"/>
        </w:numPr>
        <w:rPr>
          <w:lang w:val="lv-LV"/>
        </w:rPr>
      </w:pPr>
      <w:r w:rsidRPr="004D31D4">
        <w:rPr>
          <w:lang w:val="lv-LV"/>
        </w:rPr>
        <w:t>Izvērtējiet atvērto specifikāciju un tehnoloģiju pielietošanas iespējas</w:t>
      </w:r>
    </w:p>
    <w:p w14:paraId="1951EB77" w14:textId="7F086091" w:rsidR="00565F37" w:rsidRPr="004D31D4" w:rsidRDefault="00565F37" w:rsidP="00D5520A">
      <w:pPr>
        <w:pStyle w:val="ListParagraph"/>
        <w:numPr>
          <w:ilvl w:val="0"/>
          <w:numId w:val="8"/>
        </w:numPr>
        <w:jc w:val="both"/>
        <w:rPr>
          <w:bCs/>
          <w:lang w:val="lv-LV"/>
        </w:rPr>
      </w:pPr>
      <w:r w:rsidRPr="004D31D4">
        <w:rPr>
          <w:bCs/>
          <w:lang w:val="lv-LV"/>
        </w:rPr>
        <w:t>Nodrošiniet vienlīdzīgus apstākļus atklātā pirmkoda programmatūrai, kā arī aktīvi un godīgi izvērtējiet iespējas lietot atklātā pirmkoda programmatūru, ņemot vērā šādu risinājumu izmantošanas kopējās izmaksas</w:t>
      </w:r>
    </w:p>
    <w:p w14:paraId="694E3F47" w14:textId="240AA637" w:rsidR="005316A0" w:rsidRPr="004D31D4" w:rsidRDefault="005316A0" w:rsidP="00D5520A">
      <w:pPr>
        <w:pStyle w:val="ListParagraph"/>
        <w:numPr>
          <w:ilvl w:val="0"/>
          <w:numId w:val="8"/>
        </w:numPr>
        <w:jc w:val="both"/>
        <w:rPr>
          <w:bCs/>
          <w:lang w:val="lv-LV"/>
        </w:rPr>
      </w:pPr>
      <w:r w:rsidRPr="004D31D4">
        <w:rPr>
          <w:bCs/>
          <w:lang w:val="lv-LV"/>
        </w:rPr>
        <w:t>Dodiet priekšroku atklātām specifikācijām, pienācīgi izvērtējot funkcionālo vajadzību nodrošinājumu, izstrādes līmeni, tirgus atbalstu un inovācij</w:t>
      </w:r>
      <w:r w:rsidR="00F40A58">
        <w:rPr>
          <w:bCs/>
          <w:lang w:val="lv-LV"/>
        </w:rPr>
        <w:t>as</w:t>
      </w:r>
    </w:p>
    <w:p w14:paraId="77B486E4" w14:textId="1C9EEBA3" w:rsidR="004D31D4" w:rsidRPr="004D31D4" w:rsidRDefault="004D31D4" w:rsidP="00D5520A">
      <w:pPr>
        <w:pStyle w:val="ListParagraph"/>
        <w:numPr>
          <w:ilvl w:val="0"/>
          <w:numId w:val="8"/>
        </w:numPr>
        <w:jc w:val="both"/>
        <w:rPr>
          <w:bCs/>
          <w:lang w:val="lv-LV"/>
        </w:rPr>
      </w:pPr>
      <w:r w:rsidRPr="004D31D4">
        <w:rPr>
          <w:bCs/>
          <w:lang w:val="lv-LV"/>
        </w:rPr>
        <w:t xml:space="preserve">Nodrošiniet IKT risinājumu iekšēju redzamību un izveidojiet ārējas </w:t>
      </w:r>
      <w:proofErr w:type="spellStart"/>
      <w:r w:rsidRPr="004D31D4">
        <w:rPr>
          <w:bCs/>
          <w:lang w:val="lv-LV"/>
        </w:rPr>
        <w:t>saskarnes</w:t>
      </w:r>
      <w:proofErr w:type="spellEnd"/>
      <w:r w:rsidRPr="004D31D4">
        <w:rPr>
          <w:bCs/>
          <w:lang w:val="lv-LV"/>
        </w:rPr>
        <w:t>, ievērojot tiesisko regulējumu attiecībā uz datu aizsardzību</w:t>
      </w:r>
    </w:p>
    <w:p w14:paraId="2CF3DCE4" w14:textId="2B0426F9" w:rsidR="00BD6B1F" w:rsidRPr="00C15F23" w:rsidRDefault="00BD6B1F" w:rsidP="00BD6B1F">
      <w:pPr>
        <w:rPr>
          <w:lang w:val="lv-LV"/>
        </w:rPr>
      </w:pPr>
      <w:r w:rsidRPr="00C15F23">
        <w:rPr>
          <w:lang w:val="lv-LV"/>
        </w:rPr>
        <w:t>Novērtējuma vadlīnijas:</w:t>
      </w:r>
    </w:p>
    <w:p w14:paraId="310ED562" w14:textId="2596CB40" w:rsidR="004C6E32" w:rsidRPr="00C15F23" w:rsidRDefault="00870468" w:rsidP="00D5520A">
      <w:pPr>
        <w:pStyle w:val="ListParagraph"/>
        <w:numPr>
          <w:ilvl w:val="0"/>
          <w:numId w:val="8"/>
        </w:numPr>
        <w:rPr>
          <w:lang w:val="lv-LV"/>
        </w:rPr>
      </w:pPr>
      <w:r>
        <w:rPr>
          <w:lang w:val="lv-LV"/>
        </w:rPr>
        <w:t>VPK</w:t>
      </w:r>
      <w:r>
        <w:rPr>
          <w:lang w:val="lv-LV"/>
        </w:rPr>
        <w:t xml:space="preserve">15. </w:t>
      </w:r>
      <w:r w:rsidR="004B03EC">
        <w:rPr>
          <w:lang w:val="lv-LV"/>
        </w:rPr>
        <w:t>Vai j</w:t>
      </w:r>
      <w:r w:rsidR="004C6E32" w:rsidRPr="00C15F23">
        <w:rPr>
          <w:lang w:val="lv-LV"/>
        </w:rPr>
        <w:t>omas esošās arhitektūras komponentes ir reģistrētas VIRSIS</w:t>
      </w:r>
      <w:r w:rsidR="004B03EC">
        <w:rPr>
          <w:lang w:val="lv-LV"/>
        </w:rPr>
        <w:t xml:space="preserve"> (pakalpojumi, IKT komponenti, normatīvie akti u.c.)?</w:t>
      </w:r>
    </w:p>
    <w:p w14:paraId="037ECF83" w14:textId="1A6DAA14" w:rsidR="00D00965" w:rsidRPr="00C15F23" w:rsidRDefault="00870468" w:rsidP="00D5520A">
      <w:pPr>
        <w:pStyle w:val="ListParagraph"/>
        <w:numPr>
          <w:ilvl w:val="0"/>
          <w:numId w:val="8"/>
        </w:numPr>
        <w:rPr>
          <w:lang w:val="lv-LV"/>
        </w:rPr>
      </w:pPr>
      <w:r>
        <w:rPr>
          <w:lang w:val="lv-LV"/>
        </w:rPr>
        <w:t>VPK</w:t>
      </w:r>
      <w:r>
        <w:rPr>
          <w:lang w:val="lv-LV"/>
        </w:rPr>
        <w:t xml:space="preserve">16. </w:t>
      </w:r>
      <w:r w:rsidR="004B03EC">
        <w:rPr>
          <w:lang w:val="lv-LV"/>
        </w:rPr>
        <w:t xml:space="preserve">Vai </w:t>
      </w:r>
      <w:proofErr w:type="spellStart"/>
      <w:r w:rsidR="004B03EC">
        <w:rPr>
          <w:lang w:val="lv-LV"/>
        </w:rPr>
        <w:t>m</w:t>
      </w:r>
      <w:r w:rsidR="005D153F" w:rsidRPr="00C15F23">
        <w:rPr>
          <w:lang w:val="lv-LV"/>
        </w:rPr>
        <w:t>ērķarhitektūras</w:t>
      </w:r>
      <w:proofErr w:type="spellEnd"/>
      <w:r w:rsidR="005D153F" w:rsidRPr="00C15F23">
        <w:rPr>
          <w:lang w:val="lv-LV"/>
        </w:rPr>
        <w:t xml:space="preserve"> </w:t>
      </w:r>
      <w:r w:rsidR="00C15F23" w:rsidRPr="00C15F23">
        <w:rPr>
          <w:lang w:val="lv-LV"/>
        </w:rPr>
        <w:t>ieviešanai</w:t>
      </w:r>
      <w:r w:rsidR="005D153F" w:rsidRPr="00C15F23">
        <w:rPr>
          <w:lang w:val="lv-LV"/>
        </w:rPr>
        <w:t xml:space="preserve"> t</w:t>
      </w:r>
      <w:r w:rsidR="00D00965" w:rsidRPr="00C15F23">
        <w:rPr>
          <w:lang w:val="lv-LV"/>
        </w:rPr>
        <w:t xml:space="preserve">iek paredzēta atvērtā </w:t>
      </w:r>
      <w:r w:rsidR="00E86FDB">
        <w:rPr>
          <w:lang w:val="lv-LV"/>
        </w:rPr>
        <w:t>pirm</w:t>
      </w:r>
      <w:r w:rsidR="00D00965" w:rsidRPr="00C15F23">
        <w:rPr>
          <w:lang w:val="lv-LV"/>
        </w:rPr>
        <w:t>koda tehnoloģiju izmantošana</w:t>
      </w:r>
      <w:r w:rsidR="004B03EC">
        <w:rPr>
          <w:lang w:val="lv-LV"/>
        </w:rPr>
        <w:t>?</w:t>
      </w:r>
    </w:p>
    <w:p w14:paraId="3EB26FF9" w14:textId="61773EEE" w:rsidR="00D00965" w:rsidRDefault="00870468" w:rsidP="00D5520A">
      <w:pPr>
        <w:pStyle w:val="ListParagraph"/>
        <w:numPr>
          <w:ilvl w:val="0"/>
          <w:numId w:val="8"/>
        </w:numPr>
        <w:rPr>
          <w:lang w:val="lv-LV"/>
        </w:rPr>
      </w:pPr>
      <w:r>
        <w:rPr>
          <w:lang w:val="lv-LV"/>
        </w:rPr>
        <w:t>VPK</w:t>
      </w:r>
      <w:r>
        <w:rPr>
          <w:lang w:val="lv-LV"/>
        </w:rPr>
        <w:t xml:space="preserve">17. </w:t>
      </w:r>
      <w:r w:rsidR="004B03EC">
        <w:rPr>
          <w:lang w:val="lv-LV"/>
        </w:rPr>
        <w:t xml:space="preserve">Vai </w:t>
      </w:r>
      <w:proofErr w:type="spellStart"/>
      <w:r w:rsidR="004B03EC">
        <w:rPr>
          <w:lang w:val="lv-LV"/>
        </w:rPr>
        <w:t>m</w:t>
      </w:r>
      <w:r w:rsidR="004C6E32" w:rsidRPr="00C15F23">
        <w:rPr>
          <w:lang w:val="lv-LV"/>
        </w:rPr>
        <w:t>ērķarhitektūr</w:t>
      </w:r>
      <w:r w:rsidR="00A547F4">
        <w:rPr>
          <w:lang w:val="lv-LV"/>
        </w:rPr>
        <w:t>a</w:t>
      </w:r>
      <w:proofErr w:type="spellEnd"/>
      <w:r w:rsidR="00A547F4">
        <w:rPr>
          <w:lang w:val="lv-LV"/>
        </w:rPr>
        <w:t xml:space="preserve"> paredz</w:t>
      </w:r>
      <w:r w:rsidR="00D00965" w:rsidRPr="00C15F23">
        <w:rPr>
          <w:lang w:val="lv-LV"/>
        </w:rPr>
        <w:t xml:space="preserve"> jēgpilnu at</w:t>
      </w:r>
      <w:r w:rsidR="00502031">
        <w:rPr>
          <w:lang w:val="lv-LV"/>
        </w:rPr>
        <w:t>klāto</w:t>
      </w:r>
      <w:r w:rsidR="00D00965" w:rsidRPr="00C15F23">
        <w:rPr>
          <w:lang w:val="lv-LV"/>
        </w:rPr>
        <w:t xml:space="preserve"> datu publicēšan</w:t>
      </w:r>
      <w:r w:rsidR="00A547F4">
        <w:rPr>
          <w:lang w:val="lv-LV"/>
        </w:rPr>
        <w:t>u</w:t>
      </w:r>
      <w:r w:rsidR="004B03EC">
        <w:rPr>
          <w:lang w:val="lv-LV"/>
        </w:rPr>
        <w:t>?</w:t>
      </w:r>
    </w:p>
    <w:p w14:paraId="6AFDBCB5" w14:textId="4325DED8" w:rsidR="00C6441B" w:rsidRPr="00C6441B" w:rsidRDefault="00870468" w:rsidP="00D5520A">
      <w:pPr>
        <w:pStyle w:val="ListParagraph"/>
        <w:numPr>
          <w:ilvl w:val="0"/>
          <w:numId w:val="8"/>
        </w:numPr>
        <w:rPr>
          <w:lang w:val="lv-LV"/>
        </w:rPr>
      </w:pPr>
      <w:r>
        <w:rPr>
          <w:lang w:val="lv-LV"/>
        </w:rPr>
        <w:t>VPK</w:t>
      </w:r>
      <w:r>
        <w:rPr>
          <w:lang w:val="lv-LV"/>
        </w:rPr>
        <w:t xml:space="preserve">18. </w:t>
      </w:r>
      <w:r w:rsidR="004B03EC">
        <w:rPr>
          <w:lang w:val="lv-LV"/>
        </w:rPr>
        <w:t xml:space="preserve">Vai </w:t>
      </w:r>
      <w:proofErr w:type="spellStart"/>
      <w:r w:rsidR="004B03EC">
        <w:rPr>
          <w:lang w:val="lv-LV"/>
        </w:rPr>
        <w:t>m</w:t>
      </w:r>
      <w:r w:rsidR="00C6441B">
        <w:rPr>
          <w:lang w:val="lv-LV"/>
        </w:rPr>
        <w:t>ērķarhitektūrā</w:t>
      </w:r>
      <w:proofErr w:type="spellEnd"/>
      <w:r w:rsidR="00C6441B">
        <w:rPr>
          <w:lang w:val="lv-LV"/>
        </w:rPr>
        <w:t xml:space="preserve"> ir izvērtētas un identificētas nepieciešamās datu apmaiņas </w:t>
      </w:r>
      <w:proofErr w:type="spellStart"/>
      <w:r w:rsidR="00C6441B">
        <w:rPr>
          <w:lang w:val="lv-LV"/>
        </w:rPr>
        <w:t>saskarnes</w:t>
      </w:r>
      <w:proofErr w:type="spellEnd"/>
      <w:r w:rsidR="00C6441B">
        <w:rPr>
          <w:lang w:val="lv-LV"/>
        </w:rPr>
        <w:t xml:space="preserve"> </w:t>
      </w:r>
      <w:proofErr w:type="spellStart"/>
      <w:r w:rsidR="00C6441B">
        <w:rPr>
          <w:lang w:val="lv-LV"/>
        </w:rPr>
        <w:t>vienreizes</w:t>
      </w:r>
      <w:proofErr w:type="spellEnd"/>
      <w:r w:rsidR="00C6441B">
        <w:rPr>
          <w:lang w:val="lv-LV"/>
        </w:rPr>
        <w:t xml:space="preserve"> principa īstenošanai</w:t>
      </w:r>
      <w:r w:rsidR="004B03EC">
        <w:rPr>
          <w:lang w:val="lv-LV"/>
        </w:rPr>
        <w:t>?</w:t>
      </w:r>
    </w:p>
    <w:p w14:paraId="65F61797" w14:textId="7F551324" w:rsidR="00BD6B1F" w:rsidRPr="00187FB5" w:rsidRDefault="00870468" w:rsidP="00D5520A">
      <w:pPr>
        <w:pStyle w:val="ListParagraph"/>
        <w:numPr>
          <w:ilvl w:val="0"/>
          <w:numId w:val="8"/>
        </w:numPr>
        <w:rPr>
          <w:lang w:val="lv-LV"/>
        </w:rPr>
      </w:pPr>
      <w:r>
        <w:rPr>
          <w:lang w:val="lv-LV"/>
        </w:rPr>
        <w:t>VPK</w:t>
      </w:r>
      <w:r>
        <w:rPr>
          <w:lang w:val="lv-LV"/>
        </w:rPr>
        <w:t xml:space="preserve">19. </w:t>
      </w:r>
      <w:r w:rsidR="004B03EC">
        <w:rPr>
          <w:lang w:val="lv-LV"/>
        </w:rPr>
        <w:t xml:space="preserve">Vai </w:t>
      </w:r>
      <w:proofErr w:type="spellStart"/>
      <w:r w:rsidR="004B03EC">
        <w:rPr>
          <w:lang w:val="lv-LV"/>
        </w:rPr>
        <w:t>m</w:t>
      </w:r>
      <w:r w:rsidR="004C6E32" w:rsidRPr="00C15F23">
        <w:rPr>
          <w:lang w:val="lv-LV"/>
        </w:rPr>
        <w:t>ērķarhitektūras</w:t>
      </w:r>
      <w:proofErr w:type="spellEnd"/>
      <w:r w:rsidR="004C6E32" w:rsidRPr="00C15F23">
        <w:rPr>
          <w:lang w:val="lv-LV"/>
        </w:rPr>
        <w:t xml:space="preserve"> d</w:t>
      </w:r>
      <w:r w:rsidR="00EB33C2" w:rsidRPr="00C15F23">
        <w:rPr>
          <w:lang w:val="lv-LV"/>
        </w:rPr>
        <w:t xml:space="preserve">atu apmaiņas </w:t>
      </w:r>
      <w:proofErr w:type="spellStart"/>
      <w:r w:rsidR="00EB33C2" w:rsidRPr="00C15F23">
        <w:rPr>
          <w:lang w:val="lv-LV"/>
        </w:rPr>
        <w:t>saskarnes</w:t>
      </w:r>
      <w:proofErr w:type="spellEnd"/>
      <w:r w:rsidR="00EB33C2" w:rsidRPr="00C15F23">
        <w:rPr>
          <w:lang w:val="lv-LV"/>
        </w:rPr>
        <w:t xml:space="preserve"> ir paredzēts publicēt VISS, tā koplietošanas komponentēs vai citos normatīvajos aktos noteiktajos risinājumos</w:t>
      </w:r>
      <w:r w:rsidR="004B03EC">
        <w:rPr>
          <w:lang w:val="lv-LV"/>
        </w:rPr>
        <w:t>?</w:t>
      </w:r>
    </w:p>
    <w:p w14:paraId="6067C716" w14:textId="21D14BF3" w:rsidR="00FB2E2D" w:rsidRPr="00E40818" w:rsidRDefault="00FB2E2D" w:rsidP="00E43D18">
      <w:pPr>
        <w:pStyle w:val="Heading2"/>
        <w:rPr>
          <w:rStyle w:val="Heading4Char"/>
          <w:i w:val="0"/>
          <w:iCs w:val="0"/>
          <w:lang w:val="lv-LV"/>
        </w:rPr>
      </w:pPr>
      <w:r>
        <w:rPr>
          <w:lang w:val="lv-LV"/>
        </w:rPr>
        <w:t>P</w:t>
      </w:r>
      <w:r w:rsidR="001B7BB2">
        <w:rPr>
          <w:lang w:val="lv-LV"/>
        </w:rPr>
        <w:t>5</w:t>
      </w:r>
      <w:r>
        <w:rPr>
          <w:lang w:val="lv-LV"/>
        </w:rPr>
        <w:t xml:space="preserve">. </w:t>
      </w:r>
      <w:r w:rsidRPr="00E2406D">
        <w:rPr>
          <w:noProof/>
          <w:lang w:val="lv-LV"/>
        </w:rPr>
        <mc:AlternateContent>
          <mc:Choice Requires="wps">
            <w:drawing>
              <wp:anchor distT="0" distB="0" distL="114300" distR="114300" simplePos="0" relativeHeight="251658246" behindDoc="0" locked="0" layoutInCell="1" allowOverlap="1" wp14:anchorId="4CB85574" wp14:editId="56B32C7D">
                <wp:simplePos x="0" y="0"/>
                <wp:positionH relativeFrom="column">
                  <wp:posOffset>0</wp:posOffset>
                </wp:positionH>
                <wp:positionV relativeFrom="paragraph">
                  <wp:posOffset>316865</wp:posOffset>
                </wp:positionV>
                <wp:extent cx="1828800" cy="1828800"/>
                <wp:effectExtent l="0" t="0" r="8890" b="10795"/>
                <wp:wrapTopAndBottom/>
                <wp:docPr id="81635340"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D3BA5F7" w14:textId="4A7B2B13" w:rsidR="00FB2E2D" w:rsidRPr="008504C5" w:rsidRDefault="00601D05" w:rsidP="00E47D33">
                            <w:pPr>
                              <w:ind w:left="851"/>
                              <w:jc w:val="both"/>
                              <w:rPr>
                                <w:lang w:val="lv-LV"/>
                              </w:rPr>
                            </w:pPr>
                            <w:r w:rsidRPr="008504C5">
                              <w:rPr>
                                <w:lang w:val="lv-LV"/>
                              </w:rPr>
                              <w:t>Publiskajiem</w:t>
                            </w:r>
                            <w:r w:rsidR="00FB2E2D" w:rsidRPr="008504C5">
                              <w:rPr>
                                <w:lang w:val="lv-LV"/>
                              </w:rPr>
                              <w:t xml:space="preserve"> pārvalde</w:t>
                            </w:r>
                            <w:r w:rsidR="00E47D33" w:rsidRPr="008504C5">
                              <w:rPr>
                                <w:lang w:val="lv-LV"/>
                              </w:rPr>
                              <w:t xml:space="preserve">s pakalpojumiem un </w:t>
                            </w:r>
                            <w:r w:rsidR="00F925F5" w:rsidRPr="008504C5">
                              <w:rPr>
                                <w:lang w:val="lv-LV"/>
                              </w:rPr>
                              <w:t xml:space="preserve">IKT </w:t>
                            </w:r>
                            <w:r w:rsidR="00E47D33" w:rsidRPr="008504C5">
                              <w:rPr>
                                <w:lang w:val="lv-LV"/>
                              </w:rPr>
                              <w:t xml:space="preserve">risinājumiem ir jābūt elastīgiem un spējīgiem pielāgoties mainīgām klientu un normatīvo aktu prasībām un tehnoloģiju attīstības tendencēm. </w:t>
                            </w:r>
                          </w:p>
                          <w:p w14:paraId="63D02926" w14:textId="7FCDBCD8" w:rsidR="008504C5" w:rsidRPr="008504C5" w:rsidRDefault="008504C5" w:rsidP="008504C5">
                            <w:pPr>
                              <w:ind w:left="851"/>
                              <w:jc w:val="both"/>
                              <w:rPr>
                                <w:lang w:val="lv-LV" w:bidi="lv-LV"/>
                              </w:rPr>
                            </w:pPr>
                            <w:r w:rsidRPr="008504C5">
                              <w:rPr>
                                <w:lang w:val="lv-LV" w:bidi="lv-LV"/>
                              </w:rPr>
                              <w:t xml:space="preserve">Nepārtraukta izstrāde ir dārga, tāpēc pakalpojumi un IKT risinājumi ir jāveido tā, lai tie spētu pielāgotos bez pilnīgas pārstrādes. Jāparedz, kādi mainīgi faktori varētu ietekmēt konkrēto pakalpojumu vai IKT risinājumu, un šīs izmaiņas jāņem vērā dizainā, izmantojot konfigurējamas vai aizvietojamas/paplašināmas </w:t>
                            </w:r>
                            <w:r>
                              <w:rPr>
                                <w:lang w:val="lv-LV" w:bidi="lv-LV"/>
                              </w:rPr>
                              <w:t xml:space="preserve">komponentes. </w:t>
                            </w:r>
                          </w:p>
                          <w:p w14:paraId="77C191CB" w14:textId="7A739EA3" w:rsidR="008504C5" w:rsidRPr="008504C5" w:rsidRDefault="008504C5" w:rsidP="008504C5">
                            <w:pPr>
                              <w:ind w:left="851"/>
                              <w:jc w:val="both"/>
                              <w:rPr>
                                <w:lang w:val="lv-LV" w:bidi="lv-LV"/>
                              </w:rPr>
                            </w:pPr>
                            <w:r w:rsidRPr="008504C5">
                              <w:rPr>
                                <w:lang w:val="lv-LV" w:bidi="lv-LV"/>
                              </w:rPr>
                              <w:t xml:space="preserve">Projektējot pakalpojumus un IKT risinājumus rekomendēts veidot prototipus un koncepcijas apliecinājumus </w:t>
                            </w:r>
                            <w:r w:rsidRPr="008504C5">
                              <w:rPr>
                                <w:i/>
                                <w:iCs/>
                                <w:lang w:val="lv-LV" w:bidi="lv-LV"/>
                              </w:rPr>
                              <w:t xml:space="preserve">(no angļu val. – </w:t>
                            </w:r>
                            <w:proofErr w:type="spellStart"/>
                            <w:r w:rsidRPr="008504C5">
                              <w:rPr>
                                <w:i/>
                                <w:iCs/>
                                <w:lang w:val="lv-LV" w:bidi="lv-LV"/>
                              </w:rPr>
                              <w:t>proof</w:t>
                            </w:r>
                            <w:proofErr w:type="spellEnd"/>
                            <w:r w:rsidRPr="008504C5">
                              <w:rPr>
                                <w:i/>
                                <w:iCs/>
                                <w:lang w:val="lv-LV" w:bidi="lv-LV"/>
                              </w:rPr>
                              <w:t xml:space="preserve"> </w:t>
                            </w:r>
                            <w:proofErr w:type="spellStart"/>
                            <w:r w:rsidRPr="008504C5">
                              <w:rPr>
                                <w:i/>
                                <w:iCs/>
                                <w:lang w:val="lv-LV" w:bidi="lv-LV"/>
                              </w:rPr>
                              <w:t>of</w:t>
                            </w:r>
                            <w:proofErr w:type="spellEnd"/>
                            <w:r w:rsidRPr="008504C5">
                              <w:rPr>
                                <w:i/>
                                <w:iCs/>
                                <w:lang w:val="lv-LV" w:bidi="lv-LV"/>
                              </w:rPr>
                              <w:t xml:space="preserve"> concept).</w:t>
                            </w:r>
                            <w:r w:rsidRPr="008504C5">
                              <w:rPr>
                                <w:lang w:val="lv-LV" w:bidi="lv-LV"/>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B85574" id="_x0000_s1030" type="#_x0000_t202" style="position:absolute;margin-left:0;margin-top:24.95pt;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C3sFHMWwIAAAwFAAAOAAAAAAAAAAAAAAAAAC4CAABkcnMvZTJvRG9jLnhtbFBL&#10;AQItABQABgAIAAAAIQDu75ah2wAAAAcBAAAPAAAAAAAAAAAAAAAAALUEAABkcnMvZG93bnJldi54&#10;bWxQSwUGAAAAAAQABADzAAAAvQUAAAAA&#10;" fillcolor="white [3201]" strokecolor="#196b24 [3206]" strokeweight="1pt">
                <v:textbox style="mso-fit-shape-to-text:t">
                  <w:txbxContent>
                    <w:p w14:paraId="7D3BA5F7" w14:textId="4A7B2B13" w:rsidR="00FB2E2D" w:rsidRPr="008504C5" w:rsidRDefault="00601D05" w:rsidP="00E47D33">
                      <w:pPr>
                        <w:ind w:left="851"/>
                        <w:jc w:val="both"/>
                        <w:rPr>
                          <w:lang w:val="lv-LV"/>
                        </w:rPr>
                      </w:pPr>
                      <w:r w:rsidRPr="008504C5">
                        <w:rPr>
                          <w:lang w:val="lv-LV"/>
                        </w:rPr>
                        <w:t>Publiskajiem</w:t>
                      </w:r>
                      <w:r w:rsidR="00FB2E2D" w:rsidRPr="008504C5">
                        <w:rPr>
                          <w:lang w:val="lv-LV"/>
                        </w:rPr>
                        <w:t xml:space="preserve"> pārvalde</w:t>
                      </w:r>
                      <w:r w:rsidR="00E47D33" w:rsidRPr="008504C5">
                        <w:rPr>
                          <w:lang w:val="lv-LV"/>
                        </w:rPr>
                        <w:t xml:space="preserve">s pakalpojumiem un </w:t>
                      </w:r>
                      <w:r w:rsidR="00F925F5" w:rsidRPr="008504C5">
                        <w:rPr>
                          <w:lang w:val="lv-LV"/>
                        </w:rPr>
                        <w:t xml:space="preserve">IKT </w:t>
                      </w:r>
                      <w:r w:rsidR="00E47D33" w:rsidRPr="008504C5">
                        <w:rPr>
                          <w:lang w:val="lv-LV"/>
                        </w:rPr>
                        <w:t xml:space="preserve">risinājumiem ir jābūt elastīgiem un spējīgiem pielāgoties mainīgām klientu un normatīvo aktu prasībām un tehnoloģiju attīstības tendencēm. </w:t>
                      </w:r>
                    </w:p>
                    <w:p w14:paraId="63D02926" w14:textId="7FCDBCD8" w:rsidR="008504C5" w:rsidRPr="008504C5" w:rsidRDefault="008504C5" w:rsidP="008504C5">
                      <w:pPr>
                        <w:ind w:left="851"/>
                        <w:jc w:val="both"/>
                        <w:rPr>
                          <w:lang w:val="lv-LV" w:bidi="lv-LV"/>
                        </w:rPr>
                      </w:pPr>
                      <w:r w:rsidRPr="008504C5">
                        <w:rPr>
                          <w:lang w:val="lv-LV" w:bidi="lv-LV"/>
                        </w:rPr>
                        <w:t xml:space="preserve">Nepārtraukta izstrāde ir dārga, tāpēc pakalpojumi un IKT risinājumi ir jāveido tā, lai tie spētu pielāgotos bez pilnīgas pārstrādes. Jāparedz, kādi mainīgi faktori varētu ietekmēt konkrēto pakalpojumu vai IKT risinājumu, un šīs izmaiņas jāņem vērā dizainā, izmantojot konfigurējamas vai aizvietojamas/paplašināmas </w:t>
                      </w:r>
                      <w:r>
                        <w:rPr>
                          <w:lang w:val="lv-LV" w:bidi="lv-LV"/>
                        </w:rPr>
                        <w:t xml:space="preserve">komponentes. </w:t>
                      </w:r>
                    </w:p>
                    <w:p w14:paraId="77C191CB" w14:textId="7A739EA3" w:rsidR="008504C5" w:rsidRPr="008504C5" w:rsidRDefault="008504C5" w:rsidP="008504C5">
                      <w:pPr>
                        <w:ind w:left="851"/>
                        <w:jc w:val="both"/>
                        <w:rPr>
                          <w:lang w:val="lv-LV" w:bidi="lv-LV"/>
                        </w:rPr>
                      </w:pPr>
                      <w:r w:rsidRPr="008504C5">
                        <w:rPr>
                          <w:lang w:val="lv-LV" w:bidi="lv-LV"/>
                        </w:rPr>
                        <w:t xml:space="preserve">Projektējot pakalpojumus un IKT risinājumus rekomendēts veidot prototipus un koncepcijas apliecinājumus </w:t>
                      </w:r>
                      <w:r w:rsidRPr="008504C5">
                        <w:rPr>
                          <w:i/>
                          <w:iCs/>
                          <w:lang w:val="lv-LV" w:bidi="lv-LV"/>
                        </w:rPr>
                        <w:t xml:space="preserve">(no angļu val. – </w:t>
                      </w:r>
                      <w:proofErr w:type="spellStart"/>
                      <w:r w:rsidRPr="008504C5">
                        <w:rPr>
                          <w:i/>
                          <w:iCs/>
                          <w:lang w:val="lv-LV" w:bidi="lv-LV"/>
                        </w:rPr>
                        <w:t>proof</w:t>
                      </w:r>
                      <w:proofErr w:type="spellEnd"/>
                      <w:r w:rsidRPr="008504C5">
                        <w:rPr>
                          <w:i/>
                          <w:iCs/>
                          <w:lang w:val="lv-LV" w:bidi="lv-LV"/>
                        </w:rPr>
                        <w:t xml:space="preserve"> </w:t>
                      </w:r>
                      <w:proofErr w:type="spellStart"/>
                      <w:r w:rsidRPr="008504C5">
                        <w:rPr>
                          <w:i/>
                          <w:iCs/>
                          <w:lang w:val="lv-LV" w:bidi="lv-LV"/>
                        </w:rPr>
                        <w:t>of</w:t>
                      </w:r>
                      <w:proofErr w:type="spellEnd"/>
                      <w:r w:rsidRPr="008504C5">
                        <w:rPr>
                          <w:i/>
                          <w:iCs/>
                          <w:lang w:val="lv-LV" w:bidi="lv-LV"/>
                        </w:rPr>
                        <w:t xml:space="preserve"> concept).</w:t>
                      </w:r>
                      <w:r w:rsidRPr="008504C5">
                        <w:rPr>
                          <w:lang w:val="lv-LV" w:bidi="lv-LV"/>
                        </w:rPr>
                        <w:t xml:space="preserve">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47" behindDoc="0" locked="0" layoutInCell="1" allowOverlap="1" wp14:anchorId="32BEA016" wp14:editId="56103C50">
            <wp:simplePos x="0" y="0"/>
            <wp:positionH relativeFrom="margin">
              <wp:posOffset>88900</wp:posOffset>
            </wp:positionH>
            <wp:positionV relativeFrom="paragraph">
              <wp:posOffset>450850</wp:posOffset>
            </wp:positionV>
            <wp:extent cx="427990" cy="427990"/>
            <wp:effectExtent l="0" t="0" r="0" b="0"/>
            <wp:wrapSquare wrapText="bothSides"/>
            <wp:docPr id="285534308"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E47D33">
        <w:rPr>
          <w:lang w:val="lv-LV"/>
        </w:rPr>
        <w:t>Nodrošināt elastību un spēju pielāgoties</w:t>
      </w:r>
    </w:p>
    <w:p w14:paraId="084D87EA" w14:textId="77777777" w:rsidR="00FB2E2D" w:rsidRDefault="00FB2E2D" w:rsidP="00FB2E2D">
      <w:pPr>
        <w:rPr>
          <w:lang w:val="lv-LV"/>
        </w:rPr>
      </w:pPr>
    </w:p>
    <w:p w14:paraId="3B6F2204" w14:textId="483E9E2B" w:rsidR="00AB4826" w:rsidRDefault="00AB4826" w:rsidP="00FB2E2D">
      <w:pPr>
        <w:rPr>
          <w:lang w:val="lv-LV"/>
        </w:rPr>
      </w:pPr>
      <w:r>
        <w:rPr>
          <w:lang w:val="lv-LV"/>
        </w:rPr>
        <w:lastRenderedPageBreak/>
        <w:t>Piemērošanas vadlīnijas:</w:t>
      </w:r>
    </w:p>
    <w:p w14:paraId="50F15D88" w14:textId="37A6DD5E" w:rsidR="00CC37CD" w:rsidRPr="00CC37CD" w:rsidRDefault="00CC37CD" w:rsidP="00D5520A">
      <w:pPr>
        <w:pStyle w:val="ListParagraph"/>
        <w:numPr>
          <w:ilvl w:val="0"/>
          <w:numId w:val="10"/>
        </w:numPr>
        <w:rPr>
          <w:lang w:val="lv-LV"/>
        </w:rPr>
      </w:pPr>
      <w:r w:rsidRPr="00CC37CD">
        <w:rPr>
          <w:lang w:val="lv-LV"/>
        </w:rPr>
        <w:t>Plānojiet pakalpojumu</w:t>
      </w:r>
      <w:r>
        <w:rPr>
          <w:lang w:val="lv-LV"/>
        </w:rPr>
        <w:t xml:space="preserve"> un IKT risinājumu</w:t>
      </w:r>
      <w:r w:rsidRPr="00CC37CD">
        <w:rPr>
          <w:lang w:val="lv-LV"/>
        </w:rPr>
        <w:t xml:space="preserve"> pielāgojamību paredzamām izmaiņām</w:t>
      </w:r>
      <w:r>
        <w:rPr>
          <w:lang w:val="lv-LV"/>
        </w:rPr>
        <w:t xml:space="preserve">. </w:t>
      </w:r>
      <w:r w:rsidRPr="00CC37CD">
        <w:rPr>
          <w:lang w:val="lv-LV"/>
        </w:rPr>
        <w:t>Projektējot pakalpojumus</w:t>
      </w:r>
      <w:r>
        <w:rPr>
          <w:lang w:val="lv-LV"/>
        </w:rPr>
        <w:t xml:space="preserve"> un IKT risinājumus</w:t>
      </w:r>
      <w:r w:rsidRPr="00CC37CD">
        <w:rPr>
          <w:lang w:val="lv-LV"/>
        </w:rPr>
        <w:t xml:space="preserve">, </w:t>
      </w:r>
      <w:proofErr w:type="spellStart"/>
      <w:r w:rsidRPr="00CC37CD">
        <w:rPr>
          <w:lang w:val="lv-LV"/>
        </w:rPr>
        <w:t>prioritizējiet</w:t>
      </w:r>
      <w:proofErr w:type="spellEnd"/>
      <w:r w:rsidRPr="00CC37CD">
        <w:rPr>
          <w:lang w:val="lv-LV"/>
        </w:rPr>
        <w:t xml:space="preserve"> risinājumus, kas ļauj ieviest paredzamas izmaiņas bez nepieciešamības veikt pilnīgu pārveidi. Tas palīdzēs samazināt ilgtermiņa izmaksas un veicinās pielāgošanās spēju.</w:t>
      </w:r>
    </w:p>
    <w:p w14:paraId="072F9566" w14:textId="23EA71E7" w:rsidR="00CC37CD" w:rsidRPr="00CC37CD" w:rsidRDefault="00CC37CD" w:rsidP="00D5520A">
      <w:pPr>
        <w:pStyle w:val="ListParagraph"/>
        <w:numPr>
          <w:ilvl w:val="0"/>
          <w:numId w:val="10"/>
        </w:numPr>
        <w:rPr>
          <w:lang w:val="lv-LV"/>
        </w:rPr>
      </w:pPr>
      <w:r w:rsidRPr="00CC37CD">
        <w:rPr>
          <w:lang w:val="lv-LV"/>
        </w:rPr>
        <w:t>Prognozējiet iespējamas izmaiņas</w:t>
      </w:r>
      <w:r>
        <w:rPr>
          <w:lang w:val="lv-LV"/>
        </w:rPr>
        <w:t>.</w:t>
      </w:r>
      <w:r w:rsidRPr="00CC37CD">
        <w:rPr>
          <w:lang w:val="lv-LV"/>
        </w:rPr>
        <w:t xml:space="preserve"> Nosakiet, kādas izmaiņas visdrīzāk varētu ietekmēt jūsu pakalpojumu</w:t>
      </w:r>
      <w:r>
        <w:rPr>
          <w:lang w:val="lv-LV"/>
        </w:rPr>
        <w:t xml:space="preserve"> un IKT risinājumu</w:t>
      </w:r>
      <w:r w:rsidRPr="00CC37CD">
        <w:rPr>
          <w:lang w:val="lv-LV"/>
        </w:rPr>
        <w:t xml:space="preserve"> darbības jomu tā dzīves cikla laikā. Iekļaujiet elastību, izmantojot konfigurējamus risinājumus vai aizvietojamus un paplašināmus moduļus.</w:t>
      </w:r>
    </w:p>
    <w:p w14:paraId="0C305AA9" w14:textId="3ABE0854" w:rsidR="00CC37CD" w:rsidRPr="00CC37CD" w:rsidRDefault="00CC37CD" w:rsidP="00D5520A">
      <w:pPr>
        <w:pStyle w:val="ListParagraph"/>
        <w:numPr>
          <w:ilvl w:val="0"/>
          <w:numId w:val="10"/>
        </w:numPr>
        <w:rPr>
          <w:lang w:val="lv-LV"/>
        </w:rPr>
      </w:pPr>
      <w:r w:rsidRPr="00CC37CD">
        <w:rPr>
          <w:lang w:val="lv-LV"/>
        </w:rPr>
        <w:t>Ieguldiet elastības veidošanā sākumā</w:t>
      </w:r>
      <w:r>
        <w:rPr>
          <w:lang w:val="lv-LV"/>
        </w:rPr>
        <w:t>.</w:t>
      </w:r>
      <w:r w:rsidRPr="00CC37CD">
        <w:rPr>
          <w:lang w:val="lv-LV"/>
        </w:rPr>
        <w:t xml:space="preserve"> Lai gan pielāgojamu un elastīgu pakalpojumu</w:t>
      </w:r>
      <w:r>
        <w:rPr>
          <w:lang w:val="lv-LV"/>
        </w:rPr>
        <w:t xml:space="preserve"> un IKT risinājumu</w:t>
      </w:r>
      <w:r w:rsidRPr="00CC37CD">
        <w:rPr>
          <w:lang w:val="lv-LV"/>
        </w:rPr>
        <w:t xml:space="preserve"> izveide sākotnēji var prasīt lielākus ieguldījumus, šī pieeja palīdzēs samazināt nākotnes izmaiņu izmaksas un sarežģītību, nodrošinot efektivitāti ilgtermiņā.</w:t>
      </w:r>
    </w:p>
    <w:p w14:paraId="0F59AF11" w14:textId="1D65D28E" w:rsidR="00CC37CD" w:rsidRDefault="00CC37CD" w:rsidP="00D5520A">
      <w:pPr>
        <w:pStyle w:val="ListParagraph"/>
        <w:numPr>
          <w:ilvl w:val="0"/>
          <w:numId w:val="10"/>
        </w:numPr>
        <w:rPr>
          <w:lang w:val="lv-LV"/>
        </w:rPr>
      </w:pPr>
      <w:r w:rsidRPr="00CC37CD">
        <w:rPr>
          <w:lang w:val="lv-LV"/>
        </w:rPr>
        <w:t>Koncentrējieties uz būtiskajiem scenārijiem</w:t>
      </w:r>
      <w:r>
        <w:rPr>
          <w:lang w:val="lv-LV"/>
        </w:rPr>
        <w:t>.</w:t>
      </w:r>
      <w:r w:rsidRPr="00CC37CD">
        <w:rPr>
          <w:lang w:val="lv-LV"/>
        </w:rPr>
        <w:t xml:space="preserve"> Izvairieties no pārāk sarežģīta risinājuma veidošanas, gatavojoties tikai tām izmaiņām, kuras reāli varētu notikt pakalpojuma vai </w:t>
      </w:r>
      <w:r>
        <w:rPr>
          <w:lang w:val="lv-LV"/>
        </w:rPr>
        <w:t>IKT risinājuma</w:t>
      </w:r>
      <w:r w:rsidRPr="00CC37CD">
        <w:rPr>
          <w:lang w:val="lv-LV"/>
        </w:rPr>
        <w:t xml:space="preserve"> dzīves cikla laikā. Tas ļaus efektīvi izmantot resursus, nepārslogojot dizainu.</w:t>
      </w:r>
    </w:p>
    <w:p w14:paraId="701E2E8F" w14:textId="2572CDBC" w:rsidR="00CC37CD" w:rsidRPr="00CC37CD" w:rsidRDefault="00CC37CD" w:rsidP="00D5520A">
      <w:pPr>
        <w:pStyle w:val="ListParagraph"/>
        <w:numPr>
          <w:ilvl w:val="0"/>
          <w:numId w:val="10"/>
        </w:numPr>
        <w:rPr>
          <w:lang w:val="lv-LV"/>
        </w:rPr>
      </w:pPr>
      <w:r>
        <w:rPr>
          <w:lang w:val="lv-LV"/>
        </w:rPr>
        <w:t>Veidojiet prototipus un koncepcijas apliecinājumus</w:t>
      </w:r>
    </w:p>
    <w:p w14:paraId="26BC0EE4" w14:textId="5CB10FA0" w:rsidR="00AB4826" w:rsidRDefault="00AB4826" w:rsidP="00FB2E2D">
      <w:pPr>
        <w:rPr>
          <w:lang w:val="lv-LV"/>
        </w:rPr>
      </w:pPr>
      <w:r>
        <w:rPr>
          <w:lang w:val="lv-LV"/>
        </w:rPr>
        <w:t>Novērtēšanas vadlīnijas:</w:t>
      </w:r>
    </w:p>
    <w:p w14:paraId="7CD34A82" w14:textId="0E156774" w:rsidR="00E517EB" w:rsidRPr="00963C35" w:rsidRDefault="00870468" w:rsidP="00D5520A">
      <w:pPr>
        <w:pStyle w:val="ListParagraph"/>
        <w:numPr>
          <w:ilvl w:val="0"/>
          <w:numId w:val="9"/>
        </w:numPr>
        <w:rPr>
          <w:lang w:val="lv-LV"/>
        </w:rPr>
      </w:pPr>
      <w:r>
        <w:rPr>
          <w:lang w:val="lv-LV"/>
        </w:rPr>
        <w:t>VPK</w:t>
      </w:r>
      <w:r>
        <w:rPr>
          <w:lang w:val="lv-LV"/>
        </w:rPr>
        <w:t xml:space="preserve">20. </w:t>
      </w:r>
      <w:r w:rsidR="00963C35" w:rsidRPr="00963C35">
        <w:rPr>
          <w:lang w:val="lv-LV"/>
        </w:rPr>
        <w:t xml:space="preserve">Vai </w:t>
      </w:r>
      <w:proofErr w:type="spellStart"/>
      <w:r w:rsidR="00963C35" w:rsidRPr="00963C35">
        <w:rPr>
          <w:lang w:val="lv-LV"/>
        </w:rPr>
        <w:t>m</w:t>
      </w:r>
      <w:r w:rsidR="00E517EB" w:rsidRPr="00963C35">
        <w:rPr>
          <w:lang w:val="lv-LV"/>
        </w:rPr>
        <w:t>ērķarhitektūrā</w:t>
      </w:r>
      <w:proofErr w:type="spellEnd"/>
      <w:r w:rsidR="00E517EB" w:rsidRPr="00963C35">
        <w:rPr>
          <w:lang w:val="lv-LV"/>
        </w:rPr>
        <w:t xml:space="preserve"> </w:t>
      </w:r>
      <w:r w:rsidR="00963C35" w:rsidRPr="00963C35">
        <w:rPr>
          <w:lang w:val="lv-LV"/>
        </w:rPr>
        <w:t>ir identificētas</w:t>
      </w:r>
      <w:r w:rsidR="00E517EB" w:rsidRPr="00963C35">
        <w:rPr>
          <w:lang w:val="lv-LV"/>
        </w:rPr>
        <w:t xml:space="preserve"> plānotās izmaiņas normatīvajos aktos un iekšējā un ārējā vidē (piemēram, SVID analīzes formā)</w:t>
      </w:r>
      <w:r w:rsidR="00963C35" w:rsidRPr="00963C35">
        <w:rPr>
          <w:lang w:val="lv-LV"/>
        </w:rPr>
        <w:t>?</w:t>
      </w:r>
    </w:p>
    <w:p w14:paraId="6E23D1D2" w14:textId="0AED515D" w:rsidR="00963C35" w:rsidRPr="00963C35" w:rsidRDefault="00870468" w:rsidP="00D5520A">
      <w:pPr>
        <w:pStyle w:val="ListParagraph"/>
        <w:numPr>
          <w:ilvl w:val="0"/>
          <w:numId w:val="9"/>
        </w:numPr>
        <w:rPr>
          <w:lang w:val="lv-LV"/>
        </w:rPr>
      </w:pPr>
      <w:r>
        <w:rPr>
          <w:lang w:val="lv-LV"/>
        </w:rPr>
        <w:t>VPK</w:t>
      </w:r>
      <w:r>
        <w:rPr>
          <w:lang w:val="lv-LV"/>
        </w:rPr>
        <w:t xml:space="preserve">21. </w:t>
      </w:r>
      <w:r w:rsidR="00963C35" w:rsidRPr="00963C35">
        <w:rPr>
          <w:lang w:val="lv-LV"/>
        </w:rPr>
        <w:t xml:space="preserve">Vai </w:t>
      </w:r>
      <w:r w:rsidR="00AA5424">
        <w:rPr>
          <w:lang w:val="lv-LV"/>
        </w:rPr>
        <w:t xml:space="preserve">mērķa </w:t>
      </w:r>
      <w:r w:rsidR="00963C35" w:rsidRPr="00963C35">
        <w:rPr>
          <w:lang w:val="lv-LV"/>
        </w:rPr>
        <w:t>pakalpojumu un IKT risinājumu dizains nodrošina iespēju ieviest paredzamas izmaiņas bez pilnīgas pārveides?</w:t>
      </w:r>
    </w:p>
    <w:p w14:paraId="2B32D4BF" w14:textId="77777777" w:rsidR="00E84847" w:rsidRDefault="00870468" w:rsidP="00974C8E">
      <w:pPr>
        <w:pStyle w:val="ListParagraph"/>
        <w:numPr>
          <w:ilvl w:val="0"/>
          <w:numId w:val="9"/>
        </w:numPr>
        <w:rPr>
          <w:lang w:val="lv-LV"/>
        </w:rPr>
      </w:pPr>
      <w:r w:rsidRPr="00E84847">
        <w:rPr>
          <w:lang w:val="lv-LV"/>
        </w:rPr>
        <w:t>VPK</w:t>
      </w:r>
      <w:r w:rsidRPr="00E84847">
        <w:rPr>
          <w:lang w:val="lv-LV"/>
        </w:rPr>
        <w:t xml:space="preserve">22. </w:t>
      </w:r>
      <w:r w:rsidR="00E84847" w:rsidRPr="00E84847">
        <w:rPr>
          <w:lang w:val="lv-LV"/>
        </w:rPr>
        <w:t xml:space="preserve">Vai </w:t>
      </w:r>
      <w:proofErr w:type="spellStart"/>
      <w:r w:rsidR="00E84847" w:rsidRPr="00E84847">
        <w:rPr>
          <w:lang w:val="lv-LV"/>
        </w:rPr>
        <w:t>mērķarhitektūrā</w:t>
      </w:r>
      <w:proofErr w:type="spellEnd"/>
      <w:r w:rsidR="00E84847" w:rsidRPr="00E84847">
        <w:rPr>
          <w:lang w:val="lv-LV"/>
        </w:rPr>
        <w:t xml:space="preserve"> ir paredzēti konfigurējami risinājumi vai aizvietojami un paplašināmi moduļi?</w:t>
      </w:r>
    </w:p>
    <w:p w14:paraId="0F0C4227" w14:textId="20A22BBD" w:rsidR="00963C35" w:rsidRPr="00E84847" w:rsidRDefault="00870468" w:rsidP="00974C8E">
      <w:pPr>
        <w:pStyle w:val="ListParagraph"/>
        <w:numPr>
          <w:ilvl w:val="0"/>
          <w:numId w:val="9"/>
        </w:numPr>
        <w:rPr>
          <w:lang w:val="lv-LV"/>
        </w:rPr>
      </w:pPr>
      <w:r w:rsidRPr="00E84847">
        <w:rPr>
          <w:lang w:val="lv-LV"/>
        </w:rPr>
        <w:t>VPK</w:t>
      </w:r>
      <w:r w:rsidRPr="00E84847">
        <w:rPr>
          <w:lang w:val="lv-LV"/>
        </w:rPr>
        <w:t xml:space="preserve">23. </w:t>
      </w:r>
      <w:r w:rsidR="00963C35" w:rsidRPr="00E84847">
        <w:rPr>
          <w:lang w:val="lv-LV"/>
        </w:rPr>
        <w:t>Vai jomas</w:t>
      </w:r>
      <w:r w:rsidR="00C72475">
        <w:rPr>
          <w:lang w:val="lv-LV"/>
        </w:rPr>
        <w:t xml:space="preserve"> mērķa</w:t>
      </w:r>
      <w:r w:rsidR="00963C35" w:rsidRPr="00E84847">
        <w:rPr>
          <w:lang w:val="lv-LV"/>
        </w:rPr>
        <w:t xml:space="preserve"> IKT risinājumu dizains ir vienkāršots, lai koncentrētos tikai uz reāli sagaidāmiem izmaiņu scenārijiem to dzīves cikla laikā?</w:t>
      </w:r>
    </w:p>
    <w:p w14:paraId="205813C2" w14:textId="55615D17" w:rsidR="00AB4826" w:rsidRPr="00963C35" w:rsidRDefault="00870468" w:rsidP="00D5520A">
      <w:pPr>
        <w:pStyle w:val="ListParagraph"/>
        <w:numPr>
          <w:ilvl w:val="0"/>
          <w:numId w:val="9"/>
        </w:numPr>
        <w:rPr>
          <w:lang w:val="lv-LV"/>
        </w:rPr>
      </w:pPr>
      <w:r>
        <w:rPr>
          <w:lang w:val="lv-LV"/>
        </w:rPr>
        <w:t>VPK</w:t>
      </w:r>
      <w:r>
        <w:rPr>
          <w:lang w:val="lv-LV"/>
        </w:rPr>
        <w:t xml:space="preserve">24. </w:t>
      </w:r>
      <w:r w:rsidR="00963C35" w:rsidRPr="00963C35">
        <w:rPr>
          <w:lang w:val="lv-LV"/>
        </w:rPr>
        <w:t>Vai</w:t>
      </w:r>
      <w:r w:rsidR="00AB4826" w:rsidRPr="00963C35">
        <w:rPr>
          <w:lang w:val="lv-LV"/>
        </w:rPr>
        <w:t xml:space="preserve"> </w:t>
      </w:r>
      <w:proofErr w:type="spellStart"/>
      <w:r w:rsidR="00AB4826" w:rsidRPr="00963C35">
        <w:rPr>
          <w:lang w:val="lv-LV"/>
        </w:rPr>
        <w:t>mērķarhitektūras</w:t>
      </w:r>
      <w:proofErr w:type="spellEnd"/>
      <w:r w:rsidR="00AB4826" w:rsidRPr="00963C35">
        <w:rPr>
          <w:lang w:val="lv-LV"/>
        </w:rPr>
        <w:t xml:space="preserve"> ieviešanā</w:t>
      </w:r>
      <w:r w:rsidR="00963C35" w:rsidRPr="00963C35">
        <w:rPr>
          <w:lang w:val="lv-LV"/>
        </w:rPr>
        <w:t xml:space="preserve"> ir paredzēts</w:t>
      </w:r>
      <w:r w:rsidR="00AB4826" w:rsidRPr="00963C35">
        <w:rPr>
          <w:lang w:val="lv-LV"/>
        </w:rPr>
        <w:t xml:space="preserve"> veidot prototipus vai koncepcijas apliecinājumus </w:t>
      </w:r>
      <w:r w:rsidR="00AB4826" w:rsidRPr="00963C35">
        <w:rPr>
          <w:i/>
          <w:iCs/>
          <w:lang w:val="lv-LV" w:bidi="lv-LV"/>
        </w:rPr>
        <w:t xml:space="preserve">(no angļu val. – </w:t>
      </w:r>
      <w:proofErr w:type="spellStart"/>
      <w:r w:rsidR="00AB4826" w:rsidRPr="00963C35">
        <w:rPr>
          <w:i/>
          <w:iCs/>
          <w:lang w:val="lv-LV" w:bidi="lv-LV"/>
        </w:rPr>
        <w:t>proof</w:t>
      </w:r>
      <w:proofErr w:type="spellEnd"/>
      <w:r w:rsidR="00AB4826" w:rsidRPr="00963C35">
        <w:rPr>
          <w:i/>
          <w:iCs/>
          <w:lang w:val="lv-LV" w:bidi="lv-LV"/>
        </w:rPr>
        <w:t xml:space="preserve"> </w:t>
      </w:r>
      <w:proofErr w:type="spellStart"/>
      <w:r w:rsidR="00AB4826" w:rsidRPr="00963C35">
        <w:rPr>
          <w:i/>
          <w:iCs/>
          <w:lang w:val="lv-LV" w:bidi="lv-LV"/>
        </w:rPr>
        <w:t>of</w:t>
      </w:r>
      <w:proofErr w:type="spellEnd"/>
      <w:r w:rsidR="00AB4826" w:rsidRPr="00963C35">
        <w:rPr>
          <w:i/>
          <w:iCs/>
          <w:lang w:val="lv-LV" w:bidi="lv-LV"/>
        </w:rPr>
        <w:t xml:space="preserve"> concept)</w:t>
      </w:r>
      <w:r w:rsidR="00963C35" w:rsidRPr="00963C35">
        <w:rPr>
          <w:i/>
          <w:iCs/>
          <w:lang w:val="lv-LV" w:bidi="lv-LV"/>
        </w:rPr>
        <w:t>?</w:t>
      </w:r>
    </w:p>
    <w:p w14:paraId="151F087D" w14:textId="4F804D13" w:rsidR="003E79B7" w:rsidRDefault="003E79B7" w:rsidP="00E43D18">
      <w:pPr>
        <w:pStyle w:val="Heading2"/>
        <w:rPr>
          <w:noProof/>
          <w:lang w:val="lv-LV"/>
        </w:rPr>
      </w:pPr>
      <w:r>
        <w:rPr>
          <w:lang w:val="lv-LV"/>
        </w:rPr>
        <w:lastRenderedPageBreak/>
        <w:t>P</w:t>
      </w:r>
      <w:r w:rsidR="001B7BB2">
        <w:rPr>
          <w:lang w:val="lv-LV"/>
        </w:rPr>
        <w:t>6</w:t>
      </w:r>
      <w:r>
        <w:rPr>
          <w:lang w:val="lv-LV"/>
        </w:rPr>
        <w:t xml:space="preserve">. </w:t>
      </w:r>
      <w:r w:rsidRPr="00E2406D">
        <w:rPr>
          <w:noProof/>
          <w:lang w:val="lv-LV"/>
        </w:rPr>
        <mc:AlternateContent>
          <mc:Choice Requires="wps">
            <w:drawing>
              <wp:anchor distT="0" distB="0" distL="114300" distR="114300" simplePos="0" relativeHeight="251658248" behindDoc="0" locked="0" layoutInCell="1" allowOverlap="1" wp14:anchorId="6E5DB39B" wp14:editId="1BC024D1">
                <wp:simplePos x="0" y="0"/>
                <wp:positionH relativeFrom="column">
                  <wp:posOffset>0</wp:posOffset>
                </wp:positionH>
                <wp:positionV relativeFrom="paragraph">
                  <wp:posOffset>316865</wp:posOffset>
                </wp:positionV>
                <wp:extent cx="1828800" cy="1828800"/>
                <wp:effectExtent l="0" t="0" r="8890" b="10795"/>
                <wp:wrapTopAndBottom/>
                <wp:docPr id="208898793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CCB4FF" w14:textId="7D4A6F7D" w:rsidR="00B56B15" w:rsidRDefault="004519A7" w:rsidP="00B56B15">
                            <w:pPr>
                              <w:ind w:left="851"/>
                              <w:jc w:val="both"/>
                              <w:rPr>
                                <w:lang w:val="lv-LV" w:bidi="lv-LV"/>
                              </w:rPr>
                            </w:pPr>
                            <w:r>
                              <w:rPr>
                                <w:lang w:val="lv-LV" w:bidi="lv-LV"/>
                              </w:rPr>
                              <w:t xml:space="preserve">Publiskos pakalpojumus nepieciešams veidot, ņemot vērā klienta dzīves situāciju kontekstu. Jānodrošina </w:t>
                            </w:r>
                            <w:proofErr w:type="spellStart"/>
                            <w:r>
                              <w:rPr>
                                <w:lang w:val="lv-LV" w:bidi="lv-LV"/>
                              </w:rPr>
                              <w:t>starpiestāžu</w:t>
                            </w:r>
                            <w:proofErr w:type="spellEnd"/>
                            <w:r>
                              <w:rPr>
                                <w:lang w:val="lv-LV" w:bidi="lv-LV"/>
                              </w:rPr>
                              <w:t xml:space="preserve"> efektīva sadarbība pakalpojumu sniegšanā un piegādē. </w:t>
                            </w:r>
                            <w:r w:rsidR="00B56B15" w:rsidRPr="00B56B15">
                              <w:rPr>
                                <w:lang w:val="lv-LV" w:bidi="lv-LV"/>
                              </w:rPr>
                              <w:t>Savienota, savstarpēji savietojama pakalpojum</w:t>
                            </w:r>
                            <w:r w:rsidR="00B56B15">
                              <w:rPr>
                                <w:lang w:val="lv-LV" w:bidi="lv-LV"/>
                              </w:rPr>
                              <w:t>u</w:t>
                            </w:r>
                            <w:r w:rsidR="00B56B15" w:rsidRPr="00B56B15">
                              <w:rPr>
                                <w:lang w:val="lv-LV" w:bidi="lv-LV"/>
                              </w:rPr>
                              <w:t xml:space="preserve"> projektēšana un izveide nodrošina lietotājiem vienkāršu, vienotu pieredzi un ļauj valdībai darboties kā vienotam veselumam.</w:t>
                            </w:r>
                          </w:p>
                          <w:p w14:paraId="650B7ACD" w14:textId="6C7FBFCB" w:rsidR="00960BA3" w:rsidRPr="00D2303B" w:rsidRDefault="00D2303B" w:rsidP="003E79B7">
                            <w:pPr>
                              <w:ind w:left="851"/>
                              <w:jc w:val="both"/>
                              <w:rPr>
                                <w:lang w:val="lv-LV" w:bidi="lv-LV"/>
                              </w:rPr>
                            </w:pPr>
                            <w:r w:rsidRPr="00D2303B">
                              <w:rPr>
                                <w:lang w:val="lv-LV" w:bidi="lv-LV"/>
                              </w:rPr>
                              <w:t>Publiskajiem pakalpojumiem</w:t>
                            </w:r>
                            <w:r w:rsidR="00601D05">
                              <w:rPr>
                                <w:lang w:val="lv-LV" w:bidi="lv-LV"/>
                              </w:rPr>
                              <w:t xml:space="preserve"> un IKT risinājumiem</w:t>
                            </w:r>
                            <w:r w:rsidRPr="00D2303B">
                              <w:rPr>
                                <w:lang w:val="lv-LV" w:bidi="lv-LV"/>
                              </w:rPr>
                              <w:t xml:space="preserve"> jābūt izstrādātiem, balstoties uz Eiropas </w:t>
                            </w:r>
                            <w:proofErr w:type="spellStart"/>
                            <w:r w:rsidRPr="00D2303B">
                              <w:rPr>
                                <w:lang w:val="lv-LV" w:bidi="lv-LV"/>
                              </w:rPr>
                              <w:t>sadarbspējas</w:t>
                            </w:r>
                            <w:proofErr w:type="spellEnd"/>
                            <w:r w:rsidRPr="00D2303B">
                              <w:rPr>
                                <w:lang w:val="lv-LV" w:bidi="lv-LV"/>
                              </w:rPr>
                              <w:t xml:space="preserve"> satvariem un nozaru </w:t>
                            </w:r>
                            <w:proofErr w:type="spellStart"/>
                            <w:r w:rsidRPr="00D2303B">
                              <w:rPr>
                                <w:lang w:val="lv-LV" w:bidi="lv-LV"/>
                              </w:rPr>
                              <w:t>sadarbspējas</w:t>
                            </w:r>
                            <w:proofErr w:type="spellEnd"/>
                            <w:r w:rsidRPr="00D2303B">
                              <w:rPr>
                                <w:lang w:val="lv-LV" w:bidi="lv-LV"/>
                              </w:rPr>
                              <w:t xml:space="preserve"> prasībām, lai veicinātu vienotu Eiropas digitālo tirgu un starpvalstu sadarbību. Elektroniskajiem pakalpojumiem jābūt pieejamiem Eiropas Savienības iedzīvotājiem un uzņēmumiem, </w:t>
                            </w:r>
                            <w:r w:rsidR="00D87428">
                              <w:rPr>
                                <w:lang w:val="lv-LV" w:bidi="lv-LV"/>
                              </w:rPr>
                              <w:t xml:space="preserve">nodrošinot </w:t>
                            </w:r>
                            <w:r w:rsidR="005D1342">
                              <w:rPr>
                                <w:lang w:val="lv-LV" w:bidi="lv-LV"/>
                              </w:rPr>
                              <w:t>tos</w:t>
                            </w:r>
                            <w:r w:rsidR="00D87428">
                              <w:rPr>
                                <w:lang w:val="lv-LV" w:bidi="lv-LV"/>
                              </w:rPr>
                              <w:t xml:space="preserve"> Eiropā plaši izmantotā valodā.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5DB39B" id="_x0000_s1031" type="#_x0000_t202" style="position:absolute;margin-left:0;margin-top:24.95pt;width:2in;height:2in;z-index:251658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CLFbZQWwIAAAwFAAAOAAAAAAAAAAAAAAAAAC4CAABkcnMvZTJvRG9jLnhtbFBL&#10;AQItABQABgAIAAAAIQDu75ah2wAAAAcBAAAPAAAAAAAAAAAAAAAAALUEAABkcnMvZG93bnJldi54&#10;bWxQSwUGAAAAAAQABADzAAAAvQUAAAAA&#10;" fillcolor="white [3201]" strokecolor="#196b24 [3206]" strokeweight="1pt">
                <v:textbox style="mso-fit-shape-to-text:t">
                  <w:txbxContent>
                    <w:p w14:paraId="63CCB4FF" w14:textId="7D4A6F7D" w:rsidR="00B56B15" w:rsidRDefault="004519A7" w:rsidP="00B56B15">
                      <w:pPr>
                        <w:ind w:left="851"/>
                        <w:jc w:val="both"/>
                        <w:rPr>
                          <w:lang w:val="lv-LV" w:bidi="lv-LV"/>
                        </w:rPr>
                      </w:pPr>
                      <w:r>
                        <w:rPr>
                          <w:lang w:val="lv-LV" w:bidi="lv-LV"/>
                        </w:rPr>
                        <w:t xml:space="preserve">Publiskos pakalpojumus nepieciešams veidot, ņemot vērā klienta dzīves situāciju kontekstu. Jānodrošina </w:t>
                      </w:r>
                      <w:proofErr w:type="spellStart"/>
                      <w:r>
                        <w:rPr>
                          <w:lang w:val="lv-LV" w:bidi="lv-LV"/>
                        </w:rPr>
                        <w:t>starpiestāžu</w:t>
                      </w:r>
                      <w:proofErr w:type="spellEnd"/>
                      <w:r>
                        <w:rPr>
                          <w:lang w:val="lv-LV" w:bidi="lv-LV"/>
                        </w:rPr>
                        <w:t xml:space="preserve"> efektīva sadarbība pakalpojumu sniegšanā un piegādē. </w:t>
                      </w:r>
                      <w:r w:rsidR="00B56B15" w:rsidRPr="00B56B15">
                        <w:rPr>
                          <w:lang w:val="lv-LV" w:bidi="lv-LV"/>
                        </w:rPr>
                        <w:t>Savienota, savstarpēji savietojama pakalpojum</w:t>
                      </w:r>
                      <w:r w:rsidR="00B56B15">
                        <w:rPr>
                          <w:lang w:val="lv-LV" w:bidi="lv-LV"/>
                        </w:rPr>
                        <w:t>u</w:t>
                      </w:r>
                      <w:r w:rsidR="00B56B15" w:rsidRPr="00B56B15">
                        <w:rPr>
                          <w:lang w:val="lv-LV" w:bidi="lv-LV"/>
                        </w:rPr>
                        <w:t xml:space="preserve"> projektēšana un izveide nodrošina lietotājiem vienkāršu, vienotu pieredzi un ļauj valdībai darboties kā vienotam veselumam.</w:t>
                      </w:r>
                    </w:p>
                    <w:p w14:paraId="650B7ACD" w14:textId="6C7FBFCB" w:rsidR="00960BA3" w:rsidRPr="00D2303B" w:rsidRDefault="00D2303B" w:rsidP="003E79B7">
                      <w:pPr>
                        <w:ind w:left="851"/>
                        <w:jc w:val="both"/>
                        <w:rPr>
                          <w:lang w:val="lv-LV" w:bidi="lv-LV"/>
                        </w:rPr>
                      </w:pPr>
                      <w:r w:rsidRPr="00D2303B">
                        <w:rPr>
                          <w:lang w:val="lv-LV" w:bidi="lv-LV"/>
                        </w:rPr>
                        <w:t>Publiskajiem pakalpojumiem</w:t>
                      </w:r>
                      <w:r w:rsidR="00601D05">
                        <w:rPr>
                          <w:lang w:val="lv-LV" w:bidi="lv-LV"/>
                        </w:rPr>
                        <w:t xml:space="preserve"> un IKT risinājumiem</w:t>
                      </w:r>
                      <w:r w:rsidRPr="00D2303B">
                        <w:rPr>
                          <w:lang w:val="lv-LV" w:bidi="lv-LV"/>
                        </w:rPr>
                        <w:t xml:space="preserve"> jābūt izstrādātiem, balstoties uz Eiropas </w:t>
                      </w:r>
                      <w:proofErr w:type="spellStart"/>
                      <w:r w:rsidRPr="00D2303B">
                        <w:rPr>
                          <w:lang w:val="lv-LV" w:bidi="lv-LV"/>
                        </w:rPr>
                        <w:t>sadarbspējas</w:t>
                      </w:r>
                      <w:proofErr w:type="spellEnd"/>
                      <w:r w:rsidRPr="00D2303B">
                        <w:rPr>
                          <w:lang w:val="lv-LV" w:bidi="lv-LV"/>
                        </w:rPr>
                        <w:t xml:space="preserve"> satvariem un nozaru </w:t>
                      </w:r>
                      <w:proofErr w:type="spellStart"/>
                      <w:r w:rsidRPr="00D2303B">
                        <w:rPr>
                          <w:lang w:val="lv-LV" w:bidi="lv-LV"/>
                        </w:rPr>
                        <w:t>sadarbspējas</w:t>
                      </w:r>
                      <w:proofErr w:type="spellEnd"/>
                      <w:r w:rsidRPr="00D2303B">
                        <w:rPr>
                          <w:lang w:val="lv-LV" w:bidi="lv-LV"/>
                        </w:rPr>
                        <w:t xml:space="preserve"> prasībām, lai veicinātu vienotu Eiropas digitālo tirgu un starpvalstu sadarbību. Elektroniskajiem pakalpojumiem jābūt pieejamiem Eiropas Savienības iedzīvotājiem un uzņēmumiem, </w:t>
                      </w:r>
                      <w:r w:rsidR="00D87428">
                        <w:rPr>
                          <w:lang w:val="lv-LV" w:bidi="lv-LV"/>
                        </w:rPr>
                        <w:t xml:space="preserve">nodrošinot </w:t>
                      </w:r>
                      <w:r w:rsidR="005D1342">
                        <w:rPr>
                          <w:lang w:val="lv-LV" w:bidi="lv-LV"/>
                        </w:rPr>
                        <w:t>tos</w:t>
                      </w:r>
                      <w:r w:rsidR="00D87428">
                        <w:rPr>
                          <w:lang w:val="lv-LV" w:bidi="lv-LV"/>
                        </w:rPr>
                        <w:t xml:space="preserve"> Eiropā plaši izmantotā valodā.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49" behindDoc="0" locked="0" layoutInCell="1" allowOverlap="1" wp14:anchorId="355121CB" wp14:editId="048A479C">
            <wp:simplePos x="0" y="0"/>
            <wp:positionH relativeFrom="margin">
              <wp:posOffset>88900</wp:posOffset>
            </wp:positionH>
            <wp:positionV relativeFrom="paragraph">
              <wp:posOffset>450850</wp:posOffset>
            </wp:positionV>
            <wp:extent cx="427990" cy="427990"/>
            <wp:effectExtent l="0" t="0" r="0" b="0"/>
            <wp:wrapSquare wrapText="bothSides"/>
            <wp:docPr id="2083660996"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080CC6">
        <w:rPr>
          <w:lang w:val="lv-LV"/>
        </w:rPr>
        <w:t xml:space="preserve">Sadarbība </w:t>
      </w:r>
      <w:r w:rsidR="00080CC6">
        <w:rPr>
          <w:noProof/>
          <w:lang w:val="lv-LV"/>
        </w:rPr>
        <w:t>b</w:t>
      </w:r>
      <w:r w:rsidR="00B34AE1">
        <w:rPr>
          <w:noProof/>
          <w:lang w:val="lv-LV"/>
        </w:rPr>
        <w:t>ez robežām</w:t>
      </w:r>
    </w:p>
    <w:p w14:paraId="5B86CBB1" w14:textId="77777777" w:rsidR="00B34AE1" w:rsidRDefault="00B34AE1" w:rsidP="00B34AE1">
      <w:pPr>
        <w:rPr>
          <w:lang w:val="lv-LV"/>
        </w:rPr>
      </w:pPr>
    </w:p>
    <w:p w14:paraId="70FC4FF1" w14:textId="77777777" w:rsidR="00F06E6B" w:rsidRPr="00AE17B5" w:rsidRDefault="00F06E6B" w:rsidP="00F06E6B">
      <w:pPr>
        <w:rPr>
          <w:lang w:val="lv-LV"/>
        </w:rPr>
      </w:pPr>
      <w:r w:rsidRPr="00AE17B5">
        <w:rPr>
          <w:lang w:val="lv-LV"/>
        </w:rPr>
        <w:t>Piemērošanas vadlīnijas:</w:t>
      </w:r>
    </w:p>
    <w:p w14:paraId="24BADCC2" w14:textId="7E7A3FF1" w:rsidR="00775E42" w:rsidRPr="00AE17B5" w:rsidRDefault="00D210CA" w:rsidP="00D5520A">
      <w:pPr>
        <w:pStyle w:val="ListParagraph"/>
        <w:numPr>
          <w:ilvl w:val="0"/>
          <w:numId w:val="11"/>
        </w:numPr>
        <w:jc w:val="both"/>
        <w:rPr>
          <w:lang w:val="lv-LV"/>
        </w:rPr>
      </w:pPr>
      <w:r w:rsidRPr="00AE17B5">
        <w:rPr>
          <w:lang w:val="lv-LV"/>
        </w:rPr>
        <w:t>Orientēj</w:t>
      </w:r>
      <w:r w:rsidR="00641027" w:rsidRPr="00AE17B5">
        <w:rPr>
          <w:lang w:val="lv-LV"/>
        </w:rPr>
        <w:t>ieties</w:t>
      </w:r>
      <w:r w:rsidRPr="00AE17B5">
        <w:rPr>
          <w:lang w:val="lv-LV"/>
        </w:rPr>
        <w:t xml:space="preserve"> uz dzīves situācijām. Izstrādājiet pakalpojumus, ņemot vērā lietotāju dzīves apstākļus, piemēram, dzimšanas reģistrāciju vai vārda maiņu, nevis piespiediet lietotājus pielāgoties valsts pārvaldes organizācijai. Skaidri aprakstiet paredzamos vai iespējamos nākamos soļus, lai veicinātu vienotu pieredzi, un izpētiet sasaisti ar citām iestādēm, lai samazinātu datu ievades slogu lietotājiem.</w:t>
      </w:r>
    </w:p>
    <w:p w14:paraId="6F1A22A9" w14:textId="10ABAA8F" w:rsidR="00844C7E" w:rsidRPr="00AE17B5" w:rsidRDefault="00775E42" w:rsidP="00D5520A">
      <w:pPr>
        <w:pStyle w:val="ListParagraph"/>
        <w:numPr>
          <w:ilvl w:val="0"/>
          <w:numId w:val="11"/>
        </w:numPr>
        <w:jc w:val="both"/>
        <w:rPr>
          <w:lang w:val="lv-LV"/>
        </w:rPr>
      </w:pPr>
      <w:r w:rsidRPr="00AE17B5">
        <w:rPr>
          <w:lang w:val="lv-LV"/>
        </w:rPr>
        <w:t xml:space="preserve">Novērtējiet pakalpojumu atbilstību Eiropas publisko pakalpojumu kritērijiem. Veiciet Eiropas publisko pakalpojumu attīstību saskaņā ar Eiropas </w:t>
      </w:r>
      <w:proofErr w:type="spellStart"/>
      <w:r w:rsidRPr="00AE17B5">
        <w:rPr>
          <w:lang w:val="lv-LV"/>
        </w:rPr>
        <w:t>sadarbspējas</w:t>
      </w:r>
      <w:proofErr w:type="spellEnd"/>
      <w:r w:rsidRPr="00AE17B5">
        <w:rPr>
          <w:lang w:val="lv-LV"/>
        </w:rPr>
        <w:t xml:space="preserve"> satvara īstenošanas stratēģijas pamatprincipiem un ieteikumiem.</w:t>
      </w:r>
    </w:p>
    <w:p w14:paraId="31252CCF" w14:textId="3E8D19D7" w:rsidR="008B28FE" w:rsidRPr="00AE17B5" w:rsidRDefault="008B28FE" w:rsidP="00D5520A">
      <w:pPr>
        <w:pStyle w:val="ListParagraph"/>
        <w:numPr>
          <w:ilvl w:val="0"/>
          <w:numId w:val="11"/>
        </w:numPr>
        <w:jc w:val="both"/>
        <w:rPr>
          <w:lang w:val="lv-LV"/>
        </w:rPr>
      </w:pPr>
      <w:r w:rsidRPr="00AE17B5">
        <w:rPr>
          <w:lang w:val="lv-LV"/>
        </w:rPr>
        <w:t xml:space="preserve">Ievērojiet un pildiet saistošās nozares vai darbības jomas </w:t>
      </w:r>
      <w:proofErr w:type="spellStart"/>
      <w:r w:rsidRPr="00AE17B5">
        <w:rPr>
          <w:lang w:val="lv-LV"/>
        </w:rPr>
        <w:t>sadarbspējas</w:t>
      </w:r>
      <w:proofErr w:type="spellEnd"/>
      <w:r w:rsidRPr="00AE17B5">
        <w:rPr>
          <w:lang w:val="lv-LV"/>
        </w:rPr>
        <w:t xml:space="preserve"> vienošanās, atbilstoši kurām attīsta un uztur IKT risinājumus un IKT pakalpojumus.</w:t>
      </w:r>
    </w:p>
    <w:p w14:paraId="0CCD5DD3" w14:textId="14D82A30" w:rsidR="00BE0BC5" w:rsidRPr="00AE17B5" w:rsidRDefault="00844C7E" w:rsidP="00D5520A">
      <w:pPr>
        <w:pStyle w:val="ListParagraph"/>
        <w:numPr>
          <w:ilvl w:val="0"/>
          <w:numId w:val="11"/>
        </w:numPr>
        <w:jc w:val="both"/>
        <w:rPr>
          <w:lang w:val="lv-LV"/>
        </w:rPr>
      </w:pPr>
      <w:r w:rsidRPr="00AE17B5">
        <w:rPr>
          <w:lang w:val="lv-LV"/>
        </w:rPr>
        <w:t xml:space="preserve">Nodrošiniet e-pakalpojumu pieejamību Eiropā plaši izmantotā valodā, Pieņemt lēmumu par daudzvalodības atbalsta apjomu, pamatojoties uz konkrētā risinājuma lietotāju vajadzībām. </w:t>
      </w:r>
    </w:p>
    <w:p w14:paraId="4D956717" w14:textId="77777777" w:rsidR="00BE0BC5" w:rsidRPr="00AE17B5" w:rsidRDefault="00BE0BC5" w:rsidP="00BE0BC5">
      <w:pPr>
        <w:rPr>
          <w:lang w:val="lv-LV"/>
        </w:rPr>
      </w:pPr>
      <w:r w:rsidRPr="00AE17B5">
        <w:rPr>
          <w:lang w:val="lv-LV"/>
        </w:rPr>
        <w:t>Novērtēšanas vadlīnijas:</w:t>
      </w:r>
    </w:p>
    <w:p w14:paraId="55B3DF19" w14:textId="75825745" w:rsidR="00641027" w:rsidRPr="00AE17B5" w:rsidRDefault="00870468" w:rsidP="00D5520A">
      <w:pPr>
        <w:pStyle w:val="ListParagraph"/>
        <w:numPr>
          <w:ilvl w:val="0"/>
          <w:numId w:val="12"/>
        </w:numPr>
        <w:rPr>
          <w:lang w:val="lv-LV"/>
        </w:rPr>
      </w:pPr>
      <w:r>
        <w:rPr>
          <w:lang w:val="lv-LV"/>
        </w:rPr>
        <w:t>VPK</w:t>
      </w:r>
      <w:r>
        <w:rPr>
          <w:lang w:val="lv-LV"/>
        </w:rPr>
        <w:t xml:space="preserve">25. </w:t>
      </w:r>
      <w:r w:rsidR="00641027" w:rsidRPr="00AE17B5">
        <w:rPr>
          <w:lang w:val="lv-LV"/>
        </w:rPr>
        <w:t xml:space="preserve">Vai </w:t>
      </w:r>
      <w:proofErr w:type="spellStart"/>
      <w:r w:rsidR="00641027" w:rsidRPr="00AE17B5">
        <w:rPr>
          <w:lang w:val="lv-LV"/>
        </w:rPr>
        <w:t>mērķarhitektūrā</w:t>
      </w:r>
      <w:proofErr w:type="spellEnd"/>
      <w:r w:rsidR="00641027" w:rsidRPr="00AE17B5">
        <w:rPr>
          <w:lang w:val="lv-LV"/>
        </w:rPr>
        <w:t xml:space="preserve"> iekļautie pakalpojumi ir projektēti, ņemot vērā lietotāju dzīves situācijas?</w:t>
      </w:r>
    </w:p>
    <w:p w14:paraId="1FEB4627" w14:textId="7A3F7DAB" w:rsidR="00157074" w:rsidRPr="00AE17B5" w:rsidRDefault="00870468" w:rsidP="00D5520A">
      <w:pPr>
        <w:pStyle w:val="ListParagraph"/>
        <w:numPr>
          <w:ilvl w:val="0"/>
          <w:numId w:val="12"/>
        </w:numPr>
        <w:rPr>
          <w:lang w:val="lv-LV"/>
        </w:rPr>
      </w:pPr>
      <w:r>
        <w:rPr>
          <w:lang w:val="lv-LV"/>
        </w:rPr>
        <w:t>VPK</w:t>
      </w:r>
      <w:r>
        <w:rPr>
          <w:lang w:val="lv-LV"/>
        </w:rPr>
        <w:t>2</w:t>
      </w:r>
      <w:r w:rsidR="00FE6424">
        <w:rPr>
          <w:lang w:val="lv-LV"/>
        </w:rPr>
        <w:t>6</w:t>
      </w:r>
      <w:r>
        <w:rPr>
          <w:lang w:val="lv-LV"/>
        </w:rPr>
        <w:t xml:space="preserve">. </w:t>
      </w:r>
      <w:r w:rsidR="00157074" w:rsidRPr="00AE17B5">
        <w:rPr>
          <w:lang w:val="lv-LV"/>
        </w:rPr>
        <w:t>Vai jomas e-pakalpojumus paredzēts nodrošināt Eiropā plaši izmantotā valodā?</w:t>
      </w:r>
    </w:p>
    <w:p w14:paraId="47095F2F" w14:textId="77777777" w:rsidR="00BE0BC5" w:rsidRPr="00BE0BC5" w:rsidRDefault="00BE0BC5" w:rsidP="00BE0BC5">
      <w:pPr>
        <w:jc w:val="both"/>
        <w:rPr>
          <w:lang w:val="lv-LV"/>
        </w:rPr>
      </w:pPr>
    </w:p>
    <w:p w14:paraId="3F60BD6F" w14:textId="5CAD6062" w:rsidR="00D2303B" w:rsidRPr="00E40818" w:rsidRDefault="00D2303B" w:rsidP="00E43D18">
      <w:pPr>
        <w:pStyle w:val="Heading2"/>
        <w:rPr>
          <w:rStyle w:val="Heading4Char"/>
          <w:i w:val="0"/>
          <w:iCs w:val="0"/>
          <w:lang w:val="lv-LV"/>
        </w:rPr>
      </w:pPr>
      <w:r>
        <w:rPr>
          <w:lang w:val="lv-LV"/>
        </w:rPr>
        <w:lastRenderedPageBreak/>
        <w:t>P</w:t>
      </w:r>
      <w:r w:rsidR="001B7BB2">
        <w:rPr>
          <w:lang w:val="lv-LV"/>
        </w:rPr>
        <w:t>7</w:t>
      </w:r>
      <w:r>
        <w:rPr>
          <w:lang w:val="lv-LV"/>
        </w:rPr>
        <w:t xml:space="preserve">. </w:t>
      </w:r>
      <w:r w:rsidRPr="00E2406D">
        <w:rPr>
          <w:noProof/>
          <w:lang w:val="lv-LV"/>
        </w:rPr>
        <mc:AlternateContent>
          <mc:Choice Requires="wps">
            <w:drawing>
              <wp:anchor distT="0" distB="0" distL="114300" distR="114300" simplePos="0" relativeHeight="251658252" behindDoc="0" locked="0" layoutInCell="1" allowOverlap="1" wp14:anchorId="1754F6BC" wp14:editId="318A55C0">
                <wp:simplePos x="0" y="0"/>
                <wp:positionH relativeFrom="column">
                  <wp:posOffset>0</wp:posOffset>
                </wp:positionH>
                <wp:positionV relativeFrom="paragraph">
                  <wp:posOffset>316865</wp:posOffset>
                </wp:positionV>
                <wp:extent cx="1828800" cy="1828800"/>
                <wp:effectExtent l="0" t="0" r="8890" b="10795"/>
                <wp:wrapTopAndBottom/>
                <wp:docPr id="1988111926"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8373263" w14:textId="0D977438" w:rsidR="00D2303B" w:rsidRPr="00F925F5" w:rsidRDefault="00601D05" w:rsidP="00D2303B">
                            <w:pPr>
                              <w:ind w:left="851"/>
                              <w:jc w:val="both"/>
                              <w:rPr>
                                <w:lang w:val="lv-LV" w:bidi="lv-LV"/>
                              </w:rPr>
                            </w:pPr>
                            <w:r w:rsidRPr="00F925F5">
                              <w:rPr>
                                <w:lang w:val="lv-LV" w:bidi="lv-LV"/>
                              </w:rPr>
                              <w:t>Publiskajiem pakalpojumiem un IKT risinājumiem jābūt veidotiem tā, lai tie būtu uzticami, droši un aizsargātu lietotāju privātumu. Drošība un uzticēšanās ir pamats efektīvai valsts pārvaldei, savukārt privātuma ievērošana stiprina lietotāju pārliecību un iesaisti. Radiet risinājumus, kas respektē lietotāju datus un nodrošina, ka informācija tiek aizsargāta pret jebkādiem riskiem.</w:t>
                            </w:r>
                          </w:p>
                          <w:p w14:paraId="5BDDA78C" w14:textId="2D3F2F88" w:rsidR="00F925F5" w:rsidRDefault="00F925F5" w:rsidP="00D2303B">
                            <w:pPr>
                              <w:ind w:left="851"/>
                              <w:jc w:val="both"/>
                              <w:rPr>
                                <w:lang w:val="lv-LV"/>
                              </w:rPr>
                            </w:pPr>
                            <w:r w:rsidRPr="00F925F5">
                              <w:rPr>
                                <w:lang w:val="lv-LV"/>
                              </w:rPr>
                              <w:t xml:space="preserve">Iedzīvotājiem un uzņēmumiem jābūt pārliecinātiem par to, ka mijiedarbība ar valsts pārvaldes iestādēm notiek drošā un uzticamā vidē, kas pilnībā atbilst normatīvo aktu prasībām. Iestādēm jānodrošina iedzīvotāju privātums un iedzīvotāju un uzņēmumu sniegtās informācijas konfidencialitāte, autentiskums, integritāte un </w:t>
                            </w:r>
                            <w:proofErr w:type="spellStart"/>
                            <w:r w:rsidRPr="00F925F5">
                              <w:rPr>
                                <w:lang w:val="lv-LV"/>
                              </w:rPr>
                              <w:t>neatsaucamība</w:t>
                            </w:r>
                            <w:proofErr w:type="spellEnd"/>
                            <w:r w:rsidRPr="00F925F5">
                              <w:rPr>
                                <w:lang w:val="lv-LV"/>
                              </w:rPr>
                              <w:t>.</w:t>
                            </w:r>
                          </w:p>
                          <w:p w14:paraId="5B1A6975" w14:textId="28B69D5C" w:rsidR="00C924F5" w:rsidRPr="00F925F5" w:rsidRDefault="00C924F5" w:rsidP="00D2303B">
                            <w:pPr>
                              <w:ind w:left="851"/>
                              <w:jc w:val="both"/>
                              <w:rPr>
                                <w:lang w:val="lv-LV" w:bidi="lv-LV"/>
                              </w:rPr>
                            </w:pPr>
                            <w:r w:rsidRPr="00C924F5">
                              <w:rPr>
                                <w:lang w:val="lv-LV" w:bidi="lv-LV"/>
                              </w:rPr>
                              <w:t>Klientiem ir jājūtas droši, izmantojot jebkuru valsts pārvaldes risinājumu.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54F6BC" id="_x0000_s1032" type="#_x0000_t202" style="position:absolute;margin-left:0;margin-top:24.95pt;width:2in;height:2in;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CO/O8uWwIAAAwFAAAOAAAAAAAAAAAAAAAAAC4CAABkcnMvZTJvRG9jLnhtbFBL&#10;AQItABQABgAIAAAAIQDu75ah2wAAAAcBAAAPAAAAAAAAAAAAAAAAALUEAABkcnMvZG93bnJldi54&#10;bWxQSwUGAAAAAAQABADzAAAAvQUAAAAA&#10;" fillcolor="white [3201]" strokecolor="#196b24 [3206]" strokeweight="1pt">
                <v:textbox style="mso-fit-shape-to-text:t">
                  <w:txbxContent>
                    <w:p w14:paraId="38373263" w14:textId="0D977438" w:rsidR="00D2303B" w:rsidRPr="00F925F5" w:rsidRDefault="00601D05" w:rsidP="00D2303B">
                      <w:pPr>
                        <w:ind w:left="851"/>
                        <w:jc w:val="both"/>
                        <w:rPr>
                          <w:lang w:val="lv-LV" w:bidi="lv-LV"/>
                        </w:rPr>
                      </w:pPr>
                      <w:r w:rsidRPr="00F925F5">
                        <w:rPr>
                          <w:lang w:val="lv-LV" w:bidi="lv-LV"/>
                        </w:rPr>
                        <w:t>Publiskajiem pakalpojumiem un IKT risinājumiem jābūt veidotiem tā, lai tie būtu uzticami, droši un aizsargātu lietotāju privātumu. Drošība un uzticēšanās ir pamats efektīvai valsts pārvaldei, savukārt privātuma ievērošana stiprina lietotāju pārliecību un iesaisti. Radiet risinājumus, kas respektē lietotāju datus un nodrošina, ka informācija tiek aizsargāta pret jebkādiem riskiem.</w:t>
                      </w:r>
                    </w:p>
                    <w:p w14:paraId="5BDDA78C" w14:textId="2D3F2F88" w:rsidR="00F925F5" w:rsidRDefault="00F925F5" w:rsidP="00D2303B">
                      <w:pPr>
                        <w:ind w:left="851"/>
                        <w:jc w:val="both"/>
                        <w:rPr>
                          <w:lang w:val="lv-LV"/>
                        </w:rPr>
                      </w:pPr>
                      <w:r w:rsidRPr="00F925F5">
                        <w:rPr>
                          <w:lang w:val="lv-LV"/>
                        </w:rPr>
                        <w:t xml:space="preserve">Iedzīvotājiem un uzņēmumiem jābūt pārliecinātiem par to, ka mijiedarbība ar valsts pārvaldes iestādēm notiek drošā un uzticamā vidē, kas pilnībā atbilst normatīvo aktu prasībām. Iestādēm jānodrošina iedzīvotāju privātums un iedzīvotāju un uzņēmumu sniegtās informācijas konfidencialitāte, autentiskums, integritāte un </w:t>
                      </w:r>
                      <w:proofErr w:type="spellStart"/>
                      <w:r w:rsidRPr="00F925F5">
                        <w:rPr>
                          <w:lang w:val="lv-LV"/>
                        </w:rPr>
                        <w:t>neatsaucamība</w:t>
                      </w:r>
                      <w:proofErr w:type="spellEnd"/>
                      <w:r w:rsidRPr="00F925F5">
                        <w:rPr>
                          <w:lang w:val="lv-LV"/>
                        </w:rPr>
                        <w:t>.</w:t>
                      </w:r>
                    </w:p>
                    <w:p w14:paraId="5B1A6975" w14:textId="28B69D5C" w:rsidR="00C924F5" w:rsidRPr="00F925F5" w:rsidRDefault="00C924F5" w:rsidP="00D2303B">
                      <w:pPr>
                        <w:ind w:left="851"/>
                        <w:jc w:val="both"/>
                        <w:rPr>
                          <w:lang w:val="lv-LV" w:bidi="lv-LV"/>
                        </w:rPr>
                      </w:pPr>
                      <w:r w:rsidRPr="00C924F5">
                        <w:rPr>
                          <w:lang w:val="lv-LV" w:bidi="lv-LV"/>
                        </w:rPr>
                        <w:t>Klientiem ir jājūtas droši, izmantojot jebkuru valsts pārvaldes risinājumu.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53" behindDoc="0" locked="0" layoutInCell="1" allowOverlap="1" wp14:anchorId="23087D38" wp14:editId="17B8985A">
            <wp:simplePos x="0" y="0"/>
            <wp:positionH relativeFrom="margin">
              <wp:posOffset>88900</wp:posOffset>
            </wp:positionH>
            <wp:positionV relativeFrom="paragraph">
              <wp:posOffset>450850</wp:posOffset>
            </wp:positionV>
            <wp:extent cx="427990" cy="427990"/>
            <wp:effectExtent l="0" t="0" r="0" b="0"/>
            <wp:wrapSquare wrapText="bothSides"/>
            <wp:docPr id="613814039"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Pr>
          <w:noProof/>
          <w:lang w:val="lv-LV"/>
        </w:rPr>
        <w:t>Uzticamība, drošība un privātums pēc noklusējuma</w:t>
      </w:r>
    </w:p>
    <w:p w14:paraId="7D501FD7" w14:textId="77777777" w:rsidR="00D2303B" w:rsidRDefault="00D2303B" w:rsidP="00D2303B">
      <w:pPr>
        <w:rPr>
          <w:lang w:val="lv-LV"/>
        </w:rPr>
      </w:pPr>
    </w:p>
    <w:p w14:paraId="402B2F06" w14:textId="77777777" w:rsidR="00BA7BA7" w:rsidRPr="00AE17B5" w:rsidRDefault="00BA7BA7" w:rsidP="00BA7BA7">
      <w:pPr>
        <w:rPr>
          <w:lang w:val="lv-LV"/>
        </w:rPr>
      </w:pPr>
      <w:r w:rsidRPr="00AE17B5">
        <w:rPr>
          <w:lang w:val="lv-LV"/>
        </w:rPr>
        <w:t>Piemērošanas vadlīnijas:</w:t>
      </w:r>
    </w:p>
    <w:p w14:paraId="72FF656C" w14:textId="423BB221" w:rsidR="00161793" w:rsidRPr="00161793" w:rsidRDefault="00161793" w:rsidP="00D5520A">
      <w:pPr>
        <w:pStyle w:val="ListParagraph"/>
        <w:numPr>
          <w:ilvl w:val="0"/>
          <w:numId w:val="11"/>
        </w:numPr>
        <w:jc w:val="both"/>
        <w:rPr>
          <w:lang w:val="lv-LV"/>
        </w:rPr>
      </w:pPr>
      <w:r w:rsidRPr="00161793">
        <w:rPr>
          <w:lang w:val="lv-LV"/>
        </w:rPr>
        <w:t xml:space="preserve">Veiciet </w:t>
      </w:r>
      <w:r>
        <w:rPr>
          <w:lang w:val="lv-LV"/>
        </w:rPr>
        <w:t xml:space="preserve">drošības </w:t>
      </w:r>
      <w:r w:rsidRPr="00161793">
        <w:rPr>
          <w:lang w:val="lv-LV"/>
        </w:rPr>
        <w:t>draudu modelēšanu pakalpojuma</w:t>
      </w:r>
      <w:r>
        <w:rPr>
          <w:lang w:val="lv-LV"/>
        </w:rPr>
        <w:t xml:space="preserve"> vai IKT risinājuma</w:t>
      </w:r>
      <w:r w:rsidRPr="00161793">
        <w:rPr>
          <w:lang w:val="lv-LV"/>
        </w:rPr>
        <w:t xml:space="preserve"> dzīves cikla sākumā un pārskatiet to</w:t>
      </w:r>
      <w:r>
        <w:rPr>
          <w:lang w:val="lv-LV"/>
        </w:rPr>
        <w:t xml:space="preserve"> attīstības gaitā. </w:t>
      </w:r>
    </w:p>
    <w:p w14:paraId="4AE2D532" w14:textId="1526D6C5" w:rsidR="00161793" w:rsidRPr="00161793" w:rsidRDefault="00161793" w:rsidP="00D5520A">
      <w:pPr>
        <w:pStyle w:val="ListParagraph"/>
        <w:numPr>
          <w:ilvl w:val="0"/>
          <w:numId w:val="11"/>
        </w:numPr>
        <w:jc w:val="both"/>
        <w:rPr>
          <w:lang w:val="lv-LV"/>
        </w:rPr>
      </w:pPr>
      <w:r w:rsidRPr="00161793">
        <w:rPr>
          <w:lang w:val="lv-LV"/>
        </w:rPr>
        <w:t xml:space="preserve">Piemērojiet </w:t>
      </w:r>
      <w:r>
        <w:rPr>
          <w:lang w:val="lv-LV"/>
        </w:rPr>
        <w:t xml:space="preserve">drošības </w:t>
      </w:r>
      <w:r w:rsidRPr="00161793">
        <w:rPr>
          <w:lang w:val="lv-LV"/>
        </w:rPr>
        <w:t>draudu modelēšanu visām pakalpojuma</w:t>
      </w:r>
      <w:r>
        <w:rPr>
          <w:lang w:val="lv-LV"/>
        </w:rPr>
        <w:t xml:space="preserve"> un IKT risinājuma</w:t>
      </w:r>
      <w:r w:rsidRPr="00161793">
        <w:rPr>
          <w:lang w:val="lv-LV"/>
        </w:rPr>
        <w:t xml:space="preserve"> sastāvdaļām un plūsmām gan no ārējiem, gan iekšējiem draudu radītājiem un izmantojiet atbilstošus mazināšanas pasākumus.</w:t>
      </w:r>
    </w:p>
    <w:p w14:paraId="390CE210" w14:textId="77777777" w:rsidR="00BA7BA7" w:rsidRDefault="00BA7BA7" w:rsidP="00BA7BA7">
      <w:pPr>
        <w:rPr>
          <w:lang w:val="lv-LV"/>
        </w:rPr>
      </w:pPr>
      <w:r w:rsidRPr="00AE17B5">
        <w:rPr>
          <w:lang w:val="lv-LV"/>
        </w:rPr>
        <w:t>Novērtēšanas vadlīnijas:</w:t>
      </w:r>
    </w:p>
    <w:p w14:paraId="754DAE78" w14:textId="51C1656F" w:rsidR="00BA7BA7" w:rsidRPr="00A614BF" w:rsidRDefault="00870468" w:rsidP="00D5520A">
      <w:pPr>
        <w:pStyle w:val="ListParagraph"/>
        <w:numPr>
          <w:ilvl w:val="0"/>
          <w:numId w:val="13"/>
        </w:numPr>
        <w:rPr>
          <w:lang w:val="lv-LV"/>
        </w:rPr>
      </w:pPr>
      <w:r>
        <w:rPr>
          <w:lang w:val="lv-LV"/>
        </w:rPr>
        <w:t>VPK</w:t>
      </w:r>
      <w:r>
        <w:rPr>
          <w:lang w:val="lv-LV"/>
        </w:rPr>
        <w:t>2</w:t>
      </w:r>
      <w:r w:rsidR="007273B5">
        <w:rPr>
          <w:lang w:val="lv-LV"/>
        </w:rPr>
        <w:t>7</w:t>
      </w:r>
      <w:r>
        <w:rPr>
          <w:lang w:val="lv-LV"/>
        </w:rPr>
        <w:t xml:space="preserve">. </w:t>
      </w:r>
      <w:r w:rsidR="00A614BF">
        <w:rPr>
          <w:lang w:val="lv-LV"/>
        </w:rPr>
        <w:t xml:space="preserve">Vai </w:t>
      </w:r>
      <w:proofErr w:type="spellStart"/>
      <w:r w:rsidR="00A614BF">
        <w:rPr>
          <w:lang w:val="lv-LV"/>
        </w:rPr>
        <w:t>mērķarhitektūrai</w:t>
      </w:r>
      <w:proofErr w:type="spellEnd"/>
      <w:r w:rsidR="00A614BF">
        <w:rPr>
          <w:lang w:val="lv-LV"/>
        </w:rPr>
        <w:t xml:space="preserve"> ir veikta konceptuāla līmeņa drošības draudu modelēšana un risku novērtējums, ko plānots detalizēt, projektējot konkrētus IKT risinājumus? </w:t>
      </w:r>
    </w:p>
    <w:p w14:paraId="6CE4F3DB" w14:textId="1BB143D7" w:rsidR="00F925F5" w:rsidRPr="00E40818" w:rsidRDefault="00F925F5" w:rsidP="00E43D18">
      <w:pPr>
        <w:pStyle w:val="Heading2"/>
        <w:rPr>
          <w:rStyle w:val="Heading4Char"/>
          <w:i w:val="0"/>
          <w:iCs w:val="0"/>
          <w:lang w:val="lv-LV"/>
        </w:rPr>
      </w:pPr>
      <w:r>
        <w:rPr>
          <w:lang w:val="lv-LV"/>
        </w:rPr>
        <w:t>P</w:t>
      </w:r>
      <w:r w:rsidR="001B7BB2">
        <w:rPr>
          <w:lang w:val="lv-LV"/>
        </w:rPr>
        <w:t>8</w:t>
      </w:r>
      <w:r>
        <w:rPr>
          <w:lang w:val="lv-LV"/>
        </w:rPr>
        <w:t>.</w:t>
      </w:r>
      <w:r w:rsidR="00E43D18">
        <w:rPr>
          <w:lang w:val="lv-LV"/>
        </w:rPr>
        <w:t xml:space="preserve"> Plānot</w:t>
      </w:r>
      <w:r>
        <w:rPr>
          <w:lang w:val="lv-LV"/>
        </w:rPr>
        <w:t xml:space="preserve"> </w:t>
      </w:r>
      <w:r w:rsidRPr="00E2406D">
        <w:rPr>
          <w:noProof/>
          <w:lang w:val="lv-LV"/>
        </w:rPr>
        <mc:AlternateContent>
          <mc:Choice Requires="wps">
            <w:drawing>
              <wp:anchor distT="0" distB="0" distL="114300" distR="114300" simplePos="0" relativeHeight="251658254" behindDoc="0" locked="0" layoutInCell="1" allowOverlap="1" wp14:anchorId="17D13C8B" wp14:editId="510C6EDF">
                <wp:simplePos x="0" y="0"/>
                <wp:positionH relativeFrom="column">
                  <wp:posOffset>0</wp:posOffset>
                </wp:positionH>
                <wp:positionV relativeFrom="paragraph">
                  <wp:posOffset>316865</wp:posOffset>
                </wp:positionV>
                <wp:extent cx="1828800" cy="1828800"/>
                <wp:effectExtent l="0" t="0" r="8890" b="10795"/>
                <wp:wrapTopAndBottom/>
                <wp:docPr id="72804536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2A06EB5" w14:textId="3924C0FE" w:rsidR="00F925F5" w:rsidRPr="00A839B6" w:rsidRDefault="00FC7625" w:rsidP="00F925F5">
                            <w:pPr>
                              <w:ind w:left="851"/>
                              <w:jc w:val="both"/>
                              <w:rPr>
                                <w:lang w:val="lv-LV" w:bidi="lv-LV"/>
                              </w:rPr>
                            </w:pPr>
                            <w:r w:rsidRPr="00A839B6">
                              <w:rPr>
                                <w:lang w:val="lv-LV" w:bidi="lv-LV"/>
                              </w:rPr>
                              <w:t>Pakalpojumi un IKT risinājumi tiek veidoti, ievērojot ilgtspējības principus, lai nodrošinātu to ilgtermiņa efektivitāti, minimālu ietekmi uz vidi un pielāgošanos nākotnes vajadzībām. Resursi tiek izmantoti atbildīgi, veicinot tehnoloģiju atkārtotu izmantošanu, energoefektivitāti un atbilstību vides prasībām.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D13C8B" id="_x0000_s1033" type="#_x0000_t202" style="position:absolute;margin-left:0;margin-top:24.95pt;width:2in;height:2in;z-index:25165825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CyWQiyWwIAAAwFAAAOAAAAAAAAAAAAAAAAAC4CAABkcnMvZTJvRG9jLnhtbFBL&#10;AQItABQABgAIAAAAIQDu75ah2wAAAAcBAAAPAAAAAAAAAAAAAAAAALUEAABkcnMvZG93bnJldi54&#10;bWxQSwUGAAAAAAQABADzAAAAvQUAAAAA&#10;" fillcolor="white [3201]" strokecolor="#196b24 [3206]" strokeweight="1pt">
                <v:textbox style="mso-fit-shape-to-text:t">
                  <w:txbxContent>
                    <w:p w14:paraId="72A06EB5" w14:textId="3924C0FE" w:rsidR="00F925F5" w:rsidRPr="00A839B6" w:rsidRDefault="00FC7625" w:rsidP="00F925F5">
                      <w:pPr>
                        <w:ind w:left="851"/>
                        <w:jc w:val="both"/>
                        <w:rPr>
                          <w:lang w:val="lv-LV" w:bidi="lv-LV"/>
                        </w:rPr>
                      </w:pPr>
                      <w:r w:rsidRPr="00A839B6">
                        <w:rPr>
                          <w:lang w:val="lv-LV" w:bidi="lv-LV"/>
                        </w:rPr>
                        <w:t>Pakalpojumi un IKT risinājumi tiek veidoti, ievērojot ilgtspējības principus, lai nodrošinātu to ilgtermiņa efektivitāti, minimālu ietekmi uz vidi un pielāgošanos nākotnes vajadzībām. Resursi tiek izmantoti atbildīgi, veicinot tehnoloģiju atkārtotu izmantošanu, energoefektivitāti un atbilstību vides prasībām.</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55" behindDoc="0" locked="0" layoutInCell="1" allowOverlap="1" wp14:anchorId="650651B4" wp14:editId="3E79476C">
            <wp:simplePos x="0" y="0"/>
            <wp:positionH relativeFrom="margin">
              <wp:posOffset>88900</wp:posOffset>
            </wp:positionH>
            <wp:positionV relativeFrom="paragraph">
              <wp:posOffset>450850</wp:posOffset>
            </wp:positionV>
            <wp:extent cx="427990" cy="427990"/>
            <wp:effectExtent l="0" t="0" r="0" b="0"/>
            <wp:wrapSquare wrapText="bothSides"/>
            <wp:docPr id="161490171"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E43D18">
        <w:rPr>
          <w:noProof/>
          <w:lang w:val="lv-LV"/>
        </w:rPr>
        <w:t>il</w:t>
      </w:r>
      <w:r w:rsidR="00FC7625">
        <w:rPr>
          <w:noProof/>
          <w:lang w:val="lv-LV"/>
        </w:rPr>
        <w:t>gtspējī</w:t>
      </w:r>
      <w:r w:rsidR="00E43D18">
        <w:rPr>
          <w:noProof/>
          <w:lang w:val="lv-LV"/>
        </w:rPr>
        <w:t>gi</w:t>
      </w:r>
    </w:p>
    <w:p w14:paraId="6D931801" w14:textId="77777777" w:rsidR="00D2303B" w:rsidRDefault="00D2303B" w:rsidP="00D2303B">
      <w:pPr>
        <w:rPr>
          <w:lang w:val="lv-LV"/>
        </w:rPr>
      </w:pPr>
    </w:p>
    <w:p w14:paraId="58088AE5" w14:textId="77777777" w:rsidR="00263BAE" w:rsidRPr="00AE17B5" w:rsidRDefault="00263BAE" w:rsidP="00263BAE">
      <w:pPr>
        <w:rPr>
          <w:lang w:val="lv-LV"/>
        </w:rPr>
      </w:pPr>
      <w:r w:rsidRPr="00AE17B5">
        <w:rPr>
          <w:lang w:val="lv-LV"/>
        </w:rPr>
        <w:lastRenderedPageBreak/>
        <w:t>Piemērošanas vadlīnijas:</w:t>
      </w:r>
    </w:p>
    <w:p w14:paraId="62A9A9B7" w14:textId="0A43E2C2" w:rsidR="00263BAE" w:rsidRPr="008D19AA" w:rsidRDefault="00B30A08" w:rsidP="00D5520A">
      <w:pPr>
        <w:pStyle w:val="ListParagraph"/>
        <w:numPr>
          <w:ilvl w:val="0"/>
          <w:numId w:val="11"/>
        </w:numPr>
        <w:jc w:val="both"/>
        <w:rPr>
          <w:lang w:val="lv-LV"/>
        </w:rPr>
      </w:pPr>
      <w:r w:rsidRPr="008D19AA">
        <w:rPr>
          <w:lang w:val="lv-LV"/>
        </w:rPr>
        <w:t xml:space="preserve">Plānojiet energoefektīvus risinājumus. Izvēlieties energoefektīvus risinājumus gan aparatūras, gan programmatūras jomā, lai samazinātu enerģijas patēriņu. Izvērtējiet un izmantojiet </w:t>
      </w:r>
      <w:proofErr w:type="spellStart"/>
      <w:r w:rsidRPr="008D19AA">
        <w:rPr>
          <w:lang w:val="lv-LV"/>
        </w:rPr>
        <w:t>mākoņpakalpojumu</w:t>
      </w:r>
      <w:proofErr w:type="spellEnd"/>
      <w:r w:rsidRPr="008D19AA">
        <w:rPr>
          <w:lang w:val="lv-LV"/>
        </w:rPr>
        <w:t xml:space="preserve"> risinājumus, kas atbalsta energoefektīvu datu apstrādi un glabāšanu. Izvērtējiet zaļā iepirkuma piemērošanas iespējas IKT risinājumu iegādes jomā.</w:t>
      </w:r>
    </w:p>
    <w:p w14:paraId="23696757" w14:textId="1948DB23" w:rsidR="00B30A08" w:rsidRPr="008D19AA" w:rsidRDefault="00C20AD0" w:rsidP="00D5520A">
      <w:pPr>
        <w:pStyle w:val="ListParagraph"/>
        <w:numPr>
          <w:ilvl w:val="0"/>
          <w:numId w:val="11"/>
        </w:numPr>
        <w:jc w:val="both"/>
        <w:rPr>
          <w:lang w:val="lv-LV"/>
        </w:rPr>
      </w:pPr>
      <w:r w:rsidRPr="008D19AA">
        <w:rPr>
          <w:lang w:val="lv-LV"/>
        </w:rPr>
        <w:t>Izmantojiet resursus ilgtspējīgi. Izmantojiet resursus atbildīgi, lai samazinātu lieko kapacitāti vai nepietiekamu izmantošanu. Veiciet regulārus novērtējumus, lai identificētu un samazinātu resursu patēriņu, tostarp serveru, tīkla un glabāšanas infrastruktūrā.</w:t>
      </w:r>
    </w:p>
    <w:p w14:paraId="5CEEC481" w14:textId="0F167155" w:rsidR="008D19AA" w:rsidRPr="008D19AA" w:rsidRDefault="008D19AA" w:rsidP="00D5520A">
      <w:pPr>
        <w:pStyle w:val="ListParagraph"/>
        <w:numPr>
          <w:ilvl w:val="0"/>
          <w:numId w:val="11"/>
        </w:numPr>
        <w:jc w:val="both"/>
        <w:rPr>
          <w:lang w:val="lv-LV"/>
        </w:rPr>
      </w:pPr>
      <w:r w:rsidRPr="008D19AA">
        <w:rPr>
          <w:lang w:val="lv-LV"/>
        </w:rPr>
        <w:t xml:space="preserve">Veiciniet “zaļās IT” praksi. Veiciniet un atbalstiet "zaļās IT" principus, piemēram, serveru virtualizāciju, papīra patēriņa samazināšanu un </w:t>
      </w:r>
      <w:proofErr w:type="spellStart"/>
      <w:r w:rsidRPr="008D19AA">
        <w:rPr>
          <w:lang w:val="lv-LV"/>
        </w:rPr>
        <w:t>digitalizāciju</w:t>
      </w:r>
      <w:proofErr w:type="spellEnd"/>
      <w:r w:rsidRPr="008D19AA">
        <w:rPr>
          <w:lang w:val="lv-LV"/>
        </w:rPr>
        <w:t>.</w:t>
      </w:r>
    </w:p>
    <w:p w14:paraId="21E0CE50" w14:textId="10B7AA76" w:rsidR="00263BAE" w:rsidRDefault="00263BAE" w:rsidP="00263BAE">
      <w:pPr>
        <w:rPr>
          <w:lang w:val="lv-LV"/>
        </w:rPr>
      </w:pPr>
      <w:r w:rsidRPr="00C20AD0">
        <w:rPr>
          <w:lang w:val="lv-LV"/>
        </w:rPr>
        <w:t>Novērtēšanas vadlīnijas:</w:t>
      </w:r>
    </w:p>
    <w:p w14:paraId="6CEB7EB1" w14:textId="23DDD77C" w:rsidR="008D19AA" w:rsidRDefault="00870468" w:rsidP="00D5520A">
      <w:pPr>
        <w:pStyle w:val="ListParagraph"/>
        <w:numPr>
          <w:ilvl w:val="0"/>
          <w:numId w:val="14"/>
        </w:numPr>
        <w:rPr>
          <w:lang w:val="lv-LV"/>
        </w:rPr>
      </w:pPr>
      <w:r>
        <w:rPr>
          <w:lang w:val="lv-LV"/>
        </w:rPr>
        <w:t>VPK</w:t>
      </w:r>
      <w:r>
        <w:rPr>
          <w:lang w:val="lv-LV"/>
        </w:rPr>
        <w:t>2</w:t>
      </w:r>
      <w:r w:rsidR="00323666">
        <w:rPr>
          <w:lang w:val="lv-LV"/>
        </w:rPr>
        <w:t>8</w:t>
      </w:r>
      <w:r>
        <w:rPr>
          <w:lang w:val="lv-LV"/>
        </w:rPr>
        <w:t xml:space="preserve">. </w:t>
      </w:r>
      <w:r w:rsidR="008D19AA">
        <w:rPr>
          <w:lang w:val="lv-LV"/>
        </w:rPr>
        <w:t xml:space="preserve">Vai ir </w:t>
      </w:r>
      <w:r w:rsidR="00242021">
        <w:rPr>
          <w:lang w:val="lv-LV"/>
        </w:rPr>
        <w:t xml:space="preserve">konceptuāli veiktas aplēses </w:t>
      </w:r>
      <w:r w:rsidR="008D19AA">
        <w:rPr>
          <w:lang w:val="lv-LV"/>
        </w:rPr>
        <w:t>nepieciešam</w:t>
      </w:r>
      <w:r w:rsidR="00242021">
        <w:rPr>
          <w:lang w:val="lv-LV"/>
        </w:rPr>
        <w:t>ai</w:t>
      </w:r>
      <w:r w:rsidR="008D19AA">
        <w:rPr>
          <w:lang w:val="lv-LV"/>
        </w:rPr>
        <w:t xml:space="preserve"> resursu kapacitāt</w:t>
      </w:r>
      <w:r w:rsidR="00242021">
        <w:rPr>
          <w:lang w:val="lv-LV"/>
        </w:rPr>
        <w:t>i</w:t>
      </w:r>
      <w:r w:rsidR="008D19AA">
        <w:rPr>
          <w:lang w:val="lv-LV"/>
        </w:rPr>
        <w:t xml:space="preserve"> </w:t>
      </w:r>
      <w:proofErr w:type="spellStart"/>
      <w:r w:rsidR="008D19AA">
        <w:rPr>
          <w:lang w:val="lv-LV"/>
        </w:rPr>
        <w:t>mērķarhitektūras</w:t>
      </w:r>
      <w:proofErr w:type="spellEnd"/>
      <w:r w:rsidR="008D19AA">
        <w:rPr>
          <w:lang w:val="lv-LV"/>
        </w:rPr>
        <w:t xml:space="preserve"> ieviešanai? </w:t>
      </w:r>
    </w:p>
    <w:p w14:paraId="45EBACFD" w14:textId="2B39E0F4" w:rsidR="008D19AA" w:rsidRDefault="00870468" w:rsidP="00D5520A">
      <w:pPr>
        <w:pStyle w:val="ListParagraph"/>
        <w:numPr>
          <w:ilvl w:val="0"/>
          <w:numId w:val="14"/>
        </w:numPr>
        <w:rPr>
          <w:lang w:val="lv-LV"/>
        </w:rPr>
      </w:pPr>
      <w:r>
        <w:rPr>
          <w:lang w:val="lv-LV"/>
        </w:rPr>
        <w:t>VPK</w:t>
      </w:r>
      <w:r w:rsidR="00323666">
        <w:rPr>
          <w:lang w:val="lv-LV"/>
        </w:rPr>
        <w:t>29</w:t>
      </w:r>
      <w:r>
        <w:rPr>
          <w:lang w:val="lv-LV"/>
        </w:rPr>
        <w:t xml:space="preserve">. </w:t>
      </w:r>
      <w:r w:rsidR="008D19AA">
        <w:rPr>
          <w:lang w:val="lv-LV"/>
        </w:rPr>
        <w:t xml:space="preserve">Vai </w:t>
      </w:r>
      <w:proofErr w:type="spellStart"/>
      <w:r w:rsidR="00022365">
        <w:rPr>
          <w:lang w:val="lv-LV"/>
        </w:rPr>
        <w:t>mērķarhitektūrā</w:t>
      </w:r>
      <w:proofErr w:type="spellEnd"/>
      <w:r w:rsidR="00022365">
        <w:rPr>
          <w:lang w:val="lv-LV"/>
        </w:rPr>
        <w:t xml:space="preserve"> </w:t>
      </w:r>
      <w:r w:rsidR="008D19AA">
        <w:rPr>
          <w:lang w:val="lv-LV"/>
        </w:rPr>
        <w:t xml:space="preserve">paredzēts izmantot </w:t>
      </w:r>
      <w:proofErr w:type="spellStart"/>
      <w:r w:rsidR="008D19AA">
        <w:rPr>
          <w:lang w:val="lv-LV"/>
        </w:rPr>
        <w:t>mākoņdatošanas</w:t>
      </w:r>
      <w:proofErr w:type="spellEnd"/>
      <w:r w:rsidR="008D19AA">
        <w:rPr>
          <w:lang w:val="lv-LV"/>
        </w:rPr>
        <w:t xml:space="preserve"> pakalpojumus ar iespēju iegādāties pieprasījumam atbilstošas jaudas?</w:t>
      </w:r>
    </w:p>
    <w:p w14:paraId="59117D2A" w14:textId="7C1F51E1" w:rsidR="008D19AA" w:rsidRPr="008D19AA" w:rsidRDefault="00870468" w:rsidP="00D5520A">
      <w:pPr>
        <w:pStyle w:val="ListParagraph"/>
        <w:numPr>
          <w:ilvl w:val="0"/>
          <w:numId w:val="14"/>
        </w:numPr>
        <w:rPr>
          <w:lang w:val="lv-LV"/>
        </w:rPr>
      </w:pPr>
      <w:r>
        <w:rPr>
          <w:lang w:val="lv-LV"/>
        </w:rPr>
        <w:t>VPK</w:t>
      </w:r>
      <w:r>
        <w:rPr>
          <w:lang w:val="lv-LV"/>
        </w:rPr>
        <w:t>3</w:t>
      </w:r>
      <w:r w:rsidR="00323666">
        <w:rPr>
          <w:lang w:val="lv-LV"/>
        </w:rPr>
        <w:t>0</w:t>
      </w:r>
      <w:r>
        <w:rPr>
          <w:lang w:val="lv-LV"/>
        </w:rPr>
        <w:t xml:space="preserve">. </w:t>
      </w:r>
      <w:r w:rsidR="008D19AA">
        <w:rPr>
          <w:lang w:val="lv-LV"/>
        </w:rPr>
        <w:t xml:space="preserve">Vai </w:t>
      </w:r>
      <w:proofErr w:type="spellStart"/>
      <w:r w:rsidR="008D19AA">
        <w:rPr>
          <w:lang w:val="lv-LV"/>
        </w:rPr>
        <w:t>mērķarhitektūrā</w:t>
      </w:r>
      <w:proofErr w:type="spellEnd"/>
      <w:r w:rsidR="008D19AA">
        <w:rPr>
          <w:lang w:val="lv-LV"/>
        </w:rPr>
        <w:t xml:space="preserve"> iekļautās iniciatīvas veicina </w:t>
      </w:r>
      <w:r w:rsidR="008D19AA" w:rsidRPr="008D19AA">
        <w:rPr>
          <w:lang w:val="lv-LV"/>
        </w:rPr>
        <w:t>"zaļās IT" principu</w:t>
      </w:r>
      <w:r w:rsidR="008D19AA">
        <w:rPr>
          <w:lang w:val="lv-LV"/>
        </w:rPr>
        <w:t xml:space="preserve"> pielietošanu?</w:t>
      </w:r>
    </w:p>
    <w:p w14:paraId="5995847D" w14:textId="77777777" w:rsidR="00263BAE" w:rsidRPr="00D2303B" w:rsidRDefault="00263BAE" w:rsidP="00D2303B">
      <w:pPr>
        <w:rPr>
          <w:lang w:val="lv-LV"/>
        </w:rPr>
      </w:pPr>
    </w:p>
    <w:p w14:paraId="00A85155" w14:textId="4E044D71" w:rsidR="00DC6E57" w:rsidRPr="00DC6E57" w:rsidRDefault="00E43D18" w:rsidP="00DC6E57">
      <w:pPr>
        <w:pStyle w:val="Heading2"/>
        <w:rPr>
          <w:lang w:val="lv-LV"/>
        </w:rPr>
      </w:pPr>
      <w:r>
        <w:rPr>
          <w:lang w:val="lv-LV"/>
        </w:rPr>
        <w:lastRenderedPageBreak/>
        <w:t xml:space="preserve">P9. Labs ir </w:t>
      </w:r>
      <w:r w:rsidR="00FF0EA5">
        <w:rPr>
          <w:lang w:val="lv-LV"/>
        </w:rPr>
        <w:t>“</w:t>
      </w:r>
      <w:r>
        <w:rPr>
          <w:lang w:val="lv-LV"/>
        </w:rPr>
        <w:t>pietiekami labs</w:t>
      </w:r>
      <w:r w:rsidR="00DC6E57" w:rsidRPr="00E2406D">
        <w:rPr>
          <w:noProof/>
          <w:lang w:val="lv-LV"/>
        </w:rPr>
        <mc:AlternateContent>
          <mc:Choice Requires="wps">
            <w:drawing>
              <wp:anchor distT="0" distB="0" distL="114300" distR="114300" simplePos="0" relativeHeight="251658278" behindDoc="0" locked="0" layoutInCell="1" allowOverlap="1" wp14:anchorId="4C0D4071" wp14:editId="336E1554">
                <wp:simplePos x="0" y="0"/>
                <wp:positionH relativeFrom="column">
                  <wp:posOffset>0</wp:posOffset>
                </wp:positionH>
                <wp:positionV relativeFrom="paragraph">
                  <wp:posOffset>316865</wp:posOffset>
                </wp:positionV>
                <wp:extent cx="1828800" cy="1828800"/>
                <wp:effectExtent l="0" t="0" r="8890" b="10795"/>
                <wp:wrapTopAndBottom/>
                <wp:docPr id="2112490081"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4ACCDCC" w14:textId="433DA67D" w:rsidR="00FF0EA5" w:rsidRPr="002F0282" w:rsidRDefault="002F0282" w:rsidP="00DC6E57">
                            <w:pPr>
                              <w:ind w:left="851"/>
                              <w:jc w:val="both"/>
                              <w:rPr>
                                <w:lang w:val="lv-LV"/>
                              </w:rPr>
                            </w:pPr>
                            <w:r w:rsidRPr="002F0282">
                              <w:rPr>
                                <w:lang w:val="lv-LV"/>
                              </w:rPr>
                              <w:t>Pilnība ne vienmēr ir nepieciešama, līdz ar to ir svarīgi izstrādāt pakalpojumus un IKT risinājumus, kas atbilst būtiskajām prasībām, neiekļaujot liekas funkcijas. Prioritāte jāpiešķir vērtības radīšanai, nevis pilnības sasniegšanai, īpaši strādājot ar elastīgām un iteratīvām pieejām pakalpojumu un IKT risinājumu projektēšanā.</w:t>
                            </w:r>
                          </w:p>
                          <w:p w14:paraId="5F84E0BE" w14:textId="77777777" w:rsidR="002F0282" w:rsidRPr="002F0282" w:rsidRDefault="002F0282" w:rsidP="002F0282">
                            <w:pPr>
                              <w:ind w:left="851"/>
                              <w:jc w:val="both"/>
                              <w:rPr>
                                <w:lang w:val="lv-LV"/>
                              </w:rPr>
                            </w:pPr>
                            <w:r w:rsidRPr="002F0282">
                              <w:rPr>
                                <w:lang w:val="lv-LV"/>
                              </w:rPr>
                              <w:t>Līdzsvars starp pragmatismu un kvalitāti veicina ātrāku piegādi, pielāgošanās spējas un izmaksu efektivitāti. Tas ļauj nodrošināt maksimālu vērtību lietotājiem un iesaistītajām pusēm, vienlaikus samazinot piegādes izmaksas un ļaujot ātri pārorientēties uz citiem uzdevumiem.</w:t>
                            </w:r>
                          </w:p>
                          <w:p w14:paraId="4FD0B258" w14:textId="6D62B61A" w:rsidR="002F0282" w:rsidRPr="002F0282" w:rsidRDefault="002F0282" w:rsidP="002F0282">
                            <w:pPr>
                              <w:ind w:left="851"/>
                              <w:jc w:val="both"/>
                              <w:rPr>
                                <w:lang w:val="lv-LV"/>
                              </w:rPr>
                            </w:pPr>
                            <w:r w:rsidRPr="002F0282">
                              <w:rPr>
                                <w:lang w:val="lv-LV"/>
                              </w:rPr>
                              <w:t>Pareto princips nosaka, ka 20% funkcionalitātes parasti nodrošina 80% vērtības. Koncentrēšanās uz “pietiekami labu” pieeju novērš resursu izšķērdēšanu un ļauj ātrāk sasniegt rezultātus.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0D4071" id="_x0000_s1034" type="#_x0000_t202" style="position:absolute;margin-left:0;margin-top:24.95pt;width:2in;height:2in;z-index:2516582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DiEkfuWwIAAAwFAAAOAAAAAAAAAAAAAAAAAC4CAABkcnMvZTJvRG9jLnhtbFBL&#10;AQItABQABgAIAAAAIQDu75ah2wAAAAcBAAAPAAAAAAAAAAAAAAAAALUEAABkcnMvZG93bnJldi54&#10;bWxQSwUGAAAAAAQABADzAAAAvQUAAAAA&#10;" fillcolor="white [3201]" strokecolor="#196b24 [3206]" strokeweight="1pt">
                <v:textbox style="mso-fit-shape-to-text:t">
                  <w:txbxContent>
                    <w:p w14:paraId="74ACCDCC" w14:textId="433DA67D" w:rsidR="00FF0EA5" w:rsidRPr="002F0282" w:rsidRDefault="002F0282" w:rsidP="00DC6E57">
                      <w:pPr>
                        <w:ind w:left="851"/>
                        <w:jc w:val="both"/>
                        <w:rPr>
                          <w:lang w:val="lv-LV"/>
                        </w:rPr>
                      </w:pPr>
                      <w:r w:rsidRPr="002F0282">
                        <w:rPr>
                          <w:lang w:val="lv-LV"/>
                        </w:rPr>
                        <w:t>Pilnība ne vienmēr ir nepieciešama, līdz ar to ir svarīgi izstrādāt pakalpojumus un IKT risinājumus, kas atbilst būtiskajām prasībām, neiekļaujot liekas funkcijas. Prioritāte jāpiešķir vērtības radīšanai, nevis pilnības sasniegšanai, īpaši strādājot ar elastīgām un iteratīvām pieejām pakalpojumu un IKT risinājumu projektēšanā.</w:t>
                      </w:r>
                    </w:p>
                    <w:p w14:paraId="5F84E0BE" w14:textId="77777777" w:rsidR="002F0282" w:rsidRPr="002F0282" w:rsidRDefault="002F0282" w:rsidP="002F0282">
                      <w:pPr>
                        <w:ind w:left="851"/>
                        <w:jc w:val="both"/>
                        <w:rPr>
                          <w:lang w:val="lv-LV"/>
                        </w:rPr>
                      </w:pPr>
                      <w:r w:rsidRPr="002F0282">
                        <w:rPr>
                          <w:lang w:val="lv-LV"/>
                        </w:rPr>
                        <w:t>Līdzsvars starp pragmatismu un kvalitāti veicina ātrāku piegādi, pielāgošanās spējas un izmaksu efektivitāti. Tas ļauj nodrošināt maksimālu vērtību lietotājiem un iesaistītajām pusēm, vienlaikus samazinot piegādes izmaksas un ļaujot ātri pārorientēties uz citiem uzdevumiem.</w:t>
                      </w:r>
                    </w:p>
                    <w:p w14:paraId="4FD0B258" w14:textId="6D62B61A" w:rsidR="002F0282" w:rsidRPr="002F0282" w:rsidRDefault="002F0282" w:rsidP="002F0282">
                      <w:pPr>
                        <w:ind w:left="851"/>
                        <w:jc w:val="both"/>
                        <w:rPr>
                          <w:lang w:val="lv-LV"/>
                        </w:rPr>
                      </w:pPr>
                      <w:r w:rsidRPr="002F0282">
                        <w:rPr>
                          <w:lang w:val="lv-LV"/>
                        </w:rPr>
                        <w:t>Pareto princips nosaka, ka 20% funkcionalitātes parasti nodrošina 80% vērtības. Koncentrēšanās uz “pietiekami labu” pieeju novērš resursu izšķērdēšanu un ļauj ātrāk sasniegt rezultātus.</w:t>
                      </w:r>
                    </w:p>
                  </w:txbxContent>
                </v:textbox>
                <w10:wrap type="topAndBottom"/>
              </v:shape>
            </w:pict>
          </mc:Fallback>
        </mc:AlternateContent>
      </w:r>
      <w:r w:rsidR="00DC6E57" w:rsidRPr="00E2406D">
        <w:rPr>
          <w:rFonts w:ascii="Times New Roman" w:hAnsi="Times New Roman" w:cs="Times New Roman"/>
          <w:noProof/>
          <w:sz w:val="22"/>
          <w:szCs w:val="22"/>
          <w:lang w:val="lv-LV"/>
        </w:rPr>
        <w:drawing>
          <wp:anchor distT="0" distB="0" distL="114300" distR="114300" simplePos="0" relativeHeight="251658279" behindDoc="0" locked="0" layoutInCell="1" allowOverlap="1" wp14:anchorId="21350F09" wp14:editId="0B8E85BE">
            <wp:simplePos x="0" y="0"/>
            <wp:positionH relativeFrom="margin">
              <wp:posOffset>88900</wp:posOffset>
            </wp:positionH>
            <wp:positionV relativeFrom="paragraph">
              <wp:posOffset>450850</wp:posOffset>
            </wp:positionV>
            <wp:extent cx="427990" cy="427990"/>
            <wp:effectExtent l="0" t="0" r="0" b="0"/>
            <wp:wrapSquare wrapText="bothSides"/>
            <wp:docPr id="223406423"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FF0EA5">
        <w:rPr>
          <w:lang w:val="lv-LV"/>
        </w:rPr>
        <w:t>”</w:t>
      </w:r>
    </w:p>
    <w:p w14:paraId="0A60A891" w14:textId="77777777" w:rsidR="00DC6E57" w:rsidRDefault="00DC6E57" w:rsidP="00DC6E57">
      <w:pPr>
        <w:rPr>
          <w:lang w:val="lv-LV"/>
        </w:rPr>
      </w:pPr>
    </w:p>
    <w:p w14:paraId="6A11A132" w14:textId="77777777" w:rsidR="00414796" w:rsidRPr="00AE17B5" w:rsidRDefault="00414796" w:rsidP="00414796">
      <w:pPr>
        <w:rPr>
          <w:lang w:val="lv-LV"/>
        </w:rPr>
      </w:pPr>
      <w:r w:rsidRPr="00AE17B5">
        <w:rPr>
          <w:lang w:val="lv-LV"/>
        </w:rPr>
        <w:t>Piemērošanas vadlīnijas:</w:t>
      </w:r>
    </w:p>
    <w:p w14:paraId="0B0D17BD" w14:textId="3D4871A0" w:rsidR="00A6528B" w:rsidRPr="00A6528B" w:rsidRDefault="00A6528B" w:rsidP="00D5520A">
      <w:pPr>
        <w:pStyle w:val="ListParagraph"/>
        <w:numPr>
          <w:ilvl w:val="0"/>
          <w:numId w:val="11"/>
        </w:numPr>
        <w:jc w:val="both"/>
        <w:rPr>
          <w:lang w:val="lv-LV"/>
        </w:rPr>
      </w:pPr>
      <w:r w:rsidRPr="00A6528B">
        <w:rPr>
          <w:lang w:val="lv-LV"/>
        </w:rPr>
        <w:t xml:space="preserve">Arhitektūrā ir jāatspoguļo elastīgas piegādes raksturs un tāpēc arhitektūrai ir jābūt “tieši tik daudz”, lai nodrošinātu piegādi. Tas nozīmē, ka joprojām ir jāizstrādā </w:t>
      </w:r>
      <w:r>
        <w:rPr>
          <w:lang w:val="lv-LV"/>
        </w:rPr>
        <w:t xml:space="preserve">jomas </w:t>
      </w:r>
      <w:proofErr w:type="spellStart"/>
      <w:r>
        <w:rPr>
          <w:lang w:val="lv-LV"/>
        </w:rPr>
        <w:t>mērķ</w:t>
      </w:r>
      <w:r w:rsidRPr="00A6528B">
        <w:rPr>
          <w:lang w:val="lv-LV"/>
        </w:rPr>
        <w:t>arhitektūra</w:t>
      </w:r>
      <w:proofErr w:type="spellEnd"/>
      <w:r w:rsidRPr="00A6528B">
        <w:rPr>
          <w:lang w:val="lv-LV"/>
        </w:rPr>
        <w:t>, bet atbilstošā līmenī, lai to pielāgotu, jo piegādes gaitā parādās detalizēti dati.</w:t>
      </w:r>
      <w:r w:rsidR="00DB1EAE">
        <w:rPr>
          <w:lang w:val="lv-LV"/>
        </w:rPr>
        <w:t xml:space="preserve"> Ņemiet vērā, ka </w:t>
      </w:r>
      <w:proofErr w:type="spellStart"/>
      <w:r w:rsidR="00DB1EAE">
        <w:rPr>
          <w:lang w:val="lv-LV"/>
        </w:rPr>
        <w:t>mērķarhitektūra</w:t>
      </w:r>
      <w:proofErr w:type="spellEnd"/>
      <w:r w:rsidR="00DB1EAE">
        <w:rPr>
          <w:lang w:val="lv-LV"/>
        </w:rPr>
        <w:t xml:space="preserve"> ir konceptuāls dokuments un tajā būtu jādefinē augsta līmeņa stratēģiskie virzieni un komponenti, konkrēti IKT risinājumi ir jāapraksta IKT risinājuma arhitektūras dokumentā. </w:t>
      </w:r>
    </w:p>
    <w:p w14:paraId="105470E0" w14:textId="314A506F" w:rsidR="00A6528B" w:rsidRPr="00A6528B" w:rsidRDefault="00A6528B" w:rsidP="00D5520A">
      <w:pPr>
        <w:pStyle w:val="ListParagraph"/>
        <w:numPr>
          <w:ilvl w:val="0"/>
          <w:numId w:val="11"/>
        </w:numPr>
        <w:jc w:val="both"/>
        <w:rPr>
          <w:lang w:val="lv-LV"/>
        </w:rPr>
      </w:pPr>
      <w:r>
        <w:rPr>
          <w:lang w:val="lv-LV"/>
        </w:rPr>
        <w:t xml:space="preserve">Izvairieties no </w:t>
      </w:r>
      <w:r w:rsidRPr="00A6528B">
        <w:rPr>
          <w:lang w:val="lv-LV"/>
        </w:rPr>
        <w:t>pārmērīgas inženierijas</w:t>
      </w:r>
      <w:r>
        <w:rPr>
          <w:lang w:val="lv-LV"/>
        </w:rPr>
        <w:t xml:space="preserve">. Pakalpojumos un IKT risinājumos </w:t>
      </w:r>
      <w:r w:rsidRPr="00A6528B">
        <w:rPr>
          <w:lang w:val="lv-LV"/>
        </w:rPr>
        <w:t>jākoncentrējas uz kritiskajām funkcijām un</w:t>
      </w:r>
      <w:r>
        <w:rPr>
          <w:lang w:val="lv-LV"/>
        </w:rPr>
        <w:t xml:space="preserve"> tās</w:t>
      </w:r>
      <w:r w:rsidRPr="00A6528B">
        <w:rPr>
          <w:lang w:val="lv-LV"/>
        </w:rPr>
        <w:t xml:space="preserve"> jāpilnveido, pamatojoties uz atgriezenisko saiti. Pirms</w:t>
      </w:r>
      <w:r>
        <w:rPr>
          <w:lang w:val="lv-LV"/>
        </w:rPr>
        <w:t xml:space="preserve"> funkciju</w:t>
      </w:r>
      <w:r w:rsidRPr="00A6528B">
        <w:rPr>
          <w:lang w:val="lv-LV"/>
        </w:rPr>
        <w:t xml:space="preserve"> </w:t>
      </w:r>
      <w:r>
        <w:rPr>
          <w:lang w:val="lv-LV"/>
        </w:rPr>
        <w:t>īstenošanas</w:t>
      </w:r>
      <w:r w:rsidRPr="00A6528B">
        <w:rPr>
          <w:lang w:val="lv-LV"/>
        </w:rPr>
        <w:t xml:space="preserve"> izmēriet katras funkcijas lietderību, tostarp piegādes resursu izmaksas pakalpojuma darbības laikā. Pārtrauciet, kad pakalpojums sasniedz “pietiekami labu” līmeni.</w:t>
      </w:r>
    </w:p>
    <w:p w14:paraId="127AF23B" w14:textId="42B84BA4" w:rsidR="00A6528B" w:rsidRPr="00A6528B" w:rsidRDefault="00A6528B" w:rsidP="00D5520A">
      <w:pPr>
        <w:pStyle w:val="ListParagraph"/>
        <w:numPr>
          <w:ilvl w:val="0"/>
          <w:numId w:val="11"/>
        </w:numPr>
        <w:jc w:val="both"/>
        <w:rPr>
          <w:lang w:val="lv-LV"/>
        </w:rPr>
      </w:pPr>
      <w:r w:rsidRPr="00A6528B">
        <w:rPr>
          <w:lang w:val="lv-LV"/>
        </w:rPr>
        <w:t xml:space="preserve">Izvērtējiet </w:t>
      </w:r>
      <w:proofErr w:type="spellStart"/>
      <w:r>
        <w:rPr>
          <w:lang w:val="lv-LV"/>
        </w:rPr>
        <w:t>standartfunkcionalitātes</w:t>
      </w:r>
      <w:proofErr w:type="spellEnd"/>
      <w:r>
        <w:rPr>
          <w:lang w:val="lv-LV"/>
        </w:rPr>
        <w:t xml:space="preserve"> (</w:t>
      </w:r>
      <w:r w:rsidRPr="00A6528B">
        <w:rPr>
          <w:lang w:val="lv-LV"/>
        </w:rPr>
        <w:t>COTS</w:t>
      </w:r>
      <w:r w:rsidR="0076395D">
        <w:rPr>
          <w:lang w:val="lv-LV"/>
        </w:rPr>
        <w:t xml:space="preserve">, </w:t>
      </w:r>
      <w:proofErr w:type="spellStart"/>
      <w:r w:rsidR="0076395D">
        <w:rPr>
          <w:lang w:val="lv-LV"/>
        </w:rPr>
        <w:t>SaaS</w:t>
      </w:r>
      <w:proofErr w:type="spellEnd"/>
      <w:r w:rsidR="0076395D">
        <w:rPr>
          <w:lang w:val="lv-LV"/>
        </w:rPr>
        <w:t xml:space="preserve"> u.c.</w:t>
      </w:r>
      <w:r>
        <w:rPr>
          <w:lang w:val="lv-LV"/>
        </w:rPr>
        <w:t>)</w:t>
      </w:r>
      <w:r w:rsidRPr="00A6528B">
        <w:rPr>
          <w:lang w:val="lv-LV"/>
        </w:rPr>
        <w:t xml:space="preserve"> iespēju izmaksu ietaupījumu ar “pietiekami labu” funkcionalitāti salīdzinājumā ar piegādi pēc pasūtījuma.</w:t>
      </w:r>
    </w:p>
    <w:p w14:paraId="1B615BA0" w14:textId="77777777" w:rsidR="00414796" w:rsidRDefault="00414796" w:rsidP="00414796">
      <w:pPr>
        <w:rPr>
          <w:lang w:val="lv-LV"/>
        </w:rPr>
      </w:pPr>
      <w:r w:rsidRPr="00C20AD0">
        <w:rPr>
          <w:lang w:val="lv-LV"/>
        </w:rPr>
        <w:t>Novērtēšanas vadlīnijas:</w:t>
      </w:r>
    </w:p>
    <w:p w14:paraId="4854F0C8" w14:textId="716506EF" w:rsidR="00F41B29" w:rsidRPr="00F41B29" w:rsidRDefault="00870468" w:rsidP="00D5520A">
      <w:pPr>
        <w:pStyle w:val="ListParagraph"/>
        <w:numPr>
          <w:ilvl w:val="0"/>
          <w:numId w:val="15"/>
        </w:numPr>
      </w:pPr>
      <w:r>
        <w:rPr>
          <w:lang w:val="lv-LV"/>
        </w:rPr>
        <w:t>VPK</w:t>
      </w:r>
      <w:r>
        <w:rPr>
          <w:lang w:val="lv-LV"/>
        </w:rPr>
        <w:t>3</w:t>
      </w:r>
      <w:r w:rsidR="00EC0E02">
        <w:rPr>
          <w:lang w:val="lv-LV"/>
        </w:rPr>
        <w:t>1</w:t>
      </w:r>
      <w:r>
        <w:rPr>
          <w:lang w:val="lv-LV"/>
        </w:rPr>
        <w:t xml:space="preserve">. </w:t>
      </w:r>
      <w:r w:rsidR="00F41B29" w:rsidRPr="00F41B29">
        <w:t>Vai</w:t>
      </w:r>
      <w:r w:rsidR="00F41B29">
        <w:t xml:space="preserve"> </w:t>
      </w:r>
      <w:proofErr w:type="spellStart"/>
      <w:r w:rsidR="00F41B29">
        <w:t>jomas</w:t>
      </w:r>
      <w:proofErr w:type="spellEnd"/>
      <w:r w:rsidR="00F41B29">
        <w:t xml:space="preserve"> </w:t>
      </w:r>
      <w:proofErr w:type="spellStart"/>
      <w:r w:rsidR="00F41B29">
        <w:t>mērķ</w:t>
      </w:r>
      <w:r w:rsidR="00F41B29" w:rsidRPr="00F41B29">
        <w:t>arhitektūra</w:t>
      </w:r>
      <w:proofErr w:type="spellEnd"/>
      <w:r w:rsidR="00F41B29" w:rsidRPr="00F41B29">
        <w:t xml:space="preserve"> </w:t>
      </w:r>
      <w:proofErr w:type="spellStart"/>
      <w:r w:rsidR="00F41B29" w:rsidRPr="00F41B29">
        <w:t>ir</w:t>
      </w:r>
      <w:proofErr w:type="spellEnd"/>
      <w:r w:rsidR="00F41B29" w:rsidRPr="00F41B29">
        <w:t xml:space="preserve"> </w:t>
      </w:r>
      <w:proofErr w:type="spellStart"/>
      <w:r w:rsidR="00F41B29" w:rsidRPr="00F41B29">
        <w:t>izstrādāta</w:t>
      </w:r>
      <w:proofErr w:type="spellEnd"/>
      <w:r w:rsidR="00F41B29" w:rsidRPr="00F41B29">
        <w:t xml:space="preserve"> </w:t>
      </w:r>
      <w:proofErr w:type="spellStart"/>
      <w:r w:rsidR="00023153">
        <w:t>tādā</w:t>
      </w:r>
      <w:proofErr w:type="spellEnd"/>
      <w:r w:rsidR="00F41B29" w:rsidRPr="00F41B29">
        <w:t xml:space="preserve"> </w:t>
      </w:r>
      <w:proofErr w:type="spellStart"/>
      <w:r w:rsidR="00F41B29" w:rsidRPr="00F41B29">
        <w:t>detalizācijas</w:t>
      </w:r>
      <w:proofErr w:type="spellEnd"/>
      <w:r w:rsidR="00F41B29" w:rsidRPr="00F41B29">
        <w:t xml:space="preserve"> </w:t>
      </w:r>
      <w:proofErr w:type="spellStart"/>
      <w:r w:rsidR="00F41B29" w:rsidRPr="00F41B29">
        <w:t>līmenī</w:t>
      </w:r>
      <w:proofErr w:type="spellEnd"/>
      <w:r w:rsidR="00F41B29" w:rsidRPr="00F41B29">
        <w:t xml:space="preserve">, </w:t>
      </w:r>
      <w:proofErr w:type="spellStart"/>
      <w:r w:rsidR="00F41B29" w:rsidRPr="00F41B29">
        <w:t>lai</w:t>
      </w:r>
      <w:proofErr w:type="spellEnd"/>
      <w:r w:rsidR="00F41B29" w:rsidRPr="00F41B29">
        <w:t xml:space="preserve"> </w:t>
      </w:r>
      <w:proofErr w:type="spellStart"/>
      <w:r w:rsidR="00F41B29" w:rsidRPr="00F41B29">
        <w:t>atbalstītu</w:t>
      </w:r>
      <w:proofErr w:type="spellEnd"/>
      <w:r w:rsidR="00F41B29" w:rsidRPr="00F41B29">
        <w:t xml:space="preserve"> </w:t>
      </w:r>
      <w:proofErr w:type="spellStart"/>
      <w:r w:rsidR="00F41B29" w:rsidRPr="00F41B29">
        <w:t>elastīgu</w:t>
      </w:r>
      <w:proofErr w:type="spellEnd"/>
      <w:r w:rsidR="00F41B29" w:rsidRPr="00F41B29">
        <w:t xml:space="preserve"> </w:t>
      </w:r>
      <w:proofErr w:type="spellStart"/>
      <w:r w:rsidR="00F41B29" w:rsidRPr="00F41B29">
        <w:t>piegādi</w:t>
      </w:r>
      <w:proofErr w:type="spellEnd"/>
      <w:r w:rsidR="002B3828">
        <w:t xml:space="preserve"> (</w:t>
      </w:r>
      <w:proofErr w:type="spellStart"/>
      <w:r w:rsidR="002B3828">
        <w:t>tiek</w:t>
      </w:r>
      <w:proofErr w:type="spellEnd"/>
      <w:r w:rsidR="002B3828">
        <w:t xml:space="preserve"> </w:t>
      </w:r>
      <w:proofErr w:type="spellStart"/>
      <w:r w:rsidR="002B3828">
        <w:t>saglabāts</w:t>
      </w:r>
      <w:proofErr w:type="spellEnd"/>
      <w:r w:rsidR="002B3828">
        <w:t xml:space="preserve"> </w:t>
      </w:r>
      <w:proofErr w:type="spellStart"/>
      <w:r w:rsidR="002B3828">
        <w:t>konceotuālais</w:t>
      </w:r>
      <w:proofErr w:type="spellEnd"/>
      <w:r w:rsidR="002B3828">
        <w:t xml:space="preserve"> </w:t>
      </w:r>
      <w:proofErr w:type="spellStart"/>
      <w:r w:rsidR="002B3828">
        <w:t>līmenis</w:t>
      </w:r>
      <w:proofErr w:type="spellEnd"/>
      <w:r w:rsidR="002B3828">
        <w:t xml:space="preserve"> bez </w:t>
      </w:r>
      <w:proofErr w:type="spellStart"/>
      <w:r w:rsidR="00B43F4A">
        <w:t>konkrētu</w:t>
      </w:r>
      <w:proofErr w:type="spellEnd"/>
      <w:r w:rsidR="00B43F4A">
        <w:t xml:space="preserve"> </w:t>
      </w:r>
      <w:proofErr w:type="spellStart"/>
      <w:r w:rsidR="00B43F4A">
        <w:t>risinājumu</w:t>
      </w:r>
      <w:proofErr w:type="spellEnd"/>
      <w:r w:rsidR="00B43F4A">
        <w:t xml:space="preserve"> </w:t>
      </w:r>
      <w:proofErr w:type="spellStart"/>
      <w:r w:rsidR="00B43F4A">
        <w:t>arhitektūras</w:t>
      </w:r>
      <w:proofErr w:type="spellEnd"/>
      <w:r w:rsidR="00B43F4A">
        <w:t xml:space="preserve"> </w:t>
      </w:r>
      <w:proofErr w:type="spellStart"/>
      <w:r w:rsidR="00B43F4A">
        <w:t>definēšanas</w:t>
      </w:r>
      <w:proofErr w:type="spellEnd"/>
      <w:r w:rsidR="00B43F4A">
        <w:t>)</w:t>
      </w:r>
      <w:r w:rsidR="00F41B29" w:rsidRPr="00F41B29">
        <w:t>?</w:t>
      </w:r>
    </w:p>
    <w:p w14:paraId="71658335" w14:textId="3D6B950B" w:rsidR="008A6581" w:rsidRPr="006E6756" w:rsidRDefault="00870468" w:rsidP="00D5520A">
      <w:pPr>
        <w:pStyle w:val="ListParagraph"/>
        <w:numPr>
          <w:ilvl w:val="0"/>
          <w:numId w:val="15"/>
        </w:numPr>
        <w:rPr>
          <w:lang w:val="lv-LV"/>
        </w:rPr>
      </w:pPr>
      <w:r>
        <w:rPr>
          <w:lang w:val="lv-LV"/>
        </w:rPr>
        <w:lastRenderedPageBreak/>
        <w:t>VPK</w:t>
      </w:r>
      <w:r>
        <w:rPr>
          <w:lang w:val="lv-LV"/>
        </w:rPr>
        <w:t>3</w:t>
      </w:r>
      <w:r w:rsidR="00227692">
        <w:rPr>
          <w:lang w:val="lv-LV"/>
        </w:rPr>
        <w:t>2</w:t>
      </w:r>
      <w:r>
        <w:rPr>
          <w:lang w:val="lv-LV"/>
        </w:rPr>
        <w:t xml:space="preserve">. </w:t>
      </w:r>
      <w:r w:rsidR="008A6581">
        <w:t xml:space="preserve">Vai </w:t>
      </w:r>
      <w:proofErr w:type="spellStart"/>
      <w:r w:rsidR="008A6581">
        <w:t>mērķarhitektūrā</w:t>
      </w:r>
      <w:proofErr w:type="spellEnd"/>
      <w:r w:rsidR="008A6581">
        <w:t xml:space="preserve"> </w:t>
      </w:r>
      <w:proofErr w:type="spellStart"/>
      <w:r w:rsidR="008A6581">
        <w:t>iezīmētas</w:t>
      </w:r>
      <w:proofErr w:type="spellEnd"/>
      <w:r w:rsidR="008A6581">
        <w:t xml:space="preserve"> </w:t>
      </w:r>
      <w:proofErr w:type="spellStart"/>
      <w:r w:rsidR="008A6581">
        <w:t>risinājumu</w:t>
      </w:r>
      <w:proofErr w:type="spellEnd"/>
      <w:r w:rsidR="008A6581">
        <w:t xml:space="preserve"> </w:t>
      </w:r>
      <w:proofErr w:type="spellStart"/>
      <w:r w:rsidR="008A6581">
        <w:t>kritiskās</w:t>
      </w:r>
      <w:proofErr w:type="spellEnd"/>
      <w:r w:rsidR="008A6581">
        <w:t xml:space="preserve"> </w:t>
      </w:r>
      <w:proofErr w:type="spellStart"/>
      <w:r w:rsidR="008A6581">
        <w:t>funkcijas</w:t>
      </w:r>
      <w:proofErr w:type="spellEnd"/>
      <w:r w:rsidR="008A6581">
        <w:t xml:space="preserve">, </w:t>
      </w:r>
      <w:r w:rsidR="008A6581" w:rsidRPr="008A6581">
        <w:t xml:space="preserve">kas </w:t>
      </w:r>
      <w:proofErr w:type="spellStart"/>
      <w:r w:rsidR="008A6581" w:rsidRPr="008A6581">
        <w:t>ir</w:t>
      </w:r>
      <w:proofErr w:type="spellEnd"/>
      <w:r w:rsidR="008A6581" w:rsidRPr="008A6581">
        <w:t xml:space="preserve"> </w:t>
      </w:r>
      <w:proofErr w:type="spellStart"/>
      <w:r w:rsidR="008A6581" w:rsidRPr="008A6581">
        <w:t>būtiskas</w:t>
      </w:r>
      <w:proofErr w:type="spellEnd"/>
      <w:r w:rsidR="008A6581" w:rsidRPr="008A6581">
        <w:t xml:space="preserve"> </w:t>
      </w:r>
      <w:proofErr w:type="spellStart"/>
      <w:r w:rsidR="008A6581">
        <w:t>jomas</w:t>
      </w:r>
      <w:proofErr w:type="spellEnd"/>
      <w:r w:rsidR="008A6581">
        <w:t xml:space="preserve"> </w:t>
      </w:r>
      <w:proofErr w:type="spellStart"/>
      <w:r w:rsidR="008A6581">
        <w:t>mērķarhitektūras</w:t>
      </w:r>
      <w:proofErr w:type="spellEnd"/>
      <w:r w:rsidR="008A6581">
        <w:t xml:space="preserve"> </w:t>
      </w:r>
      <w:proofErr w:type="spellStart"/>
      <w:r w:rsidR="008A6581" w:rsidRPr="008A6581">
        <w:t>pamatmērķu</w:t>
      </w:r>
      <w:proofErr w:type="spellEnd"/>
      <w:r w:rsidR="008A6581" w:rsidRPr="008A6581">
        <w:t xml:space="preserve"> </w:t>
      </w:r>
      <w:proofErr w:type="spellStart"/>
      <w:r w:rsidR="008A6581" w:rsidRPr="008A6581">
        <w:t>sasniegšanai</w:t>
      </w:r>
      <w:proofErr w:type="spellEnd"/>
      <w:r w:rsidR="008A6581" w:rsidRPr="008A6581">
        <w:t>?</w:t>
      </w:r>
    </w:p>
    <w:p w14:paraId="7778A2FC" w14:textId="6EDA7755" w:rsidR="00414796" w:rsidRPr="00BC0F1D" w:rsidRDefault="00870468" w:rsidP="00DC6E57">
      <w:pPr>
        <w:pStyle w:val="ListParagraph"/>
        <w:numPr>
          <w:ilvl w:val="0"/>
          <w:numId w:val="15"/>
        </w:numPr>
        <w:rPr>
          <w:lang w:val="lv-LV"/>
        </w:rPr>
      </w:pPr>
      <w:r>
        <w:rPr>
          <w:lang w:val="lv-LV"/>
        </w:rPr>
        <w:t>VPK</w:t>
      </w:r>
      <w:r>
        <w:rPr>
          <w:lang w:val="lv-LV"/>
        </w:rPr>
        <w:t>3</w:t>
      </w:r>
      <w:r w:rsidR="00227692">
        <w:rPr>
          <w:lang w:val="lv-LV"/>
        </w:rPr>
        <w:t>3</w:t>
      </w:r>
      <w:r>
        <w:rPr>
          <w:lang w:val="lv-LV"/>
        </w:rPr>
        <w:t xml:space="preserve">. </w:t>
      </w:r>
      <w:r w:rsidR="006E6756">
        <w:t xml:space="preserve">Vai </w:t>
      </w:r>
      <w:proofErr w:type="spellStart"/>
      <w:r w:rsidR="006E6756">
        <w:t>mērķarhitektūras</w:t>
      </w:r>
      <w:proofErr w:type="spellEnd"/>
      <w:r w:rsidR="006E6756">
        <w:t xml:space="preserve"> </w:t>
      </w:r>
      <w:proofErr w:type="spellStart"/>
      <w:r w:rsidR="006E6756">
        <w:t>ieviešanā</w:t>
      </w:r>
      <w:proofErr w:type="spellEnd"/>
      <w:r w:rsidR="006E6756">
        <w:t xml:space="preserve"> </w:t>
      </w:r>
      <w:proofErr w:type="spellStart"/>
      <w:r w:rsidR="006E6756">
        <w:t>plānots</w:t>
      </w:r>
      <w:proofErr w:type="spellEnd"/>
      <w:r w:rsidR="006E6756">
        <w:t xml:space="preserve"> </w:t>
      </w:r>
      <w:proofErr w:type="spellStart"/>
      <w:r w:rsidR="006E6756">
        <w:t>izvērtēt</w:t>
      </w:r>
      <w:proofErr w:type="spellEnd"/>
      <w:r w:rsidR="006E6756">
        <w:t xml:space="preserve"> </w:t>
      </w:r>
      <w:proofErr w:type="spellStart"/>
      <w:r w:rsidR="006E6756">
        <w:t>standartrisinājumus</w:t>
      </w:r>
      <w:proofErr w:type="spellEnd"/>
      <w:r w:rsidR="006E6756" w:rsidRPr="006E6756">
        <w:t xml:space="preserve"> </w:t>
      </w:r>
      <w:r w:rsidR="006E6756">
        <w:t>(</w:t>
      </w:r>
      <w:r w:rsidR="006E6756" w:rsidRPr="006E6756">
        <w:t>COTS</w:t>
      </w:r>
      <w:r w:rsidR="002A0A3E">
        <w:t xml:space="preserve">, SaaS </w:t>
      </w:r>
      <w:proofErr w:type="spellStart"/>
      <w:r w:rsidR="002A0A3E">
        <w:t>u.c.</w:t>
      </w:r>
      <w:proofErr w:type="spellEnd"/>
      <w:r w:rsidR="006E6756">
        <w:t xml:space="preserve">) </w:t>
      </w:r>
      <w:proofErr w:type="spellStart"/>
      <w:r w:rsidR="006E6756" w:rsidRPr="006E6756">
        <w:t>ar</w:t>
      </w:r>
      <w:proofErr w:type="spellEnd"/>
      <w:r w:rsidR="006E6756" w:rsidRPr="006E6756">
        <w:t xml:space="preserve"> “</w:t>
      </w:r>
      <w:proofErr w:type="spellStart"/>
      <w:r w:rsidR="006E6756" w:rsidRPr="006E6756">
        <w:t>pietiekami</w:t>
      </w:r>
      <w:proofErr w:type="spellEnd"/>
      <w:r w:rsidR="006E6756" w:rsidRPr="006E6756">
        <w:t xml:space="preserve"> </w:t>
      </w:r>
      <w:proofErr w:type="spellStart"/>
      <w:r w:rsidR="006E6756" w:rsidRPr="006E6756">
        <w:t>labu</w:t>
      </w:r>
      <w:proofErr w:type="spellEnd"/>
      <w:r w:rsidR="006E6756" w:rsidRPr="006E6756">
        <w:t xml:space="preserve">” </w:t>
      </w:r>
      <w:proofErr w:type="spellStart"/>
      <w:r w:rsidR="006E6756" w:rsidRPr="006E6756">
        <w:t>funkcionalitāti</w:t>
      </w:r>
      <w:proofErr w:type="spellEnd"/>
      <w:r w:rsidR="006E6756" w:rsidRPr="006E6756">
        <w:t xml:space="preserve"> </w:t>
      </w:r>
      <w:proofErr w:type="spellStart"/>
      <w:r w:rsidR="006E6756" w:rsidRPr="006E6756">
        <w:t>kā</w:t>
      </w:r>
      <w:proofErr w:type="spellEnd"/>
      <w:r w:rsidR="006E6756" w:rsidRPr="006E6756">
        <w:t xml:space="preserve"> </w:t>
      </w:r>
      <w:proofErr w:type="spellStart"/>
      <w:r w:rsidR="006E6756" w:rsidRPr="006E6756">
        <w:t>izmaksu</w:t>
      </w:r>
      <w:proofErr w:type="spellEnd"/>
      <w:r w:rsidR="006E6756" w:rsidRPr="006E6756">
        <w:t xml:space="preserve"> un </w:t>
      </w:r>
      <w:proofErr w:type="spellStart"/>
      <w:r w:rsidR="006E6756" w:rsidRPr="006E6756">
        <w:t>resursu</w:t>
      </w:r>
      <w:proofErr w:type="spellEnd"/>
      <w:r w:rsidR="006E6756" w:rsidRPr="006E6756">
        <w:t xml:space="preserve"> </w:t>
      </w:r>
      <w:proofErr w:type="spellStart"/>
      <w:r w:rsidR="006E6756" w:rsidRPr="006E6756">
        <w:t>ietaupījuma</w:t>
      </w:r>
      <w:proofErr w:type="spellEnd"/>
      <w:r w:rsidR="006E6756" w:rsidRPr="006E6756">
        <w:t xml:space="preserve"> </w:t>
      </w:r>
      <w:proofErr w:type="spellStart"/>
      <w:r w:rsidR="006E6756" w:rsidRPr="006E6756">
        <w:t>iespēja</w:t>
      </w:r>
      <w:proofErr w:type="spellEnd"/>
      <w:r w:rsidR="006E6756" w:rsidRPr="006E6756">
        <w:t>?</w:t>
      </w:r>
    </w:p>
    <w:p w14:paraId="2B6FF841" w14:textId="200A422C" w:rsidR="00A17B39" w:rsidRPr="00A839B6" w:rsidRDefault="00A17B39" w:rsidP="00E43D18">
      <w:pPr>
        <w:pStyle w:val="Heading2"/>
        <w:rPr>
          <w:rStyle w:val="Heading4Char"/>
          <w:i w:val="0"/>
          <w:iCs w:val="0"/>
          <w:lang w:val="lv-LV"/>
        </w:rPr>
      </w:pPr>
      <w:r>
        <w:rPr>
          <w:lang w:val="lv-LV"/>
        </w:rPr>
        <w:t>P</w:t>
      </w:r>
      <w:r w:rsidR="00E43D18">
        <w:rPr>
          <w:lang w:val="lv-LV"/>
        </w:rPr>
        <w:t>10</w:t>
      </w:r>
      <w:r>
        <w:rPr>
          <w:lang w:val="lv-LV"/>
        </w:rPr>
        <w:t xml:space="preserve">. </w:t>
      </w:r>
      <w:r w:rsidRPr="00E2406D">
        <w:rPr>
          <w:noProof/>
          <w:lang w:val="lv-LV"/>
        </w:rPr>
        <mc:AlternateContent>
          <mc:Choice Requires="wps">
            <w:drawing>
              <wp:anchor distT="0" distB="0" distL="114300" distR="114300" simplePos="0" relativeHeight="251658264" behindDoc="0" locked="0" layoutInCell="1" allowOverlap="1" wp14:anchorId="78EFB0BF" wp14:editId="1E5C907E">
                <wp:simplePos x="0" y="0"/>
                <wp:positionH relativeFrom="column">
                  <wp:posOffset>0</wp:posOffset>
                </wp:positionH>
                <wp:positionV relativeFrom="paragraph">
                  <wp:posOffset>316865</wp:posOffset>
                </wp:positionV>
                <wp:extent cx="1828800" cy="1828800"/>
                <wp:effectExtent l="0" t="0" r="8890" b="10795"/>
                <wp:wrapTopAndBottom/>
                <wp:docPr id="531130177"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F1B08B4" w14:textId="77777777" w:rsidR="002E6794" w:rsidRPr="002E6794" w:rsidRDefault="002E6794" w:rsidP="002E6794">
                            <w:pPr>
                              <w:ind w:left="851"/>
                              <w:jc w:val="both"/>
                              <w:rPr>
                                <w:lang w:val="lv-LV"/>
                              </w:rPr>
                            </w:pPr>
                            <w:r w:rsidRPr="002E6794">
                              <w:rPr>
                                <w:lang w:val="lv-LV"/>
                              </w:rPr>
                              <w:t>Visi publiskie pakalpojumi, kas iespējami elektroniski, tiek piedāvāti digitāli, izmantojot e-pakalpojumu lietotnes vai e-formas, un ir pieejami valsts pārvaldes vietnēs, piemēram, latvija.gov.lv vai business.gov.lv. Pakalpojumi nedrīkst tikt publicēti, ja tiem nav elektroniskas piekļuves iespējas, izņemot klātienē pieprasāmus pakalpojumus.</w:t>
                            </w:r>
                          </w:p>
                          <w:p w14:paraId="553473E3" w14:textId="53FE5BB8" w:rsidR="002E6794" w:rsidRPr="001B7BB2" w:rsidRDefault="002E6794" w:rsidP="002E6794">
                            <w:pPr>
                              <w:ind w:left="851"/>
                              <w:jc w:val="both"/>
                              <w:rPr>
                                <w:lang w:val="lv-LV"/>
                              </w:rPr>
                            </w:pPr>
                            <w:r w:rsidRPr="002E6794">
                              <w:rPr>
                                <w:lang w:val="lv-LV"/>
                              </w:rPr>
                              <w:t xml:space="preserve">Vienkāršoto elektronisko pakalpojumu pieteikšanai tiek izmantotas universālas e-formas, kas nodrošina iesniegumu nosūtīšanu un statusa uzraudzību.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EFB0BF" id="_x0000_s1035" type="#_x0000_t202" style="position:absolute;margin-left:0;margin-top:24.95pt;width:2in;height:2in;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Det6ByWwIAAAwFAAAOAAAAAAAAAAAAAAAAAC4CAABkcnMvZTJvRG9jLnhtbFBL&#10;AQItABQABgAIAAAAIQDu75ah2wAAAAcBAAAPAAAAAAAAAAAAAAAAALUEAABkcnMvZG93bnJldi54&#10;bWxQSwUGAAAAAAQABADzAAAAvQUAAAAA&#10;" fillcolor="white [3201]" strokecolor="#196b24 [3206]" strokeweight="1pt">
                <v:textbox style="mso-fit-shape-to-text:t">
                  <w:txbxContent>
                    <w:p w14:paraId="1F1B08B4" w14:textId="77777777" w:rsidR="002E6794" w:rsidRPr="002E6794" w:rsidRDefault="002E6794" w:rsidP="002E6794">
                      <w:pPr>
                        <w:ind w:left="851"/>
                        <w:jc w:val="both"/>
                        <w:rPr>
                          <w:lang w:val="lv-LV"/>
                        </w:rPr>
                      </w:pPr>
                      <w:r w:rsidRPr="002E6794">
                        <w:rPr>
                          <w:lang w:val="lv-LV"/>
                        </w:rPr>
                        <w:t>Visi publiskie pakalpojumi, kas iespējami elektroniski, tiek piedāvāti digitāli, izmantojot e-pakalpojumu lietotnes vai e-formas, un ir pieejami valsts pārvaldes vietnēs, piemēram, latvija.gov.lv vai business.gov.lv. Pakalpojumi nedrīkst tikt publicēti, ja tiem nav elektroniskas piekļuves iespējas, izņemot klātienē pieprasāmus pakalpojumus.</w:t>
                      </w:r>
                    </w:p>
                    <w:p w14:paraId="553473E3" w14:textId="53FE5BB8" w:rsidR="002E6794" w:rsidRPr="001B7BB2" w:rsidRDefault="002E6794" w:rsidP="002E6794">
                      <w:pPr>
                        <w:ind w:left="851"/>
                        <w:jc w:val="both"/>
                        <w:rPr>
                          <w:lang w:val="lv-LV"/>
                        </w:rPr>
                      </w:pPr>
                      <w:r w:rsidRPr="002E6794">
                        <w:rPr>
                          <w:lang w:val="lv-LV"/>
                        </w:rPr>
                        <w:t xml:space="preserve">Vienkāršoto elektronisko pakalpojumu pieteikšanai tiek izmantotas universālas e-formas, kas nodrošina iesniegumu nosūtīšanu un statusa uzraudzību.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65" behindDoc="0" locked="0" layoutInCell="1" allowOverlap="1" wp14:anchorId="601FE40C" wp14:editId="427C9BFE">
            <wp:simplePos x="0" y="0"/>
            <wp:positionH relativeFrom="margin">
              <wp:posOffset>88900</wp:posOffset>
            </wp:positionH>
            <wp:positionV relativeFrom="paragraph">
              <wp:posOffset>450850</wp:posOffset>
            </wp:positionV>
            <wp:extent cx="427990" cy="427990"/>
            <wp:effectExtent l="0" t="0" r="0" b="0"/>
            <wp:wrapSquare wrapText="bothSides"/>
            <wp:docPr id="1292937698"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9968F2">
        <w:rPr>
          <w:lang w:val="lv-LV"/>
        </w:rPr>
        <w:t>Digitālie pakalpojumi kā primāri</w:t>
      </w:r>
      <w:r w:rsidR="001B7BB2">
        <w:rPr>
          <w:lang w:val="lv-LV"/>
        </w:rPr>
        <w:t>e</w:t>
      </w:r>
      <w:r w:rsidR="009968F2">
        <w:rPr>
          <w:lang w:val="lv-LV"/>
        </w:rPr>
        <w:t xml:space="preserve"> </w:t>
      </w:r>
      <w:r w:rsidR="009968F2" w:rsidRPr="00A839B6">
        <w:rPr>
          <w:i/>
          <w:iCs/>
          <w:lang w:val="lv-LV"/>
        </w:rPr>
        <w:t>(</w:t>
      </w:r>
      <w:proofErr w:type="spellStart"/>
      <w:r w:rsidR="009968F2" w:rsidRPr="00A839B6">
        <w:rPr>
          <w:i/>
          <w:iCs/>
          <w:lang w:val="lv-LV"/>
        </w:rPr>
        <w:t>Digital</w:t>
      </w:r>
      <w:proofErr w:type="spellEnd"/>
      <w:r w:rsidR="009968F2" w:rsidRPr="00A839B6">
        <w:rPr>
          <w:i/>
          <w:iCs/>
          <w:lang w:val="lv-LV"/>
        </w:rPr>
        <w:t xml:space="preserve"> First)</w:t>
      </w:r>
    </w:p>
    <w:p w14:paraId="01939CE0" w14:textId="491F39BF" w:rsidR="00A17B39" w:rsidRDefault="00A17B39" w:rsidP="00A17B39">
      <w:pPr>
        <w:rPr>
          <w:lang w:val="lv-LV"/>
        </w:rPr>
      </w:pPr>
    </w:p>
    <w:p w14:paraId="7BEEBC40" w14:textId="77777777" w:rsidR="00786003" w:rsidRPr="00AE17B5" w:rsidRDefault="00786003" w:rsidP="00786003">
      <w:pPr>
        <w:rPr>
          <w:lang w:val="lv-LV"/>
        </w:rPr>
      </w:pPr>
      <w:r w:rsidRPr="00AE17B5">
        <w:rPr>
          <w:lang w:val="lv-LV"/>
        </w:rPr>
        <w:t>Piemērošanas vadlīnijas:</w:t>
      </w:r>
    </w:p>
    <w:p w14:paraId="5A1D6E33" w14:textId="19FCE57F" w:rsidR="00F670DC" w:rsidRPr="00791818" w:rsidRDefault="00554C02" w:rsidP="00F670DC">
      <w:pPr>
        <w:pStyle w:val="ListParagraph"/>
        <w:numPr>
          <w:ilvl w:val="0"/>
          <w:numId w:val="11"/>
        </w:numPr>
        <w:jc w:val="both"/>
        <w:rPr>
          <w:lang w:val="lv-LV"/>
        </w:rPr>
      </w:pPr>
      <w:proofErr w:type="spellStart"/>
      <w:r w:rsidRPr="00791818">
        <w:rPr>
          <w:lang w:val="lv-LV"/>
        </w:rPr>
        <w:t>Prioritizējiet</w:t>
      </w:r>
      <w:proofErr w:type="spellEnd"/>
      <w:r w:rsidRPr="00791818">
        <w:rPr>
          <w:lang w:val="lv-LV"/>
        </w:rPr>
        <w:t xml:space="preserve"> visu publisko pakalpojumu </w:t>
      </w:r>
      <w:proofErr w:type="spellStart"/>
      <w:r w:rsidRPr="00791818">
        <w:rPr>
          <w:lang w:val="lv-LV"/>
        </w:rPr>
        <w:t>digitalizāciju</w:t>
      </w:r>
      <w:proofErr w:type="spellEnd"/>
      <w:r w:rsidRPr="00791818">
        <w:rPr>
          <w:lang w:val="lv-LV"/>
        </w:rPr>
        <w:t xml:space="preserve">. </w:t>
      </w:r>
      <w:r w:rsidR="00F670DC" w:rsidRPr="00791818">
        <w:rPr>
          <w:lang w:val="lv-LV"/>
        </w:rPr>
        <w:t>Nodrošiniet, ka visi</w:t>
      </w:r>
      <w:r w:rsidR="00F670DC" w:rsidRPr="00791818">
        <w:rPr>
          <w:lang w:val="lv-LV"/>
        </w:rPr>
        <w:t xml:space="preserve"> publiskie pakalpojumi, kuru piedāvājums un piegāde iespējama elektroniski,  ir pieejami un tiek sniegti elektroniski e-pakalpojumu lietotnes veidā vai izmantojot e-formu: iedzīvotāji un uzņēmēji var pieprasīt jebkuru publisko pakalpojumu elektroniski, sameklējot to latvija.gov.lv, business.gov.lv vai citā valsts pārvaldes vietnē (pakalpojumu katalogā)</w:t>
      </w:r>
      <w:r w:rsidR="00945E38" w:rsidRPr="00791818">
        <w:rPr>
          <w:lang w:val="lv-LV"/>
        </w:rPr>
        <w:t>.</w:t>
      </w:r>
    </w:p>
    <w:p w14:paraId="223E730D" w14:textId="77777777" w:rsidR="00E079CE" w:rsidRPr="00791818" w:rsidRDefault="00E079CE" w:rsidP="00E079CE">
      <w:pPr>
        <w:pStyle w:val="ListParagraph"/>
        <w:numPr>
          <w:ilvl w:val="0"/>
          <w:numId w:val="11"/>
        </w:numPr>
        <w:jc w:val="both"/>
        <w:rPr>
          <w:lang w:val="lv-LV"/>
        </w:rPr>
      </w:pPr>
      <w:r w:rsidRPr="00791818">
        <w:rPr>
          <w:lang w:val="lv-LV"/>
        </w:rPr>
        <w:t>Institūcija nevar publicēt publisko pakalpojumu iestāžu un tematiskajās vietnēs (t.sk. Latvija.gov.lv, business.gov.lv), ja pakalpojumam nav pieejama e-pakalpojuma lietotne vai e-forma (VDAA e-formu reģenerators), izņemot gadījumus, ja pakalpojums pēc būtības ir tikai klātienē pieprasāms un sniedzams;</w:t>
      </w:r>
    </w:p>
    <w:p w14:paraId="0509E739" w14:textId="06C367E2" w:rsidR="00791818" w:rsidRPr="00791818" w:rsidRDefault="00E079CE" w:rsidP="00791818">
      <w:pPr>
        <w:pStyle w:val="ListParagraph"/>
        <w:numPr>
          <w:ilvl w:val="0"/>
          <w:numId w:val="11"/>
        </w:numPr>
        <w:jc w:val="both"/>
        <w:rPr>
          <w:lang w:val="lv-LV"/>
        </w:rPr>
      </w:pPr>
      <w:r w:rsidRPr="00791818">
        <w:rPr>
          <w:lang w:val="lv-LV"/>
        </w:rPr>
        <w:t>Pakalpojumi, kuriem nav izveidota e-pakalpojumu lietotne, ir pieejami elektroniski, izmantojot e-formu pakalpojumu elektroniskai pieteikšanai un rezultātu saņemšanai (vienkāršotie e-pakalpojumi)</w:t>
      </w:r>
      <w:r w:rsidR="00791818" w:rsidRPr="00791818">
        <w:rPr>
          <w:lang w:val="lv-LV"/>
        </w:rPr>
        <w:t xml:space="preserve">. </w:t>
      </w:r>
      <w:r w:rsidR="00791818" w:rsidRPr="00791818">
        <w:rPr>
          <w:lang w:val="lv-LV"/>
        </w:rPr>
        <w:t>Vienkāršoto e-pakalpojumu ieviešanai izmantojiet Valsts datu apmaiņas aģentūras (VDAA) nodrošināto e-formu ģeneratoru, kas atvieglo risinājuma izstrādi un uzturēšanu.</w:t>
      </w:r>
    </w:p>
    <w:p w14:paraId="2621B146" w14:textId="2E4C3B8F" w:rsidR="00945E38" w:rsidRPr="00791818" w:rsidRDefault="00D77E65" w:rsidP="00791818">
      <w:pPr>
        <w:pStyle w:val="ListParagraph"/>
        <w:numPr>
          <w:ilvl w:val="0"/>
          <w:numId w:val="11"/>
        </w:numPr>
        <w:jc w:val="both"/>
        <w:rPr>
          <w:lang w:val="lv-LV"/>
        </w:rPr>
      </w:pPr>
      <w:r w:rsidRPr="00D77E65">
        <w:t>E-</w:t>
      </w:r>
      <w:proofErr w:type="spellStart"/>
      <w:r w:rsidRPr="00D77E65">
        <w:t>pakalpojumu</w:t>
      </w:r>
      <w:proofErr w:type="spellEnd"/>
      <w:r w:rsidRPr="00D77E65">
        <w:t xml:space="preserve"> </w:t>
      </w:r>
      <w:proofErr w:type="spellStart"/>
      <w:r w:rsidRPr="00D77E65">
        <w:t>lietotnes</w:t>
      </w:r>
      <w:proofErr w:type="spellEnd"/>
      <w:r w:rsidRPr="00D77E65">
        <w:t xml:space="preserve"> </w:t>
      </w:r>
      <w:proofErr w:type="spellStart"/>
      <w:r w:rsidRPr="00D77E65">
        <w:t>tiek</w:t>
      </w:r>
      <w:proofErr w:type="spellEnd"/>
      <w:r w:rsidRPr="00D77E65">
        <w:t xml:space="preserve"> </w:t>
      </w:r>
      <w:proofErr w:type="spellStart"/>
      <w:r w:rsidRPr="00D77E65">
        <w:t>izmantotas</w:t>
      </w:r>
      <w:proofErr w:type="spellEnd"/>
      <w:r w:rsidRPr="00D77E65">
        <w:t xml:space="preserve"> </w:t>
      </w:r>
      <w:proofErr w:type="spellStart"/>
      <w:r w:rsidRPr="00D77E65">
        <w:t>gadījumos</w:t>
      </w:r>
      <w:proofErr w:type="spellEnd"/>
      <w:r w:rsidRPr="00D77E65">
        <w:t xml:space="preserve">, </w:t>
      </w:r>
      <w:proofErr w:type="spellStart"/>
      <w:r w:rsidRPr="00D77E65">
        <w:t>kad</w:t>
      </w:r>
      <w:proofErr w:type="spellEnd"/>
      <w:r w:rsidRPr="00D77E65">
        <w:t xml:space="preserve"> </w:t>
      </w:r>
      <w:proofErr w:type="spellStart"/>
      <w:r w:rsidRPr="00D77E65">
        <w:t>paredzama</w:t>
      </w:r>
      <w:proofErr w:type="spellEnd"/>
      <w:r w:rsidRPr="00D77E65">
        <w:t xml:space="preserve"> </w:t>
      </w:r>
      <w:proofErr w:type="spellStart"/>
      <w:r w:rsidRPr="00D77E65">
        <w:t>plaša</w:t>
      </w:r>
      <w:proofErr w:type="spellEnd"/>
      <w:r w:rsidRPr="00D77E65">
        <w:t xml:space="preserve"> to </w:t>
      </w:r>
      <w:proofErr w:type="spellStart"/>
      <w:r w:rsidRPr="00D77E65">
        <w:t>izmantošana</w:t>
      </w:r>
      <w:proofErr w:type="spellEnd"/>
      <w:r w:rsidRPr="00D77E65">
        <w:t xml:space="preserve">, </w:t>
      </w:r>
      <w:proofErr w:type="spellStart"/>
      <w:r w:rsidRPr="00D77E65">
        <w:t>aptverot</w:t>
      </w:r>
      <w:proofErr w:type="spellEnd"/>
      <w:r w:rsidRPr="00D77E65">
        <w:t xml:space="preserve"> </w:t>
      </w:r>
      <w:proofErr w:type="spellStart"/>
      <w:r w:rsidRPr="00D77E65">
        <w:t>lielāko</w:t>
      </w:r>
      <w:proofErr w:type="spellEnd"/>
      <w:r w:rsidRPr="00D77E65">
        <w:t xml:space="preserve"> </w:t>
      </w:r>
      <w:proofErr w:type="spellStart"/>
      <w:r w:rsidRPr="00D77E65">
        <w:t>daļu</w:t>
      </w:r>
      <w:proofErr w:type="spellEnd"/>
      <w:r w:rsidRPr="00D77E65">
        <w:t xml:space="preserve"> </w:t>
      </w:r>
      <w:proofErr w:type="spellStart"/>
      <w:r w:rsidRPr="00D77E65">
        <w:t>iedzīvotāju</w:t>
      </w:r>
      <w:proofErr w:type="spellEnd"/>
      <w:r w:rsidRPr="00D77E65">
        <w:t xml:space="preserve"> un </w:t>
      </w:r>
      <w:proofErr w:type="spellStart"/>
      <w:r w:rsidRPr="00D77E65">
        <w:t>uzņēmumu</w:t>
      </w:r>
      <w:proofErr w:type="spellEnd"/>
      <w:r w:rsidRPr="00D77E65">
        <w:t xml:space="preserve">. </w:t>
      </w:r>
      <w:proofErr w:type="spellStart"/>
      <w:r w:rsidRPr="00D77E65">
        <w:t>Ieguldījumi</w:t>
      </w:r>
      <w:proofErr w:type="spellEnd"/>
      <w:r w:rsidRPr="00D77E65">
        <w:t xml:space="preserve"> </w:t>
      </w:r>
      <w:proofErr w:type="spellStart"/>
      <w:r w:rsidRPr="00D77E65">
        <w:t>šādu</w:t>
      </w:r>
      <w:proofErr w:type="spellEnd"/>
      <w:r w:rsidRPr="00D77E65">
        <w:t xml:space="preserve"> </w:t>
      </w:r>
      <w:proofErr w:type="spellStart"/>
      <w:r w:rsidRPr="00D77E65">
        <w:lastRenderedPageBreak/>
        <w:t>lietotņu</w:t>
      </w:r>
      <w:proofErr w:type="spellEnd"/>
      <w:r w:rsidRPr="00D77E65">
        <w:t xml:space="preserve"> </w:t>
      </w:r>
      <w:proofErr w:type="spellStart"/>
      <w:r w:rsidRPr="00D77E65">
        <w:t>izstrādē</w:t>
      </w:r>
      <w:proofErr w:type="spellEnd"/>
      <w:r w:rsidRPr="00D77E65">
        <w:t xml:space="preserve"> </w:t>
      </w:r>
      <w:proofErr w:type="spellStart"/>
      <w:r w:rsidRPr="00D77E65">
        <w:t>ir</w:t>
      </w:r>
      <w:proofErr w:type="spellEnd"/>
      <w:r w:rsidRPr="00D77E65">
        <w:t xml:space="preserve"> </w:t>
      </w:r>
      <w:proofErr w:type="spellStart"/>
      <w:r w:rsidRPr="00D77E65">
        <w:t>jāplāno</w:t>
      </w:r>
      <w:proofErr w:type="spellEnd"/>
      <w:r w:rsidRPr="00D77E65">
        <w:t xml:space="preserve"> </w:t>
      </w:r>
      <w:proofErr w:type="spellStart"/>
      <w:r w:rsidRPr="00D77E65">
        <w:t>samērīgi</w:t>
      </w:r>
      <w:proofErr w:type="spellEnd"/>
      <w:r w:rsidRPr="00D77E65">
        <w:t xml:space="preserve"> </w:t>
      </w:r>
      <w:proofErr w:type="spellStart"/>
      <w:r w:rsidRPr="00D77E65">
        <w:t>ar</w:t>
      </w:r>
      <w:proofErr w:type="spellEnd"/>
      <w:r w:rsidRPr="00D77E65">
        <w:t xml:space="preserve"> </w:t>
      </w:r>
      <w:proofErr w:type="spellStart"/>
      <w:r w:rsidRPr="00D77E65">
        <w:t>sagaidāmo</w:t>
      </w:r>
      <w:proofErr w:type="spellEnd"/>
      <w:r w:rsidRPr="00D77E65">
        <w:t xml:space="preserve"> </w:t>
      </w:r>
      <w:proofErr w:type="spellStart"/>
      <w:r w:rsidRPr="00D77E65">
        <w:t>lietošanas</w:t>
      </w:r>
      <w:proofErr w:type="spellEnd"/>
      <w:r w:rsidRPr="00D77E65">
        <w:t xml:space="preserve"> </w:t>
      </w:r>
      <w:proofErr w:type="spellStart"/>
      <w:r w:rsidRPr="00D77E65">
        <w:t>apjomu</w:t>
      </w:r>
      <w:proofErr w:type="spellEnd"/>
      <w:r w:rsidRPr="00D77E65">
        <w:t xml:space="preserve">, </w:t>
      </w:r>
      <w:proofErr w:type="spellStart"/>
      <w:r w:rsidRPr="00D77E65">
        <w:t>izvairoties</w:t>
      </w:r>
      <w:proofErr w:type="spellEnd"/>
      <w:r w:rsidRPr="00D77E65">
        <w:t xml:space="preserve"> no </w:t>
      </w:r>
      <w:proofErr w:type="spellStart"/>
      <w:r w:rsidRPr="00D77E65">
        <w:t>sarežģītu</w:t>
      </w:r>
      <w:proofErr w:type="spellEnd"/>
      <w:r w:rsidRPr="00D77E65">
        <w:t xml:space="preserve"> </w:t>
      </w:r>
      <w:proofErr w:type="spellStart"/>
      <w:r w:rsidRPr="00D77E65">
        <w:t>risinājumu</w:t>
      </w:r>
      <w:proofErr w:type="spellEnd"/>
      <w:r w:rsidRPr="00D77E65">
        <w:t xml:space="preserve"> </w:t>
      </w:r>
      <w:proofErr w:type="spellStart"/>
      <w:r w:rsidRPr="00D77E65">
        <w:t>izstrādes</w:t>
      </w:r>
      <w:proofErr w:type="spellEnd"/>
      <w:r w:rsidRPr="00D77E65">
        <w:t xml:space="preserve"> </w:t>
      </w:r>
      <w:proofErr w:type="spellStart"/>
      <w:r w:rsidRPr="00D77E65">
        <w:t>pakalpojumiem</w:t>
      </w:r>
      <w:proofErr w:type="spellEnd"/>
      <w:r w:rsidRPr="00D77E65">
        <w:t xml:space="preserve">, </w:t>
      </w:r>
      <w:proofErr w:type="spellStart"/>
      <w:r w:rsidRPr="00D77E65">
        <w:t>kuriem</w:t>
      </w:r>
      <w:proofErr w:type="spellEnd"/>
      <w:r w:rsidRPr="00D77E65">
        <w:t xml:space="preserve"> </w:t>
      </w:r>
      <w:proofErr w:type="spellStart"/>
      <w:r w:rsidRPr="00D77E65">
        <w:t>ir</w:t>
      </w:r>
      <w:proofErr w:type="spellEnd"/>
      <w:r w:rsidRPr="00D77E65">
        <w:t xml:space="preserve"> </w:t>
      </w:r>
      <w:proofErr w:type="spellStart"/>
      <w:r w:rsidRPr="00D77E65">
        <w:t>mazs</w:t>
      </w:r>
      <w:proofErr w:type="spellEnd"/>
      <w:r w:rsidRPr="00D77E65">
        <w:t xml:space="preserve"> </w:t>
      </w:r>
      <w:proofErr w:type="spellStart"/>
      <w:r w:rsidRPr="00D77E65">
        <w:t>lietotāju</w:t>
      </w:r>
      <w:proofErr w:type="spellEnd"/>
      <w:r w:rsidRPr="00D77E65">
        <w:t xml:space="preserve"> </w:t>
      </w:r>
      <w:proofErr w:type="spellStart"/>
      <w:r w:rsidRPr="00D77E65">
        <w:t>skaits</w:t>
      </w:r>
      <w:proofErr w:type="spellEnd"/>
      <w:r w:rsidRPr="00D77E65">
        <w:t>.</w:t>
      </w:r>
    </w:p>
    <w:p w14:paraId="037C7FAF" w14:textId="77777777" w:rsidR="00786003" w:rsidRDefault="00786003" w:rsidP="00786003">
      <w:pPr>
        <w:rPr>
          <w:lang w:val="lv-LV"/>
        </w:rPr>
      </w:pPr>
      <w:r w:rsidRPr="00C20AD0">
        <w:rPr>
          <w:lang w:val="lv-LV"/>
        </w:rPr>
        <w:t>Novērtēšanas vadlīnijas:</w:t>
      </w:r>
    </w:p>
    <w:p w14:paraId="553D9229" w14:textId="62ECEC8B" w:rsidR="003F75C0" w:rsidRPr="00F67CD8" w:rsidRDefault="00870468" w:rsidP="003F75C0">
      <w:pPr>
        <w:pStyle w:val="ListParagraph"/>
        <w:numPr>
          <w:ilvl w:val="0"/>
          <w:numId w:val="11"/>
        </w:numPr>
        <w:rPr>
          <w:lang w:val="lv-LV"/>
        </w:rPr>
      </w:pPr>
      <w:r>
        <w:rPr>
          <w:lang w:val="lv-LV"/>
        </w:rPr>
        <w:t>VPK</w:t>
      </w:r>
      <w:r>
        <w:rPr>
          <w:lang w:val="lv-LV"/>
        </w:rPr>
        <w:t>3</w:t>
      </w:r>
      <w:r w:rsidR="004C58EB">
        <w:rPr>
          <w:lang w:val="lv-LV"/>
        </w:rPr>
        <w:t>4</w:t>
      </w:r>
      <w:r>
        <w:rPr>
          <w:lang w:val="lv-LV"/>
        </w:rPr>
        <w:t xml:space="preserve">. </w:t>
      </w:r>
      <w:r w:rsidR="003F75C0" w:rsidRPr="00F67CD8">
        <w:rPr>
          <w:lang w:val="lv-LV"/>
        </w:rPr>
        <w:t xml:space="preserve">Vai visi </w:t>
      </w:r>
      <w:r w:rsidR="003F75C0" w:rsidRPr="00F67CD8">
        <w:rPr>
          <w:lang w:val="lv-LV"/>
        </w:rPr>
        <w:t xml:space="preserve">jomas </w:t>
      </w:r>
      <w:r w:rsidR="003F75C0" w:rsidRPr="00F67CD8">
        <w:rPr>
          <w:lang w:val="lv-LV"/>
        </w:rPr>
        <w:t xml:space="preserve">publiskie pakalpojumi, kuru piedāvājums un piegāde ir iespējama elektroniski, </w:t>
      </w:r>
      <w:proofErr w:type="spellStart"/>
      <w:r w:rsidR="007E5035" w:rsidRPr="00F67CD8">
        <w:rPr>
          <w:lang w:val="lv-LV"/>
        </w:rPr>
        <w:t>mērķarhitektūrā</w:t>
      </w:r>
      <w:proofErr w:type="spellEnd"/>
      <w:r w:rsidR="007E5035" w:rsidRPr="00F67CD8">
        <w:rPr>
          <w:lang w:val="lv-LV"/>
        </w:rPr>
        <w:t xml:space="preserve"> </w:t>
      </w:r>
      <w:r w:rsidR="003F75C0" w:rsidRPr="00F67CD8">
        <w:rPr>
          <w:lang w:val="lv-LV"/>
        </w:rPr>
        <w:t>ir pieejami digitāli?</w:t>
      </w:r>
    </w:p>
    <w:p w14:paraId="62E011E2" w14:textId="236214C6" w:rsidR="00024B16" w:rsidRPr="00F67CD8" w:rsidRDefault="00870468" w:rsidP="003F75C0">
      <w:pPr>
        <w:pStyle w:val="ListParagraph"/>
        <w:numPr>
          <w:ilvl w:val="0"/>
          <w:numId w:val="11"/>
        </w:numPr>
        <w:rPr>
          <w:lang w:val="lv-LV"/>
        </w:rPr>
      </w:pPr>
      <w:r>
        <w:rPr>
          <w:lang w:val="lv-LV"/>
        </w:rPr>
        <w:t>VPK</w:t>
      </w:r>
      <w:r>
        <w:rPr>
          <w:lang w:val="lv-LV"/>
        </w:rPr>
        <w:t>3</w:t>
      </w:r>
      <w:r w:rsidR="004C58EB">
        <w:rPr>
          <w:lang w:val="lv-LV"/>
        </w:rPr>
        <w:t>5</w:t>
      </w:r>
      <w:r>
        <w:rPr>
          <w:lang w:val="lv-LV"/>
        </w:rPr>
        <w:t xml:space="preserve">. </w:t>
      </w:r>
      <w:r w:rsidR="003F75C0" w:rsidRPr="00F67CD8">
        <w:rPr>
          <w:lang w:val="lv-LV"/>
        </w:rPr>
        <w:t xml:space="preserve">Vai </w:t>
      </w:r>
      <w:proofErr w:type="spellStart"/>
      <w:r w:rsidR="007E5035" w:rsidRPr="00F67CD8">
        <w:rPr>
          <w:lang w:val="lv-LV"/>
        </w:rPr>
        <w:t>mērķarhitektūrā</w:t>
      </w:r>
      <w:proofErr w:type="spellEnd"/>
      <w:r w:rsidR="007E5035" w:rsidRPr="00F67CD8">
        <w:rPr>
          <w:lang w:val="lv-LV"/>
        </w:rPr>
        <w:t xml:space="preserve"> </w:t>
      </w:r>
      <w:r w:rsidR="003F75C0" w:rsidRPr="00F67CD8">
        <w:rPr>
          <w:lang w:val="lv-LV"/>
        </w:rPr>
        <w:t>pakalpojumi ir pieejami caur latvija.gov.lv, business.gov.lv vai citām valsts pārvaldes vietnēm?</w:t>
      </w:r>
    </w:p>
    <w:p w14:paraId="098D0D8A" w14:textId="77777777" w:rsidR="0039427D" w:rsidRDefault="00870468" w:rsidP="00DE246D">
      <w:pPr>
        <w:pStyle w:val="ListParagraph"/>
        <w:numPr>
          <w:ilvl w:val="0"/>
          <w:numId w:val="11"/>
        </w:numPr>
        <w:rPr>
          <w:lang w:val="lv-LV"/>
        </w:rPr>
      </w:pPr>
      <w:r w:rsidRPr="0039427D">
        <w:rPr>
          <w:lang w:val="lv-LV"/>
        </w:rPr>
        <w:t>VPK</w:t>
      </w:r>
      <w:r w:rsidRPr="0039427D">
        <w:rPr>
          <w:lang w:val="lv-LV"/>
        </w:rPr>
        <w:t>3</w:t>
      </w:r>
      <w:r w:rsidR="004C58EB" w:rsidRPr="0039427D">
        <w:rPr>
          <w:lang w:val="lv-LV"/>
        </w:rPr>
        <w:t>6</w:t>
      </w:r>
      <w:r w:rsidRPr="0039427D">
        <w:rPr>
          <w:lang w:val="lv-LV"/>
        </w:rPr>
        <w:t xml:space="preserve">. </w:t>
      </w:r>
      <w:r w:rsidR="0039427D" w:rsidRPr="0039427D">
        <w:rPr>
          <w:lang w:val="lv-LV"/>
        </w:rPr>
        <w:t xml:space="preserve">Vai vienkāršotajiem e-pakalpojumiem </w:t>
      </w:r>
      <w:proofErr w:type="spellStart"/>
      <w:r w:rsidR="0039427D" w:rsidRPr="0039427D">
        <w:rPr>
          <w:lang w:val="lv-LV"/>
        </w:rPr>
        <w:t>mērķarhitektūrā</w:t>
      </w:r>
      <w:proofErr w:type="spellEnd"/>
      <w:r w:rsidR="0039427D" w:rsidRPr="0039427D">
        <w:rPr>
          <w:lang w:val="lv-LV"/>
        </w:rPr>
        <w:t xml:space="preserve"> plānots izmantot VDAA e-formu ģenerators, lai nodrošinātu efektīvu ieviešanu un uzturēšanu?</w:t>
      </w:r>
    </w:p>
    <w:p w14:paraId="76B43F56" w14:textId="1974275B" w:rsidR="00786003" w:rsidRPr="0039427D" w:rsidRDefault="00870468" w:rsidP="00DE246D">
      <w:pPr>
        <w:pStyle w:val="ListParagraph"/>
        <w:numPr>
          <w:ilvl w:val="0"/>
          <w:numId w:val="11"/>
        </w:numPr>
        <w:rPr>
          <w:lang w:val="lv-LV"/>
        </w:rPr>
      </w:pPr>
      <w:r w:rsidRPr="0039427D">
        <w:rPr>
          <w:lang w:val="lv-LV"/>
        </w:rPr>
        <w:t>VPK</w:t>
      </w:r>
      <w:r w:rsidRPr="0039427D">
        <w:rPr>
          <w:lang w:val="lv-LV"/>
        </w:rPr>
        <w:t>3</w:t>
      </w:r>
      <w:r w:rsidR="004C58EB" w:rsidRPr="0039427D">
        <w:rPr>
          <w:lang w:val="lv-LV"/>
        </w:rPr>
        <w:t>7</w:t>
      </w:r>
      <w:r w:rsidRPr="0039427D">
        <w:rPr>
          <w:lang w:val="lv-LV"/>
        </w:rPr>
        <w:t xml:space="preserve">. </w:t>
      </w:r>
      <w:r w:rsidR="00574A62" w:rsidRPr="00574A62">
        <w:rPr>
          <w:lang w:val="lv-LV"/>
        </w:rPr>
        <w:t xml:space="preserve">Vai </w:t>
      </w:r>
      <w:proofErr w:type="spellStart"/>
      <w:r w:rsidR="00574A62" w:rsidRPr="00574A62">
        <w:rPr>
          <w:lang w:val="lv-LV"/>
        </w:rPr>
        <w:t>mērķarhitektūrā</w:t>
      </w:r>
      <w:proofErr w:type="spellEnd"/>
      <w:r w:rsidR="00574A62" w:rsidRPr="00574A62">
        <w:rPr>
          <w:lang w:val="lv-LV"/>
        </w:rPr>
        <w:t xml:space="preserve"> e-pakalpojumu lietotnes tiek plānotas tikai gadījumos, kad paredzama plaša to izmantošana, aptverot lielāko daļu iedzīvotāju un uzņēmumu?</w:t>
      </w:r>
    </w:p>
    <w:p w14:paraId="6F2CAE73" w14:textId="4C74A853" w:rsidR="005C70A7" w:rsidRPr="004929EC" w:rsidRDefault="002204BB" w:rsidP="00E43D18">
      <w:pPr>
        <w:pStyle w:val="Heading2"/>
        <w:rPr>
          <w:rStyle w:val="Heading4Char"/>
          <w:i w:val="0"/>
          <w:iCs w:val="0"/>
          <w:lang w:val="lv-LV"/>
        </w:rPr>
      </w:pPr>
      <w:r w:rsidRPr="00E2406D">
        <w:rPr>
          <w:rFonts w:ascii="Times New Roman" w:hAnsi="Times New Roman" w:cs="Times New Roman"/>
          <w:noProof/>
          <w:sz w:val="22"/>
          <w:szCs w:val="22"/>
          <w:lang w:val="lv-LV"/>
        </w:rPr>
        <w:drawing>
          <wp:anchor distT="0" distB="0" distL="114300" distR="114300" simplePos="0" relativeHeight="251658267" behindDoc="0" locked="0" layoutInCell="1" allowOverlap="1" wp14:anchorId="7FA097DB" wp14:editId="62A7E4A6">
            <wp:simplePos x="0" y="0"/>
            <wp:positionH relativeFrom="margin">
              <wp:posOffset>88900</wp:posOffset>
            </wp:positionH>
            <wp:positionV relativeFrom="paragraph">
              <wp:posOffset>673100</wp:posOffset>
            </wp:positionV>
            <wp:extent cx="427990" cy="427990"/>
            <wp:effectExtent l="0" t="0" r="0" b="0"/>
            <wp:wrapSquare wrapText="bothSides"/>
            <wp:docPr id="1274645747"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Pr="00E2406D">
        <w:rPr>
          <w:noProof/>
          <w:lang w:val="lv-LV"/>
        </w:rPr>
        <mc:AlternateContent>
          <mc:Choice Requires="wps">
            <w:drawing>
              <wp:anchor distT="0" distB="0" distL="114300" distR="114300" simplePos="0" relativeHeight="251658266" behindDoc="0" locked="0" layoutInCell="1" allowOverlap="1" wp14:anchorId="7638B9AE" wp14:editId="7455AF2E">
                <wp:simplePos x="0" y="0"/>
                <wp:positionH relativeFrom="column">
                  <wp:posOffset>0</wp:posOffset>
                </wp:positionH>
                <wp:positionV relativeFrom="paragraph">
                  <wp:posOffset>583565</wp:posOffset>
                </wp:positionV>
                <wp:extent cx="1828800" cy="1828800"/>
                <wp:effectExtent l="0" t="0" r="8890" b="10795"/>
                <wp:wrapTopAndBottom/>
                <wp:docPr id="71299836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3B21077" w14:textId="57DD18F5" w:rsidR="005C70A7" w:rsidRPr="00760727" w:rsidRDefault="00C46321" w:rsidP="005C70A7">
                            <w:pPr>
                              <w:ind w:left="851"/>
                              <w:jc w:val="both"/>
                              <w:rPr>
                                <w:lang w:val="lv-LV"/>
                              </w:rPr>
                            </w:pPr>
                            <w:r w:rsidRPr="00760727">
                              <w:rPr>
                                <w:lang w:val="lv-LV"/>
                              </w:rPr>
                              <w:t>Atsevišķi centralizēti pakalpojumu informācijas portāli iedzīvotājiem un uzņēmējiem ar definētu lietotāja darba vietu, kas sniedz informāciju par pakalpojumiem un nodrošina to ērtu meklēšanu.</w:t>
                            </w:r>
                          </w:p>
                          <w:p w14:paraId="36DFD04C" w14:textId="0E57156E" w:rsidR="00760727" w:rsidRPr="00760727" w:rsidRDefault="00760727" w:rsidP="005C70A7">
                            <w:pPr>
                              <w:ind w:left="851"/>
                              <w:jc w:val="both"/>
                              <w:rPr>
                                <w:lang w:val="lv-LV"/>
                              </w:rPr>
                            </w:pPr>
                            <w:r w:rsidRPr="00760727">
                              <w:rPr>
                                <w:lang w:val="lv-LV"/>
                              </w:rPr>
                              <w:t>Dažādu e-pakalpojumu piegādes platformu izmantošana un attīstība atbilstoši vienotām tehniskām prasībām.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38B9AE" id="_x0000_s1036" type="#_x0000_t202" style="position:absolute;margin-left:0;margin-top:45.95pt;width:2in;height:2in;z-index:2516582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" fillcolor="white [3201]" strokecolor="#196b24 [3206]" strokeweight="1pt">
                <v:textbox style="mso-fit-shape-to-text:t">
                  <w:txbxContent>
                    <w:p w14:paraId="23B21077" w14:textId="57DD18F5" w:rsidR="005C70A7" w:rsidRPr="00760727" w:rsidRDefault="00C46321" w:rsidP="005C70A7">
                      <w:pPr>
                        <w:ind w:left="851"/>
                        <w:jc w:val="both"/>
                        <w:rPr>
                          <w:lang w:val="lv-LV"/>
                        </w:rPr>
                      </w:pPr>
                      <w:r w:rsidRPr="00760727">
                        <w:rPr>
                          <w:lang w:val="lv-LV"/>
                        </w:rPr>
                        <w:t>Atsevišķi centralizēti pakalpojumu informācijas portāli iedzīvotājiem un uzņēmējiem ar definētu lietotāja darba vietu, kas sniedz informāciju par pakalpojumiem un nodrošina to ērtu meklēšanu.</w:t>
                      </w:r>
                    </w:p>
                    <w:p w14:paraId="36DFD04C" w14:textId="0E57156E" w:rsidR="00760727" w:rsidRPr="00760727" w:rsidRDefault="00760727" w:rsidP="005C70A7">
                      <w:pPr>
                        <w:ind w:left="851"/>
                        <w:jc w:val="both"/>
                        <w:rPr>
                          <w:lang w:val="lv-LV"/>
                        </w:rPr>
                      </w:pPr>
                      <w:r w:rsidRPr="00760727">
                        <w:rPr>
                          <w:lang w:val="lv-LV"/>
                        </w:rPr>
                        <w:t>Dažādu e-pakalpojumu piegādes platformu izmantošana un attīstība atbilstoši vienotām tehniskām prasībām.</w:t>
                      </w:r>
                    </w:p>
                  </w:txbxContent>
                </v:textbox>
                <w10:wrap type="topAndBottom"/>
              </v:shape>
            </w:pict>
          </mc:Fallback>
        </mc:AlternateContent>
      </w:r>
      <w:r w:rsidR="005C70A7">
        <w:rPr>
          <w:lang w:val="lv-LV"/>
        </w:rPr>
        <w:t>P</w:t>
      </w:r>
      <w:r w:rsidR="00E43D18">
        <w:rPr>
          <w:lang w:val="lv-LV"/>
        </w:rPr>
        <w:t>11</w:t>
      </w:r>
      <w:r w:rsidR="005C70A7">
        <w:rPr>
          <w:lang w:val="lv-LV"/>
        </w:rPr>
        <w:t xml:space="preserve">. </w:t>
      </w:r>
      <w:r w:rsidR="00760727">
        <w:rPr>
          <w:lang w:val="lv-LV"/>
        </w:rPr>
        <w:t>Centralizēta pakalpojumu meklēšana</w:t>
      </w:r>
      <w:r w:rsidR="00C46321">
        <w:rPr>
          <w:lang w:val="lv-LV"/>
        </w:rPr>
        <w:t>, decentralizēta</w:t>
      </w:r>
      <w:r>
        <w:rPr>
          <w:lang w:val="lv-LV"/>
        </w:rPr>
        <w:t xml:space="preserve"> piedāvāšana un</w:t>
      </w:r>
      <w:r w:rsidR="00C46321">
        <w:rPr>
          <w:lang w:val="lv-LV"/>
        </w:rPr>
        <w:t xml:space="preserve"> izvietošana</w:t>
      </w:r>
    </w:p>
    <w:p w14:paraId="637C16FB" w14:textId="77777777" w:rsidR="00F67CD8" w:rsidRDefault="00F67CD8" w:rsidP="00F67CD8">
      <w:pPr>
        <w:rPr>
          <w:lang w:val="lv-LV"/>
        </w:rPr>
      </w:pPr>
    </w:p>
    <w:p w14:paraId="665AEDB6" w14:textId="330F0D40" w:rsidR="00F67CD8" w:rsidRPr="00AE17B5" w:rsidRDefault="00F67CD8" w:rsidP="00F67CD8">
      <w:pPr>
        <w:rPr>
          <w:lang w:val="lv-LV"/>
        </w:rPr>
      </w:pPr>
      <w:r w:rsidRPr="00AE17B5">
        <w:rPr>
          <w:lang w:val="lv-LV"/>
        </w:rPr>
        <w:t>Piemērošanas vadlīnijas:</w:t>
      </w:r>
    </w:p>
    <w:p w14:paraId="55B4EF77" w14:textId="6C984DC7" w:rsidR="00F67CD8" w:rsidRPr="004571A3" w:rsidRDefault="00D73806" w:rsidP="00F67CD8">
      <w:pPr>
        <w:pStyle w:val="ListParagraph"/>
        <w:numPr>
          <w:ilvl w:val="0"/>
          <w:numId w:val="11"/>
        </w:numPr>
        <w:jc w:val="both"/>
        <w:rPr>
          <w:lang w:val="lv-LV"/>
        </w:rPr>
      </w:pPr>
      <w:r w:rsidRPr="004571A3">
        <w:rPr>
          <w:lang w:val="lv-LV"/>
        </w:rPr>
        <w:t>Nodrošiniet, ka v</w:t>
      </w:r>
      <w:r w:rsidRPr="004571A3">
        <w:rPr>
          <w:lang w:val="lv-LV"/>
        </w:rPr>
        <w:t>ienots centralizēts pakalpojumu reģistrs ir pamats vienotai pakalpojumu sniegšanai un primārais informācijas avots par publiskajiem pakalpojumiem</w:t>
      </w:r>
      <w:r w:rsidR="006F25D2" w:rsidRPr="004571A3">
        <w:rPr>
          <w:lang w:val="lv-LV"/>
        </w:rPr>
        <w:t>:</w:t>
      </w:r>
    </w:p>
    <w:p w14:paraId="313BC802" w14:textId="77777777" w:rsidR="006F25D2" w:rsidRPr="004571A3" w:rsidRDefault="006F25D2" w:rsidP="006F25D2">
      <w:pPr>
        <w:pStyle w:val="ListParagraph"/>
        <w:numPr>
          <w:ilvl w:val="1"/>
          <w:numId w:val="11"/>
        </w:numPr>
        <w:spacing w:line="247" w:lineRule="auto"/>
        <w:jc w:val="both"/>
        <w:rPr>
          <w:lang w:val="lv-LV"/>
        </w:rPr>
      </w:pPr>
      <w:r w:rsidRPr="004571A3">
        <w:rPr>
          <w:lang w:val="lv-LV"/>
        </w:rPr>
        <w:t>Valsts vienotais reģistrs ir valstī centralizēts, koplietošanas reģistrs, kas ir primārais (galvenais) informācijas avots saistībā ar tajā reģistrētajiem objektiem (tostarp visi pakalpojumu katalogu publicētāji informāciju par pakalpojumiem – pakalpojumu aprakstus, iegūst no Valsts vienotā reģistra);</w:t>
      </w:r>
    </w:p>
    <w:p w14:paraId="5D74CA12" w14:textId="77777777" w:rsidR="006F25D2" w:rsidRPr="004571A3" w:rsidRDefault="006F25D2" w:rsidP="006F25D2">
      <w:pPr>
        <w:pStyle w:val="ListParagraph"/>
        <w:numPr>
          <w:ilvl w:val="1"/>
          <w:numId w:val="11"/>
        </w:numPr>
        <w:spacing w:line="247" w:lineRule="auto"/>
        <w:jc w:val="both"/>
        <w:rPr>
          <w:lang w:val="lv-LV"/>
        </w:rPr>
      </w:pPr>
      <w:r w:rsidRPr="004571A3">
        <w:rPr>
          <w:rFonts w:eastAsia="Times New Roman" w:cs="Times New Roman"/>
          <w:lang w:val="lv-LV"/>
        </w:rPr>
        <w:t xml:space="preserve">Iestāžu un tematiskajās vietnēs informācija par pieejamajiem publiskajiem pakalpojumiem tiek publicēta kā pakalpojumu piedāvājumi, kas var atšķirties no Pakalpojumu reģistra pakalpojumiem (piemēram, līdzīgi pakalpojumi var </w:t>
      </w:r>
      <w:r w:rsidRPr="004571A3">
        <w:rPr>
          <w:rFonts w:eastAsia="Times New Roman" w:cs="Times New Roman"/>
          <w:lang w:val="lv-LV"/>
        </w:rPr>
        <w:lastRenderedPageBreak/>
        <w:t>tikt grupēti kā viens pakalpojumu piedāvājums), taču pakalpojumu piedāvājumi veidojas un kartējas ar Pakalpojumu reģistra pakalpojumiem;</w:t>
      </w:r>
    </w:p>
    <w:p w14:paraId="6478EA1B" w14:textId="372693DD" w:rsidR="006F25D2" w:rsidRPr="004571A3" w:rsidRDefault="006F25D2" w:rsidP="006F25D2">
      <w:pPr>
        <w:pStyle w:val="ListParagraph"/>
        <w:numPr>
          <w:ilvl w:val="1"/>
          <w:numId w:val="11"/>
        </w:numPr>
        <w:spacing w:line="247" w:lineRule="auto"/>
        <w:jc w:val="both"/>
        <w:rPr>
          <w:lang w:val="lv-LV"/>
        </w:rPr>
      </w:pPr>
      <w:r w:rsidRPr="004571A3">
        <w:rPr>
          <w:lang w:val="lv-LV"/>
        </w:rPr>
        <w:t>Vienoto reģistru nodrošina VIRSIS</w:t>
      </w:r>
      <w:r w:rsidR="00097898" w:rsidRPr="004571A3">
        <w:rPr>
          <w:lang w:val="lv-LV"/>
        </w:rPr>
        <w:t xml:space="preserve"> (nodrošina VDAA). </w:t>
      </w:r>
    </w:p>
    <w:p w14:paraId="3D8B2E69" w14:textId="747678C6" w:rsidR="000D3EDC" w:rsidRPr="004571A3" w:rsidRDefault="000D3EDC" w:rsidP="000D3EDC">
      <w:pPr>
        <w:pStyle w:val="ListParagraph"/>
        <w:numPr>
          <w:ilvl w:val="0"/>
          <w:numId w:val="11"/>
        </w:numPr>
        <w:rPr>
          <w:lang w:val="lv-LV"/>
        </w:rPr>
      </w:pPr>
      <w:r w:rsidRPr="004571A3">
        <w:rPr>
          <w:lang w:val="lv-LV"/>
        </w:rPr>
        <w:t xml:space="preserve">Nodrošiniet, ka pakalpojumi </w:t>
      </w:r>
      <w:r w:rsidRPr="004571A3">
        <w:rPr>
          <w:lang w:val="lv-LV"/>
        </w:rPr>
        <w:t>tiek piedāvāti pakalpojumu katalogos</w:t>
      </w:r>
      <w:r w:rsidRPr="004571A3">
        <w:rPr>
          <w:lang w:val="lv-LV"/>
        </w:rPr>
        <w:t xml:space="preserve"> </w:t>
      </w:r>
      <w:r w:rsidR="00E43E9B" w:rsidRPr="004571A3">
        <w:rPr>
          <w:lang w:val="lv-LV"/>
        </w:rPr>
        <w:t>(i</w:t>
      </w:r>
      <w:r w:rsidRPr="004571A3">
        <w:rPr>
          <w:lang w:val="lv-LV"/>
        </w:rPr>
        <w:t>edzīvotājiem – Latvija.gov.lv;</w:t>
      </w:r>
      <w:r w:rsidRPr="004571A3">
        <w:rPr>
          <w:lang w:val="lv-LV"/>
        </w:rPr>
        <w:t xml:space="preserve"> </w:t>
      </w:r>
      <w:r w:rsidR="00E43E9B" w:rsidRPr="004571A3">
        <w:rPr>
          <w:lang w:val="lv-LV"/>
        </w:rPr>
        <w:t>u</w:t>
      </w:r>
      <w:r w:rsidRPr="004571A3">
        <w:rPr>
          <w:lang w:val="lv-LV"/>
        </w:rPr>
        <w:t>zņēmējiem – business.gov.lv;</w:t>
      </w:r>
      <w:r w:rsidRPr="004571A3">
        <w:rPr>
          <w:lang w:val="lv-LV"/>
        </w:rPr>
        <w:t xml:space="preserve"> </w:t>
      </w:r>
      <w:r w:rsidR="00E43E9B" w:rsidRPr="004571A3">
        <w:rPr>
          <w:lang w:val="lv-LV"/>
        </w:rPr>
        <w:t>i</w:t>
      </w:r>
      <w:r w:rsidRPr="004571A3">
        <w:rPr>
          <w:lang w:val="lv-LV"/>
        </w:rPr>
        <w:t>estādēm - virsis.gov.lv</w:t>
      </w:r>
      <w:r w:rsidRPr="004571A3">
        <w:rPr>
          <w:lang w:val="lv-LV"/>
        </w:rPr>
        <w:t>):</w:t>
      </w:r>
    </w:p>
    <w:p w14:paraId="1F803B21" w14:textId="77777777" w:rsidR="000D3EDC" w:rsidRPr="000D3EDC" w:rsidRDefault="000D3EDC" w:rsidP="000D3EDC">
      <w:pPr>
        <w:pStyle w:val="ListParagraph"/>
        <w:numPr>
          <w:ilvl w:val="1"/>
          <w:numId w:val="11"/>
        </w:numPr>
        <w:rPr>
          <w:lang w:val="lv-LV"/>
        </w:rPr>
      </w:pPr>
      <w:r w:rsidRPr="000D3EDC">
        <w:rPr>
          <w:lang w:val="lv-LV"/>
        </w:rPr>
        <w:t>Pakalpojumu katalogs var tikt izvietots iestāžu tīmekļvietnēs, gan arī iestāžu pašapkalpošanās tīmekļvietnēs, kā arī mobilajās lietotnēs, sociālo tīklu kontus u.c..</w:t>
      </w:r>
    </w:p>
    <w:p w14:paraId="15691152" w14:textId="77777777" w:rsidR="000D3EDC" w:rsidRPr="000D3EDC" w:rsidRDefault="000D3EDC" w:rsidP="000D3EDC">
      <w:pPr>
        <w:pStyle w:val="ListParagraph"/>
        <w:numPr>
          <w:ilvl w:val="1"/>
          <w:numId w:val="11"/>
        </w:numPr>
        <w:rPr>
          <w:lang w:val="lv-LV"/>
        </w:rPr>
      </w:pPr>
      <w:r w:rsidRPr="000D3EDC">
        <w:rPr>
          <w:lang w:val="lv-LV"/>
        </w:rPr>
        <w:t>Tāpat to var izvietot arī privātā sektora pārvaldītos resursos un sociālos tīklos.</w:t>
      </w:r>
    </w:p>
    <w:p w14:paraId="78034A06" w14:textId="4C19694D" w:rsidR="006F25D2" w:rsidRPr="004571A3" w:rsidRDefault="007236EE" w:rsidP="006F25D2">
      <w:pPr>
        <w:pStyle w:val="ListParagraph"/>
        <w:numPr>
          <w:ilvl w:val="0"/>
          <w:numId w:val="11"/>
        </w:numPr>
        <w:jc w:val="both"/>
        <w:rPr>
          <w:lang w:val="lv-LV"/>
        </w:rPr>
      </w:pPr>
      <w:r w:rsidRPr="004571A3">
        <w:rPr>
          <w:lang w:val="lv-LV"/>
        </w:rPr>
        <w:t>Paredziet d</w:t>
      </w:r>
      <w:r w:rsidRPr="004571A3">
        <w:rPr>
          <w:lang w:val="lv-LV"/>
        </w:rPr>
        <w:t>ažādu e-pakalpojumu piegādes platformu izmantošan</w:t>
      </w:r>
      <w:r w:rsidRPr="004571A3">
        <w:rPr>
          <w:lang w:val="lv-LV"/>
        </w:rPr>
        <w:t>u</w:t>
      </w:r>
      <w:r w:rsidRPr="004571A3">
        <w:rPr>
          <w:lang w:val="lv-LV"/>
        </w:rPr>
        <w:t xml:space="preserve"> un attīstīb</w:t>
      </w:r>
      <w:r w:rsidRPr="004571A3">
        <w:rPr>
          <w:lang w:val="lv-LV"/>
        </w:rPr>
        <w:t xml:space="preserve">u </w:t>
      </w:r>
      <w:r w:rsidRPr="004571A3">
        <w:rPr>
          <w:lang w:val="lv-LV"/>
        </w:rPr>
        <w:t>atbilstoši vienotām tehniskām prasībām</w:t>
      </w:r>
      <w:r w:rsidRPr="004571A3">
        <w:rPr>
          <w:lang w:val="lv-LV"/>
        </w:rPr>
        <w:t>:</w:t>
      </w:r>
    </w:p>
    <w:p w14:paraId="51A0FE63" w14:textId="77777777" w:rsidR="008F4E63" w:rsidRPr="004571A3" w:rsidRDefault="008F4E63" w:rsidP="008F4E63">
      <w:pPr>
        <w:pStyle w:val="ListParagraph"/>
        <w:numPr>
          <w:ilvl w:val="1"/>
          <w:numId w:val="11"/>
        </w:numPr>
        <w:jc w:val="both"/>
        <w:rPr>
          <w:lang w:val="lv-LV"/>
        </w:rPr>
      </w:pPr>
      <w:r w:rsidRPr="004571A3">
        <w:rPr>
          <w:lang w:val="lv-LV"/>
        </w:rPr>
        <w:t>E-pakalpojumu piegāde tiek nodrošināta gan caur centralizēto platformu latvija.gov.lv, gan caur atsevišķu iestāžu veidotām e-pakalpojumu piegādes platformām un informācijas sistēmām, piemēram, VID EDS, Uzņēmumu reģistrs (UR), business.gov.lv un LAD platformu.</w:t>
      </w:r>
    </w:p>
    <w:p w14:paraId="284BF0B6" w14:textId="77777777" w:rsidR="008F4E63" w:rsidRPr="004571A3" w:rsidRDefault="008F4E63" w:rsidP="008F4E63">
      <w:pPr>
        <w:pStyle w:val="ListParagraph"/>
        <w:numPr>
          <w:ilvl w:val="1"/>
          <w:numId w:val="11"/>
        </w:numPr>
        <w:jc w:val="both"/>
        <w:rPr>
          <w:lang w:val="lv-LV"/>
        </w:rPr>
      </w:pPr>
      <w:r w:rsidRPr="004571A3">
        <w:rPr>
          <w:lang w:val="lv-LV"/>
        </w:rPr>
        <w:t>Visas platformas tiek veidotas atbilstoši vienotām tehniskām prasībām, nodrošinot to savietojamību ar pakalpojumu informācijas portāliem, kā arī savstarpēju integrāciju, lai veicinātu vienotu un efektīvu piegādes sistēmu.</w:t>
      </w:r>
    </w:p>
    <w:p w14:paraId="6E853EF4" w14:textId="33324598" w:rsidR="007236EE" w:rsidRPr="004571A3" w:rsidRDefault="008F4E63" w:rsidP="00213689">
      <w:pPr>
        <w:pStyle w:val="ListParagraph"/>
        <w:numPr>
          <w:ilvl w:val="1"/>
          <w:numId w:val="11"/>
        </w:numPr>
        <w:jc w:val="both"/>
        <w:rPr>
          <w:lang w:val="lv-LV"/>
        </w:rPr>
      </w:pPr>
      <w:r w:rsidRPr="004571A3">
        <w:rPr>
          <w:lang w:val="lv-LV"/>
        </w:rPr>
        <w:t>Iestādes izvēlas piemērotāko e-pakalpojumu piegādes platformu, ņemot vērā</w:t>
      </w:r>
      <w:r w:rsidR="00213689" w:rsidRPr="004571A3">
        <w:rPr>
          <w:lang w:val="lv-LV"/>
        </w:rPr>
        <w:t xml:space="preserve"> p</w:t>
      </w:r>
      <w:r w:rsidRPr="004571A3">
        <w:rPr>
          <w:lang w:val="lv-LV"/>
        </w:rPr>
        <w:t>akalpojumu sarežģītību un sasaisti ar iestādes pamatdarbības sistēmām</w:t>
      </w:r>
      <w:r w:rsidR="00213689" w:rsidRPr="004571A3">
        <w:rPr>
          <w:lang w:val="lv-LV"/>
        </w:rPr>
        <w:t xml:space="preserve"> un p</w:t>
      </w:r>
      <w:r w:rsidRPr="004571A3">
        <w:rPr>
          <w:lang w:val="lv-LV"/>
        </w:rPr>
        <w:t>akalpojumu apjomu un sagaidāmo lietotāju gadījumu skaitu.</w:t>
      </w:r>
    </w:p>
    <w:p w14:paraId="384261BC" w14:textId="74CFC328" w:rsidR="002D34E5" w:rsidRPr="004571A3" w:rsidRDefault="002D34E5" w:rsidP="002D34E5">
      <w:pPr>
        <w:pStyle w:val="ListParagraph"/>
        <w:numPr>
          <w:ilvl w:val="0"/>
          <w:numId w:val="11"/>
        </w:numPr>
        <w:rPr>
          <w:lang w:val="lv-LV"/>
        </w:rPr>
      </w:pPr>
      <w:r w:rsidRPr="004571A3">
        <w:rPr>
          <w:lang w:val="lv-LV"/>
        </w:rPr>
        <w:t>Nodrošiniet v</w:t>
      </w:r>
      <w:r w:rsidRPr="004571A3">
        <w:rPr>
          <w:lang w:val="lv-LV"/>
        </w:rPr>
        <w:t xml:space="preserve">ienotās pieteikšanās izmantošana (SSO), </w:t>
      </w:r>
      <w:r w:rsidR="00F61E80" w:rsidRPr="004571A3">
        <w:rPr>
          <w:lang w:val="lv-LV"/>
        </w:rPr>
        <w:t>piekļuvei</w:t>
      </w:r>
      <w:r w:rsidRPr="004571A3">
        <w:rPr>
          <w:lang w:val="lv-LV"/>
        </w:rPr>
        <w:t xml:space="preserve"> e-pakalpojumu piegādes platformām bez atkārtotas pieteikšanās</w:t>
      </w:r>
    </w:p>
    <w:p w14:paraId="65AC357F" w14:textId="77777777" w:rsidR="002D34E5" w:rsidRPr="002D34E5" w:rsidRDefault="002D34E5" w:rsidP="00F61E80">
      <w:pPr>
        <w:pStyle w:val="ListParagraph"/>
        <w:numPr>
          <w:ilvl w:val="1"/>
          <w:numId w:val="11"/>
        </w:numPr>
        <w:rPr>
          <w:lang w:val="lv-LV"/>
        </w:rPr>
      </w:pPr>
      <w:r w:rsidRPr="002D34E5">
        <w:rPr>
          <w:lang w:val="lv-LV"/>
        </w:rPr>
        <w:t>Iespēja bez atkārtotas pieteikšanās pārslēgties starp valsts pārvaldes e-pakalpojumu piegādes platformām/ risinājumiem (</w:t>
      </w:r>
      <w:proofErr w:type="spellStart"/>
      <w:r w:rsidRPr="002D34E5">
        <w:rPr>
          <w:i/>
          <w:lang w:val="lv-LV"/>
        </w:rPr>
        <w:t>Single</w:t>
      </w:r>
      <w:proofErr w:type="spellEnd"/>
      <w:r w:rsidRPr="002D34E5">
        <w:rPr>
          <w:i/>
          <w:lang w:val="lv-LV"/>
        </w:rPr>
        <w:t xml:space="preserve"> </w:t>
      </w:r>
      <w:proofErr w:type="spellStart"/>
      <w:r w:rsidRPr="002D34E5">
        <w:rPr>
          <w:i/>
          <w:lang w:val="lv-LV"/>
        </w:rPr>
        <w:t>Sign</w:t>
      </w:r>
      <w:proofErr w:type="spellEnd"/>
      <w:r w:rsidRPr="002D34E5">
        <w:rPr>
          <w:i/>
          <w:lang w:val="lv-LV"/>
        </w:rPr>
        <w:t xml:space="preserve"> </w:t>
      </w:r>
      <w:proofErr w:type="spellStart"/>
      <w:r w:rsidRPr="002D34E5">
        <w:rPr>
          <w:i/>
          <w:lang w:val="lv-LV"/>
        </w:rPr>
        <w:t>On</w:t>
      </w:r>
      <w:proofErr w:type="spellEnd"/>
      <w:r w:rsidRPr="002D34E5">
        <w:rPr>
          <w:i/>
          <w:lang w:val="lv-LV"/>
        </w:rPr>
        <w:t xml:space="preserve"> – SSO</w:t>
      </w:r>
      <w:r w:rsidRPr="002D34E5">
        <w:rPr>
          <w:lang w:val="lv-LV"/>
        </w:rPr>
        <w:t>), izmantojot centralizēti izsniegtu sesijas talonu;</w:t>
      </w:r>
    </w:p>
    <w:p w14:paraId="1A8D3EED" w14:textId="77777777" w:rsidR="002D34E5" w:rsidRPr="002D34E5" w:rsidRDefault="002D34E5" w:rsidP="00F61E80">
      <w:pPr>
        <w:pStyle w:val="ListParagraph"/>
        <w:numPr>
          <w:ilvl w:val="1"/>
          <w:numId w:val="11"/>
        </w:numPr>
        <w:rPr>
          <w:lang w:val="lv-LV"/>
        </w:rPr>
      </w:pPr>
      <w:r w:rsidRPr="002D34E5">
        <w:rPr>
          <w:lang w:val="lv-LV"/>
        </w:rPr>
        <w:t>Iespēja sesijas parametros noteikt arī lietotāja lomu (fiziska persona vai konkrētas juridiskas personas pārstāvis);</w:t>
      </w:r>
    </w:p>
    <w:p w14:paraId="37B3D241" w14:textId="77777777" w:rsidR="002D34E5" w:rsidRPr="002D34E5" w:rsidRDefault="002D34E5" w:rsidP="00F61E80">
      <w:pPr>
        <w:pStyle w:val="ListParagraph"/>
        <w:numPr>
          <w:ilvl w:val="1"/>
          <w:numId w:val="11"/>
        </w:numPr>
        <w:rPr>
          <w:lang w:val="lv-LV"/>
        </w:rPr>
      </w:pPr>
      <w:r w:rsidRPr="002D34E5">
        <w:rPr>
          <w:lang w:val="lv-LV"/>
        </w:rPr>
        <w:t>Tas tiek nodrošināts izmantojot esošo VDAA VPM moduli;</w:t>
      </w:r>
    </w:p>
    <w:p w14:paraId="0895DE62" w14:textId="77777777" w:rsidR="002D34E5" w:rsidRPr="002D34E5" w:rsidRDefault="002D34E5" w:rsidP="00F61E80">
      <w:pPr>
        <w:pStyle w:val="ListParagraph"/>
        <w:numPr>
          <w:ilvl w:val="1"/>
          <w:numId w:val="11"/>
        </w:numPr>
        <w:rPr>
          <w:lang w:val="lv-LV"/>
        </w:rPr>
      </w:pPr>
      <w:r w:rsidRPr="002D34E5">
        <w:rPr>
          <w:lang w:val="lv-LV"/>
        </w:rPr>
        <w:t xml:space="preserve">Lietotājam pašapkalpošanās tīmekļvietnē ir pieejama vienota rīkjosla (līdzīgi Google </w:t>
      </w:r>
      <w:proofErr w:type="spellStart"/>
      <w:r w:rsidRPr="002D34E5">
        <w:rPr>
          <w:lang w:val="lv-LV"/>
        </w:rPr>
        <w:t>Apps</w:t>
      </w:r>
      <w:proofErr w:type="spellEnd"/>
      <w:r w:rsidRPr="002D34E5">
        <w:rPr>
          <w:lang w:val="lv-LV"/>
        </w:rPr>
        <w:t xml:space="preserve"> vai Microsoft 365), kas pēc pieteikšanās ļauj lietotājam ērti atvērt dažādas sistēmas un pārslēgties starp tām.</w:t>
      </w:r>
    </w:p>
    <w:p w14:paraId="63609BC6" w14:textId="1D04EE09" w:rsidR="005F51B4" w:rsidRPr="004571A3" w:rsidRDefault="005F51B4" w:rsidP="002442E8">
      <w:pPr>
        <w:pStyle w:val="ListParagraph"/>
        <w:numPr>
          <w:ilvl w:val="0"/>
          <w:numId w:val="24"/>
        </w:numPr>
        <w:spacing w:line="247" w:lineRule="auto"/>
        <w:rPr>
          <w:lang w:val="lv-LV"/>
        </w:rPr>
      </w:pPr>
      <w:r w:rsidRPr="004571A3">
        <w:rPr>
          <w:lang w:val="lv-LV"/>
        </w:rPr>
        <w:t>Nodrošiniet, ka l</w:t>
      </w:r>
      <w:r w:rsidRPr="004571A3">
        <w:rPr>
          <w:lang w:val="lv-LV"/>
        </w:rPr>
        <w:t>ietotāja darba vietā var piekļūt pats lietotājs vai lietotāja pilnvarota persona.</w:t>
      </w:r>
    </w:p>
    <w:p w14:paraId="0C44E99A" w14:textId="77777777" w:rsidR="005F51B4" w:rsidRPr="004571A3" w:rsidRDefault="005F51B4" w:rsidP="005F51B4">
      <w:pPr>
        <w:pStyle w:val="ListParagraph"/>
        <w:numPr>
          <w:ilvl w:val="1"/>
          <w:numId w:val="23"/>
        </w:numPr>
        <w:spacing w:line="247" w:lineRule="auto"/>
        <w:rPr>
          <w:lang w:val="lv-LV"/>
        </w:rPr>
      </w:pPr>
      <w:r w:rsidRPr="004571A3">
        <w:rPr>
          <w:lang w:val="lv-LV"/>
        </w:rPr>
        <w:t>Pakalpojuma pieprasījumu veikt un lietotni izpildīt pats vai pilnvarotā persona.</w:t>
      </w:r>
    </w:p>
    <w:p w14:paraId="50C557B6" w14:textId="2FCDC3CC" w:rsidR="008B23F8" w:rsidRPr="00A078B8" w:rsidRDefault="005F51B4" w:rsidP="00A078B8">
      <w:pPr>
        <w:pStyle w:val="ListParagraph"/>
        <w:numPr>
          <w:ilvl w:val="1"/>
          <w:numId w:val="23"/>
        </w:numPr>
        <w:spacing w:line="247" w:lineRule="auto"/>
        <w:rPr>
          <w:lang w:val="lv-LV"/>
        </w:rPr>
      </w:pPr>
      <w:r w:rsidRPr="00C27E83">
        <w:rPr>
          <w:lang w:val="lv-LV"/>
        </w:rPr>
        <w:lastRenderedPageBreak/>
        <w:t xml:space="preserve">Tiek nodrošināta integrācijas iespēja ar VPVKAC IS (īstenots VDAA e-pakalpojuma ietvarā). </w:t>
      </w:r>
    </w:p>
    <w:p w14:paraId="19537BA1" w14:textId="77777777" w:rsidR="00F67CD8" w:rsidRPr="0060250A" w:rsidRDefault="00F67CD8" w:rsidP="00F67CD8">
      <w:pPr>
        <w:rPr>
          <w:lang w:val="lv-LV"/>
        </w:rPr>
      </w:pPr>
      <w:r w:rsidRPr="0060250A">
        <w:rPr>
          <w:lang w:val="lv-LV"/>
        </w:rPr>
        <w:t>Novērtēšanas vadlīnijas:</w:t>
      </w:r>
    </w:p>
    <w:p w14:paraId="3BCD1EB7" w14:textId="5A1F7DC2" w:rsidR="008A28AD" w:rsidRPr="004571A3" w:rsidRDefault="00870468" w:rsidP="008A28AD">
      <w:pPr>
        <w:pStyle w:val="ListParagraph"/>
        <w:numPr>
          <w:ilvl w:val="0"/>
          <w:numId w:val="24"/>
        </w:numPr>
        <w:rPr>
          <w:lang w:val="lv-LV"/>
        </w:rPr>
      </w:pPr>
      <w:r w:rsidRPr="004571A3">
        <w:rPr>
          <w:lang w:val="lv-LV"/>
        </w:rPr>
        <w:t>VPK</w:t>
      </w:r>
      <w:r w:rsidR="00A44CF0">
        <w:rPr>
          <w:lang w:val="lv-LV"/>
        </w:rPr>
        <w:t>38</w:t>
      </w:r>
      <w:r w:rsidRPr="004571A3">
        <w:rPr>
          <w:lang w:val="lv-LV"/>
        </w:rPr>
        <w:t xml:space="preserve">. </w:t>
      </w:r>
      <w:r w:rsidR="008A28AD" w:rsidRPr="004571A3">
        <w:rPr>
          <w:lang w:val="lv-LV"/>
        </w:rPr>
        <w:t xml:space="preserve">Vai </w:t>
      </w:r>
      <w:proofErr w:type="spellStart"/>
      <w:r w:rsidR="008A28AD" w:rsidRPr="004571A3">
        <w:rPr>
          <w:lang w:val="lv-LV"/>
        </w:rPr>
        <w:t>mērķarhitektūrā</w:t>
      </w:r>
      <w:proofErr w:type="spellEnd"/>
      <w:r w:rsidR="008A28AD" w:rsidRPr="004571A3">
        <w:rPr>
          <w:lang w:val="lv-LV"/>
        </w:rPr>
        <w:t xml:space="preserve"> paredzēta </w:t>
      </w:r>
      <w:r w:rsidR="000345FF" w:rsidRPr="004571A3">
        <w:rPr>
          <w:lang w:val="lv-LV"/>
        </w:rPr>
        <w:t xml:space="preserve">VIRSIS izmantošana un integrācija </w:t>
      </w:r>
      <w:r w:rsidR="000345FF" w:rsidRPr="004571A3">
        <w:rPr>
          <w:lang w:val="lv-LV"/>
        </w:rPr>
        <w:t>pakalpojumu aprakst</w:t>
      </w:r>
      <w:r w:rsidR="000345FF" w:rsidRPr="004571A3">
        <w:rPr>
          <w:lang w:val="lv-LV"/>
        </w:rPr>
        <w:t>u</w:t>
      </w:r>
      <w:r w:rsidR="000345FF" w:rsidRPr="004571A3">
        <w:rPr>
          <w:lang w:val="lv-LV"/>
        </w:rPr>
        <w:t xml:space="preserve"> un informācija</w:t>
      </w:r>
      <w:r w:rsidR="000345FF" w:rsidRPr="004571A3">
        <w:rPr>
          <w:lang w:val="lv-LV"/>
        </w:rPr>
        <w:t xml:space="preserve">s izgūšanai? </w:t>
      </w:r>
      <w:r w:rsidR="000345FF" w:rsidRPr="004571A3">
        <w:rPr>
          <w:lang w:val="lv-LV"/>
        </w:rPr>
        <w:t xml:space="preserve"> </w:t>
      </w:r>
    </w:p>
    <w:p w14:paraId="59F09ED1" w14:textId="69184024" w:rsidR="003D76C1" w:rsidRPr="004571A3" w:rsidRDefault="00870468" w:rsidP="003D76C1">
      <w:pPr>
        <w:pStyle w:val="ListParagraph"/>
        <w:numPr>
          <w:ilvl w:val="0"/>
          <w:numId w:val="24"/>
        </w:numPr>
        <w:rPr>
          <w:lang w:val="lv-LV"/>
        </w:rPr>
      </w:pPr>
      <w:r w:rsidRPr="004571A3">
        <w:rPr>
          <w:lang w:val="lv-LV"/>
        </w:rPr>
        <w:t>VPK</w:t>
      </w:r>
      <w:r w:rsidR="00A44CF0">
        <w:rPr>
          <w:lang w:val="lv-LV"/>
        </w:rPr>
        <w:t>39</w:t>
      </w:r>
      <w:r w:rsidRPr="004571A3">
        <w:rPr>
          <w:lang w:val="lv-LV"/>
        </w:rPr>
        <w:t xml:space="preserve">. </w:t>
      </w:r>
      <w:r w:rsidR="003D76C1" w:rsidRPr="004571A3">
        <w:rPr>
          <w:lang w:val="lv-LV"/>
        </w:rPr>
        <w:t xml:space="preserve">Vai </w:t>
      </w:r>
      <w:proofErr w:type="spellStart"/>
      <w:r w:rsidR="003D76C1" w:rsidRPr="004571A3">
        <w:rPr>
          <w:lang w:val="lv-LV"/>
        </w:rPr>
        <w:t>mērķarhitektūrā</w:t>
      </w:r>
      <w:proofErr w:type="spellEnd"/>
      <w:r w:rsidR="003D76C1" w:rsidRPr="004571A3">
        <w:rPr>
          <w:lang w:val="lv-LV"/>
        </w:rPr>
        <w:t xml:space="preserve"> ir paredzēta </w:t>
      </w:r>
      <w:r w:rsidR="00FC259A">
        <w:rPr>
          <w:lang w:val="lv-LV"/>
        </w:rPr>
        <w:t>p</w:t>
      </w:r>
      <w:r w:rsidR="003D76C1" w:rsidRPr="004571A3">
        <w:rPr>
          <w:lang w:val="lv-LV"/>
        </w:rPr>
        <w:t>akalpojumu piedāvāšana vienotos</w:t>
      </w:r>
      <w:r w:rsidR="003D76C1" w:rsidRPr="004571A3">
        <w:rPr>
          <w:lang w:val="lv-LV"/>
        </w:rPr>
        <w:t xml:space="preserve"> katalogos</w:t>
      </w:r>
      <w:r w:rsidR="003D76C1" w:rsidRPr="004571A3">
        <w:rPr>
          <w:lang w:val="lv-LV"/>
        </w:rPr>
        <w:t xml:space="preserve"> (i</w:t>
      </w:r>
      <w:r w:rsidR="003D76C1" w:rsidRPr="004571A3">
        <w:rPr>
          <w:lang w:val="lv-LV"/>
        </w:rPr>
        <w:t>edzīvotājiem: latvija.gov.lv</w:t>
      </w:r>
      <w:r w:rsidR="003D76C1" w:rsidRPr="004571A3">
        <w:rPr>
          <w:lang w:val="lv-LV"/>
        </w:rPr>
        <w:t>, u</w:t>
      </w:r>
      <w:r w:rsidR="003D76C1" w:rsidRPr="004571A3">
        <w:rPr>
          <w:lang w:val="lv-LV"/>
        </w:rPr>
        <w:t>zņēmējiem: business.gov.lv</w:t>
      </w:r>
      <w:r w:rsidR="003D76C1" w:rsidRPr="004571A3">
        <w:rPr>
          <w:lang w:val="lv-LV"/>
        </w:rPr>
        <w:t>, i</w:t>
      </w:r>
      <w:r w:rsidR="003D76C1" w:rsidRPr="004571A3">
        <w:rPr>
          <w:lang w:val="lv-LV"/>
        </w:rPr>
        <w:t>estādēm: virsis.gov.lv</w:t>
      </w:r>
      <w:r w:rsidR="003D76C1" w:rsidRPr="004571A3">
        <w:rPr>
          <w:lang w:val="lv-LV"/>
        </w:rPr>
        <w:t>)?</w:t>
      </w:r>
    </w:p>
    <w:p w14:paraId="302F622B" w14:textId="36A68545" w:rsidR="00F06D92" w:rsidRPr="004571A3" w:rsidRDefault="00870468" w:rsidP="008A28AD">
      <w:pPr>
        <w:pStyle w:val="ListParagraph"/>
        <w:numPr>
          <w:ilvl w:val="0"/>
          <w:numId w:val="24"/>
        </w:numPr>
        <w:rPr>
          <w:lang w:val="lv-LV"/>
        </w:rPr>
      </w:pPr>
      <w:r w:rsidRPr="004571A3">
        <w:rPr>
          <w:lang w:val="lv-LV"/>
        </w:rPr>
        <w:t>VPK</w:t>
      </w:r>
      <w:r w:rsidRPr="004571A3">
        <w:rPr>
          <w:lang w:val="lv-LV"/>
        </w:rPr>
        <w:t>4</w:t>
      </w:r>
      <w:r w:rsidR="00A44CF0">
        <w:rPr>
          <w:lang w:val="lv-LV"/>
        </w:rPr>
        <w:t>0</w:t>
      </w:r>
      <w:r w:rsidRPr="004571A3">
        <w:rPr>
          <w:lang w:val="lv-LV"/>
        </w:rPr>
        <w:t xml:space="preserve">. </w:t>
      </w:r>
      <w:r w:rsidR="00177679" w:rsidRPr="004571A3">
        <w:rPr>
          <w:lang w:val="lv-LV"/>
        </w:rPr>
        <w:t xml:space="preserve">Vai e-pakalpojumu piegāde </w:t>
      </w:r>
      <w:proofErr w:type="spellStart"/>
      <w:r w:rsidR="00177679" w:rsidRPr="004571A3">
        <w:rPr>
          <w:lang w:val="lv-LV"/>
        </w:rPr>
        <w:t>mērķarhitektūrā</w:t>
      </w:r>
      <w:proofErr w:type="spellEnd"/>
      <w:r w:rsidR="00177679" w:rsidRPr="004571A3">
        <w:rPr>
          <w:lang w:val="lv-LV"/>
        </w:rPr>
        <w:t xml:space="preserve"> </w:t>
      </w:r>
      <w:r w:rsidR="00177679" w:rsidRPr="004571A3">
        <w:rPr>
          <w:lang w:val="lv-LV"/>
        </w:rPr>
        <w:t>nodrošināta gan caur centralizēto platformu latvija.gov.lv, gan caur specifiskām iestāžu platformām, piemēram, VID EDS, UR, business.gov.lv, LAD?</w:t>
      </w:r>
    </w:p>
    <w:p w14:paraId="0330A6B5" w14:textId="78608ACD" w:rsidR="00510133" w:rsidRPr="00510133" w:rsidRDefault="00870468" w:rsidP="00510133">
      <w:pPr>
        <w:pStyle w:val="ListParagraph"/>
        <w:numPr>
          <w:ilvl w:val="0"/>
          <w:numId w:val="24"/>
        </w:numPr>
        <w:rPr>
          <w:lang w:val="lv-LV"/>
        </w:rPr>
      </w:pPr>
      <w:r w:rsidRPr="004571A3">
        <w:rPr>
          <w:lang w:val="lv-LV"/>
        </w:rPr>
        <w:t>VPK</w:t>
      </w:r>
      <w:r w:rsidRPr="004571A3">
        <w:rPr>
          <w:lang w:val="lv-LV"/>
        </w:rPr>
        <w:t>4</w:t>
      </w:r>
      <w:r w:rsidR="00A44CF0">
        <w:rPr>
          <w:lang w:val="lv-LV"/>
        </w:rPr>
        <w:t>1</w:t>
      </w:r>
      <w:r w:rsidRPr="004571A3">
        <w:rPr>
          <w:lang w:val="lv-LV"/>
        </w:rPr>
        <w:t xml:space="preserve">. </w:t>
      </w:r>
      <w:r w:rsidR="00510133" w:rsidRPr="00510133">
        <w:rPr>
          <w:lang w:val="lv-LV"/>
        </w:rPr>
        <w:t>Vai</w:t>
      </w:r>
      <w:r w:rsidR="00510133" w:rsidRPr="004571A3">
        <w:rPr>
          <w:lang w:val="lv-LV"/>
        </w:rPr>
        <w:t xml:space="preserve"> jomas </w:t>
      </w:r>
      <w:proofErr w:type="spellStart"/>
      <w:r w:rsidR="00510133" w:rsidRPr="004571A3">
        <w:rPr>
          <w:lang w:val="lv-LV"/>
        </w:rPr>
        <w:t>mērķarhitektūrā</w:t>
      </w:r>
      <w:proofErr w:type="spellEnd"/>
      <w:r w:rsidR="00510133" w:rsidRPr="004571A3">
        <w:rPr>
          <w:lang w:val="lv-LV"/>
        </w:rPr>
        <w:t xml:space="preserve"> definētās pakalpojumu</w:t>
      </w:r>
      <w:r w:rsidR="00510133" w:rsidRPr="00510133">
        <w:rPr>
          <w:lang w:val="lv-LV"/>
        </w:rPr>
        <w:t xml:space="preserve"> platformas atbil</w:t>
      </w:r>
      <w:r w:rsidR="00D10162" w:rsidRPr="004571A3">
        <w:rPr>
          <w:lang w:val="lv-LV"/>
        </w:rPr>
        <w:t>dīs</w:t>
      </w:r>
      <w:r w:rsidR="00510133" w:rsidRPr="00510133">
        <w:rPr>
          <w:lang w:val="lv-LV"/>
        </w:rPr>
        <w:t xml:space="preserve"> vienotām tehniskām prasībām un </w:t>
      </w:r>
      <w:r w:rsidR="00D10162" w:rsidRPr="004571A3">
        <w:rPr>
          <w:lang w:val="lv-LV"/>
        </w:rPr>
        <w:t>tiks nodrošināta</w:t>
      </w:r>
      <w:r w:rsidR="00510133" w:rsidRPr="00510133">
        <w:rPr>
          <w:lang w:val="lv-LV"/>
        </w:rPr>
        <w:t xml:space="preserve"> savietojamību ar pakalpojumu informācijas portāliem?</w:t>
      </w:r>
    </w:p>
    <w:p w14:paraId="1B1B503B" w14:textId="384BC1E8" w:rsidR="00177679" w:rsidRPr="004571A3" w:rsidRDefault="00870468" w:rsidP="00510133">
      <w:pPr>
        <w:pStyle w:val="ListParagraph"/>
        <w:numPr>
          <w:ilvl w:val="0"/>
          <w:numId w:val="24"/>
        </w:numPr>
        <w:rPr>
          <w:lang w:val="lv-LV"/>
        </w:rPr>
      </w:pPr>
      <w:r w:rsidRPr="004571A3">
        <w:rPr>
          <w:lang w:val="lv-LV"/>
        </w:rPr>
        <w:t>VPK</w:t>
      </w:r>
      <w:r w:rsidRPr="004571A3">
        <w:rPr>
          <w:lang w:val="lv-LV"/>
        </w:rPr>
        <w:t>4</w:t>
      </w:r>
      <w:r w:rsidR="00A44CF0">
        <w:rPr>
          <w:lang w:val="lv-LV"/>
        </w:rPr>
        <w:t>2</w:t>
      </w:r>
      <w:r w:rsidRPr="004571A3">
        <w:rPr>
          <w:lang w:val="lv-LV"/>
        </w:rPr>
        <w:t xml:space="preserve">. </w:t>
      </w:r>
      <w:r w:rsidR="00510133" w:rsidRPr="004571A3">
        <w:rPr>
          <w:lang w:val="lv-LV"/>
        </w:rPr>
        <w:t xml:space="preserve">Vai </w:t>
      </w:r>
      <w:r w:rsidR="00D10162" w:rsidRPr="004571A3">
        <w:rPr>
          <w:lang w:val="lv-LV"/>
        </w:rPr>
        <w:t xml:space="preserve">Pakalpojumu  </w:t>
      </w:r>
      <w:r w:rsidR="00510133" w:rsidRPr="004571A3">
        <w:rPr>
          <w:lang w:val="lv-LV"/>
        </w:rPr>
        <w:t xml:space="preserve">platformas </w:t>
      </w:r>
      <w:proofErr w:type="spellStart"/>
      <w:r w:rsidR="00510133" w:rsidRPr="004571A3">
        <w:rPr>
          <w:lang w:val="lv-LV"/>
        </w:rPr>
        <w:t>i</w:t>
      </w:r>
      <w:r w:rsidR="00D10162" w:rsidRPr="004571A3">
        <w:rPr>
          <w:lang w:val="lv-LV"/>
        </w:rPr>
        <w:t>paredzēt</w:t>
      </w:r>
      <w:r w:rsidR="00510133" w:rsidRPr="004571A3">
        <w:rPr>
          <w:lang w:val="lv-LV"/>
        </w:rPr>
        <w:t>r</w:t>
      </w:r>
      <w:proofErr w:type="spellEnd"/>
      <w:r w:rsidR="00510133" w:rsidRPr="004571A3">
        <w:rPr>
          <w:lang w:val="lv-LV"/>
        </w:rPr>
        <w:t xml:space="preserve"> savstarpēji integrēt</w:t>
      </w:r>
      <w:r w:rsidR="00D10162" w:rsidRPr="004571A3">
        <w:rPr>
          <w:lang w:val="lv-LV"/>
        </w:rPr>
        <w:t xml:space="preserve">, </w:t>
      </w:r>
      <w:r w:rsidR="00510133" w:rsidRPr="004571A3">
        <w:rPr>
          <w:lang w:val="lv-LV"/>
        </w:rPr>
        <w:t>lai veicinātu efektīvu un vienotu piegādes sistēmu?</w:t>
      </w:r>
    </w:p>
    <w:p w14:paraId="77BBAC8D" w14:textId="2BEC0FE5" w:rsidR="00161245" w:rsidRPr="004571A3" w:rsidRDefault="00870468" w:rsidP="00510133">
      <w:pPr>
        <w:pStyle w:val="ListParagraph"/>
        <w:numPr>
          <w:ilvl w:val="0"/>
          <w:numId w:val="24"/>
        </w:numPr>
        <w:rPr>
          <w:lang w:val="lv-LV"/>
        </w:rPr>
      </w:pPr>
      <w:r w:rsidRPr="004571A3">
        <w:rPr>
          <w:lang w:val="lv-LV"/>
        </w:rPr>
        <w:t>VPK</w:t>
      </w:r>
      <w:r w:rsidRPr="004571A3">
        <w:rPr>
          <w:lang w:val="lv-LV"/>
        </w:rPr>
        <w:t>4</w:t>
      </w:r>
      <w:r w:rsidR="00A44CF0">
        <w:rPr>
          <w:lang w:val="lv-LV"/>
        </w:rPr>
        <w:t>3</w:t>
      </w:r>
      <w:r w:rsidRPr="004571A3">
        <w:rPr>
          <w:lang w:val="lv-LV"/>
        </w:rPr>
        <w:t xml:space="preserve">. </w:t>
      </w:r>
      <w:r w:rsidR="00161245" w:rsidRPr="004571A3">
        <w:rPr>
          <w:lang w:val="lv-LV"/>
        </w:rPr>
        <w:t xml:space="preserve">Vai </w:t>
      </w:r>
      <w:proofErr w:type="spellStart"/>
      <w:r w:rsidR="00161245" w:rsidRPr="004571A3">
        <w:rPr>
          <w:lang w:val="lv-LV"/>
        </w:rPr>
        <w:t>mērķarhitektūrā</w:t>
      </w:r>
      <w:proofErr w:type="spellEnd"/>
      <w:r w:rsidR="00161245" w:rsidRPr="004571A3">
        <w:rPr>
          <w:lang w:val="lv-LV"/>
        </w:rPr>
        <w:t xml:space="preserve"> paredzēts nodrošināt vienoto pieteikšanos (SSO)</w:t>
      </w:r>
      <w:r w:rsidR="00045775" w:rsidRPr="004571A3">
        <w:rPr>
          <w:lang w:val="lv-LV"/>
        </w:rPr>
        <w:t xml:space="preserve"> ar </w:t>
      </w:r>
      <w:r w:rsidR="00045775" w:rsidRPr="004571A3">
        <w:rPr>
          <w:lang w:val="lv-LV"/>
        </w:rPr>
        <w:t>iespēj</w:t>
      </w:r>
      <w:r w:rsidR="00045775" w:rsidRPr="004571A3">
        <w:rPr>
          <w:lang w:val="lv-LV"/>
        </w:rPr>
        <w:t>u</w:t>
      </w:r>
      <w:r w:rsidR="00045775" w:rsidRPr="004571A3">
        <w:rPr>
          <w:lang w:val="lv-LV"/>
        </w:rPr>
        <w:t xml:space="preserve"> bez atkārtotas pieteikšanās pārslēgties starp valsts pārvaldes e-pakalpojumu platformām, izmantojot centralizēti izsniegtu sesijas talonu?</w:t>
      </w:r>
    </w:p>
    <w:p w14:paraId="0EDAFB83" w14:textId="6BBBFB97" w:rsidR="0060250A" w:rsidRPr="004571A3" w:rsidRDefault="00870468" w:rsidP="00510133">
      <w:pPr>
        <w:pStyle w:val="ListParagraph"/>
        <w:numPr>
          <w:ilvl w:val="0"/>
          <w:numId w:val="24"/>
        </w:numPr>
        <w:rPr>
          <w:lang w:val="lv-LV"/>
        </w:rPr>
        <w:sectPr w:rsidR="0060250A" w:rsidRPr="004571A3">
          <w:pgSz w:w="12240" w:h="15840"/>
          <w:pgMar w:top="1440" w:right="1440" w:bottom="1440" w:left="1440" w:header="720" w:footer="720" w:gutter="0"/>
          <w:cols w:space="720"/>
          <w:docGrid w:linePitch="360"/>
        </w:sectPr>
      </w:pPr>
      <w:r w:rsidRPr="004571A3">
        <w:rPr>
          <w:lang w:val="lv-LV"/>
        </w:rPr>
        <w:t>VPK</w:t>
      </w:r>
      <w:r w:rsidRPr="004571A3">
        <w:rPr>
          <w:lang w:val="lv-LV"/>
        </w:rPr>
        <w:t>4</w:t>
      </w:r>
      <w:r w:rsidR="00A44CF0">
        <w:rPr>
          <w:lang w:val="lv-LV"/>
        </w:rPr>
        <w:t>4</w:t>
      </w:r>
      <w:r w:rsidRPr="004571A3">
        <w:rPr>
          <w:lang w:val="lv-LV"/>
        </w:rPr>
        <w:t xml:space="preserve">. </w:t>
      </w:r>
      <w:r w:rsidR="0060250A" w:rsidRPr="004571A3">
        <w:rPr>
          <w:lang w:val="lv-LV"/>
        </w:rPr>
        <w:t xml:space="preserve">Vai </w:t>
      </w:r>
      <w:proofErr w:type="spellStart"/>
      <w:r w:rsidR="0060250A" w:rsidRPr="004571A3">
        <w:rPr>
          <w:lang w:val="lv-LV"/>
        </w:rPr>
        <w:t>mērķarhitektūrā</w:t>
      </w:r>
      <w:proofErr w:type="spellEnd"/>
      <w:r w:rsidR="0060250A" w:rsidRPr="004571A3">
        <w:rPr>
          <w:lang w:val="lv-LV"/>
        </w:rPr>
        <w:t xml:space="preserve"> paredzēts nodrošināt, ka</w:t>
      </w:r>
      <w:r w:rsidR="0060250A" w:rsidRPr="004571A3">
        <w:rPr>
          <w:lang w:val="lv-LV"/>
        </w:rPr>
        <w:t xml:space="preserve"> pakalpojuma pieprasījumu var veikt pats lietotājs vai viņa pilnvarota persona?</w:t>
      </w:r>
    </w:p>
    <w:p w14:paraId="510336C9" w14:textId="4C7535DC" w:rsidR="00137A2C" w:rsidRDefault="00137A2C" w:rsidP="00D5520A">
      <w:pPr>
        <w:pStyle w:val="Heading1"/>
        <w:numPr>
          <w:ilvl w:val="0"/>
          <w:numId w:val="4"/>
        </w:numPr>
        <w:rPr>
          <w:lang w:val="lv-LV"/>
        </w:rPr>
      </w:pPr>
      <w:r>
        <w:rPr>
          <w:lang w:val="lv-LV"/>
        </w:rPr>
        <w:lastRenderedPageBreak/>
        <w:t>Semantiskie principi</w:t>
      </w:r>
    </w:p>
    <w:p w14:paraId="36A69914" w14:textId="0EC488FA" w:rsidR="004929EC" w:rsidRPr="004929EC" w:rsidRDefault="00137A2C" w:rsidP="00372307">
      <w:pPr>
        <w:pStyle w:val="Heading2"/>
        <w:rPr>
          <w:rStyle w:val="Heading4Char"/>
          <w:i w:val="0"/>
          <w:iCs w:val="0"/>
          <w:lang w:val="lv-LV"/>
        </w:rPr>
      </w:pPr>
      <w:r>
        <w:rPr>
          <w:lang w:val="lv-LV"/>
        </w:rPr>
        <w:t xml:space="preserve">SP1. </w:t>
      </w:r>
      <w:r w:rsidR="00E24404">
        <w:rPr>
          <w:lang w:val="lv-LV"/>
        </w:rPr>
        <w:t>Uztvert datus kā vērtību</w:t>
      </w:r>
      <w:r w:rsidR="004929EC" w:rsidRPr="00E2406D">
        <w:rPr>
          <w:noProof/>
          <w:lang w:val="lv-LV"/>
        </w:rPr>
        <mc:AlternateContent>
          <mc:Choice Requires="wps">
            <w:drawing>
              <wp:anchor distT="0" distB="0" distL="114300" distR="114300" simplePos="0" relativeHeight="251658256" behindDoc="0" locked="0" layoutInCell="1" allowOverlap="1" wp14:anchorId="2F56C63E" wp14:editId="2F000AA5">
                <wp:simplePos x="0" y="0"/>
                <wp:positionH relativeFrom="column">
                  <wp:posOffset>0</wp:posOffset>
                </wp:positionH>
                <wp:positionV relativeFrom="paragraph">
                  <wp:posOffset>316865</wp:posOffset>
                </wp:positionV>
                <wp:extent cx="1828800" cy="1828800"/>
                <wp:effectExtent l="0" t="0" r="8890" b="10795"/>
                <wp:wrapTopAndBottom/>
                <wp:docPr id="100681470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8CEE748" w14:textId="4887A5F9" w:rsidR="004929EC" w:rsidRPr="00746A4A" w:rsidRDefault="00746A4A" w:rsidP="004929EC">
                            <w:pPr>
                              <w:ind w:left="851"/>
                              <w:jc w:val="both"/>
                              <w:rPr>
                                <w:lang w:val="lv-LV"/>
                              </w:rPr>
                            </w:pPr>
                            <w:r w:rsidRPr="00746A4A">
                              <w:rPr>
                                <w:lang w:val="lv-LV"/>
                              </w:rPr>
                              <w:t>Dati tiek uzskatīti par stratēģisku un ilgtspējīgu resursu, kas jāizvērtē un jāizmanto, lai radītu vērtību sabiedrībai, veicinātu efektivitāti valsts pārvaldē un atbalstītu inovācijas. Publiskā sektora dati jāuzglabā, jāapstrādā un jāanalizē tā, lai tie būtu uzticami, pieejami un atkārtoti izmantojami, vienlaikus ievērojot datu aizsardzības un privātuma prasības.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56C63E" id="_x0000_s1037" type="#_x0000_t202" style="position:absolute;margin-left:0;margin-top:24.95pt;width:2in;height:2in;z-index:251658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" fillcolor="white [3201]" strokecolor="#196b24 [3206]" strokeweight="1pt">
                <v:textbox style="mso-fit-shape-to-text:t">
                  <w:txbxContent>
                    <w:p w14:paraId="48CEE748" w14:textId="4887A5F9" w:rsidR="004929EC" w:rsidRPr="00746A4A" w:rsidRDefault="00746A4A" w:rsidP="004929EC">
                      <w:pPr>
                        <w:ind w:left="851"/>
                        <w:jc w:val="both"/>
                        <w:rPr>
                          <w:lang w:val="lv-LV"/>
                        </w:rPr>
                      </w:pPr>
                      <w:r w:rsidRPr="00746A4A">
                        <w:rPr>
                          <w:lang w:val="lv-LV"/>
                        </w:rPr>
                        <w:t>Dati tiek uzskatīti par stratēģisku un ilgtspējīgu resursu, kas jāizvērtē un jāizmanto, lai radītu vērtību sabiedrībai, veicinātu efektivitāti valsts pārvaldē un atbalstītu inovācijas. Publiskā sektora dati jāuzglabā, jāapstrādā un jāanalizē tā, lai tie būtu uzticami, pieejami un atkārtoti izmantojami, vienlaikus ievērojot datu aizsardzības un privātuma prasības.</w:t>
                      </w:r>
                    </w:p>
                  </w:txbxContent>
                </v:textbox>
                <w10:wrap type="topAndBottom"/>
              </v:shape>
            </w:pict>
          </mc:Fallback>
        </mc:AlternateContent>
      </w:r>
      <w:r w:rsidR="004929EC" w:rsidRPr="00E2406D">
        <w:rPr>
          <w:rFonts w:ascii="Times New Roman" w:hAnsi="Times New Roman" w:cs="Times New Roman"/>
          <w:noProof/>
          <w:sz w:val="22"/>
          <w:szCs w:val="22"/>
          <w:lang w:val="lv-LV"/>
        </w:rPr>
        <w:drawing>
          <wp:anchor distT="0" distB="0" distL="114300" distR="114300" simplePos="0" relativeHeight="251658257" behindDoc="0" locked="0" layoutInCell="1" allowOverlap="1" wp14:anchorId="2FA538C7" wp14:editId="70800627">
            <wp:simplePos x="0" y="0"/>
            <wp:positionH relativeFrom="margin">
              <wp:posOffset>88900</wp:posOffset>
            </wp:positionH>
            <wp:positionV relativeFrom="paragraph">
              <wp:posOffset>450850</wp:posOffset>
            </wp:positionV>
            <wp:extent cx="427990" cy="427990"/>
            <wp:effectExtent l="0" t="0" r="0" b="0"/>
            <wp:wrapSquare wrapText="bothSides"/>
            <wp:docPr id="1190658004"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p>
    <w:p w14:paraId="33EC972A" w14:textId="77777777" w:rsidR="00AA21F5" w:rsidRDefault="00AA21F5" w:rsidP="001B7BB2">
      <w:pPr>
        <w:rPr>
          <w:lang w:val="lv-LV"/>
        </w:rPr>
      </w:pPr>
    </w:p>
    <w:p w14:paraId="03F9D33C" w14:textId="77777777" w:rsidR="00502D87" w:rsidRPr="00AE17B5" w:rsidRDefault="00502D87" w:rsidP="00502D87">
      <w:pPr>
        <w:rPr>
          <w:lang w:val="lv-LV"/>
        </w:rPr>
      </w:pPr>
      <w:r w:rsidRPr="00AE17B5">
        <w:rPr>
          <w:lang w:val="lv-LV"/>
        </w:rPr>
        <w:t>Piemērošanas vadlīnijas:</w:t>
      </w:r>
    </w:p>
    <w:p w14:paraId="27DC34E9" w14:textId="6A3AC7CE" w:rsidR="00502D87" w:rsidRDefault="00DA5E8E" w:rsidP="00DA5E8E">
      <w:pPr>
        <w:pStyle w:val="ListParagraph"/>
        <w:numPr>
          <w:ilvl w:val="0"/>
          <w:numId w:val="11"/>
        </w:numPr>
        <w:jc w:val="both"/>
        <w:rPr>
          <w:lang w:val="lv-LV"/>
        </w:rPr>
      </w:pPr>
      <w:r w:rsidRPr="00307FF9">
        <w:rPr>
          <w:lang w:val="lv-LV"/>
        </w:rPr>
        <w:t xml:space="preserve">Definējiet datus kā stratēģisku vērtību. </w:t>
      </w:r>
      <w:r w:rsidRPr="00307FF9">
        <w:rPr>
          <w:lang w:val="lv-LV"/>
        </w:rPr>
        <w:t>Nodrošiniet, ka dati tiek izmantoti, lai pieņemtu uz pierādījumiem balstītus lēmumus, uzlabotu pakalpojumu kvalitāti un efektivitāti.</w:t>
      </w:r>
    </w:p>
    <w:p w14:paraId="09779D9A" w14:textId="650339E2" w:rsidR="004C3CB2" w:rsidRPr="004C3CB2" w:rsidRDefault="004C3CB2" w:rsidP="004C3CB2">
      <w:pPr>
        <w:pStyle w:val="ListParagraph"/>
        <w:numPr>
          <w:ilvl w:val="0"/>
          <w:numId w:val="11"/>
        </w:numPr>
        <w:jc w:val="both"/>
        <w:rPr>
          <w:bCs/>
          <w:lang w:val="lv-LV"/>
        </w:rPr>
      </w:pPr>
      <w:r w:rsidRPr="004C3CB2">
        <w:rPr>
          <w:bCs/>
          <w:lang w:val="lv-LV"/>
        </w:rPr>
        <w:t xml:space="preserve">Nodrošiniet datu izmantošanu lēmumu pieņemšanai. </w:t>
      </w:r>
      <w:bookmarkStart w:id="4" w:name="_Hlk184377859"/>
      <w:r w:rsidRPr="004C3CB2">
        <w:rPr>
          <w:bCs/>
          <w:lang w:val="lv-LV"/>
        </w:rPr>
        <w:t>Valsts pārvaldes datiem jābūt mašīnlasāmiem un aprakstītiem strukturētā veidā, tādējādi veicinot datos balstītu lēmumu pieņemšanu valsts pārvaldē, jaunu saistīto procesu un pakalpojumu izveidi, vienlaikus nodrošinot, ka ar šiem datiem, bez palīdzības var strādāt arī citu nozaru speciālisti.</w:t>
      </w:r>
      <w:bookmarkEnd w:id="4"/>
    </w:p>
    <w:p w14:paraId="6FCC6120" w14:textId="74F500EA" w:rsidR="001406C7" w:rsidRPr="001406C7" w:rsidRDefault="002841D7" w:rsidP="001406C7">
      <w:pPr>
        <w:pStyle w:val="ListParagraph"/>
        <w:numPr>
          <w:ilvl w:val="0"/>
          <w:numId w:val="11"/>
        </w:numPr>
        <w:rPr>
          <w:lang w:val="lv-LV"/>
        </w:rPr>
      </w:pPr>
      <w:r>
        <w:rPr>
          <w:lang w:val="lv-LV"/>
        </w:rPr>
        <w:t>Nodrošiniet, ka v</w:t>
      </w:r>
      <w:r w:rsidR="001406C7" w:rsidRPr="00BA6357">
        <w:rPr>
          <w:lang w:val="lv-LV"/>
        </w:rPr>
        <w:t>alsts pārvaldes rīcībā esoš</w:t>
      </w:r>
      <w:r>
        <w:rPr>
          <w:lang w:val="lv-LV"/>
        </w:rPr>
        <w:t>ie</w:t>
      </w:r>
      <w:r w:rsidR="001406C7" w:rsidRPr="00BA6357">
        <w:rPr>
          <w:lang w:val="lv-LV"/>
        </w:rPr>
        <w:t xml:space="preserve"> dati/informācijas resursi </w:t>
      </w:r>
      <w:r>
        <w:rPr>
          <w:lang w:val="lv-LV"/>
        </w:rPr>
        <w:t xml:space="preserve">ir </w:t>
      </w:r>
      <w:r w:rsidR="001406C7" w:rsidRPr="00BA6357">
        <w:rPr>
          <w:lang w:val="lv-LV"/>
        </w:rPr>
        <w:t>sasaistīt</w:t>
      </w:r>
      <w:r>
        <w:rPr>
          <w:lang w:val="lv-LV"/>
        </w:rPr>
        <w:t>i</w:t>
      </w:r>
      <w:r w:rsidR="001406C7" w:rsidRPr="00BA6357">
        <w:rPr>
          <w:lang w:val="lv-LV"/>
        </w:rPr>
        <w:t>, tādējādi veicinot datos balstītu lēmumu un procesu iedzīvināšanu valsts pārvaldē. Papildus iepriekš minētajam datu sasaiste nodrošina visus priekšnosacījumus, lai veidotu komplicētu un viegli pārvaldāmu datu arhitektūru.</w:t>
      </w:r>
    </w:p>
    <w:p w14:paraId="30FB421C" w14:textId="52397068" w:rsidR="00F8133E" w:rsidRDefault="00F8133E" w:rsidP="00DA5E8E">
      <w:pPr>
        <w:pStyle w:val="ListParagraph"/>
        <w:numPr>
          <w:ilvl w:val="0"/>
          <w:numId w:val="11"/>
        </w:numPr>
        <w:jc w:val="both"/>
        <w:rPr>
          <w:lang w:val="lv-LV"/>
        </w:rPr>
      </w:pPr>
      <w:r w:rsidRPr="00307FF9">
        <w:rPr>
          <w:lang w:val="lv-LV"/>
        </w:rPr>
        <w:t>Identificējiet un veiciniet datu izmantošanas iespējas, kas palīdz radīt sabiedrisko vērtību, piemēram, uzlabojot piekļuvi pakalpojumiem vai veicinot sabiedrības informētību</w:t>
      </w:r>
      <w:r w:rsidR="0079379D" w:rsidRPr="00307FF9">
        <w:rPr>
          <w:lang w:val="lv-LV"/>
        </w:rPr>
        <w:t>.</w:t>
      </w:r>
    </w:p>
    <w:p w14:paraId="6A53329D" w14:textId="5D0D265B" w:rsidR="0079379D" w:rsidRPr="0079379D" w:rsidRDefault="0079379D" w:rsidP="0079379D">
      <w:pPr>
        <w:pStyle w:val="ListParagraph"/>
        <w:numPr>
          <w:ilvl w:val="0"/>
          <w:numId w:val="11"/>
        </w:numPr>
        <w:jc w:val="both"/>
        <w:rPr>
          <w:lang w:val="lv-LV"/>
        </w:rPr>
      </w:pPr>
      <w:r w:rsidRPr="00307FF9">
        <w:rPr>
          <w:lang w:val="lv-LV"/>
        </w:rPr>
        <w:t>Piemērojiet</w:t>
      </w:r>
      <w:r w:rsidRPr="0079379D">
        <w:rPr>
          <w:lang w:val="lv-LV"/>
        </w:rPr>
        <w:t xml:space="preserve"> vienotus standartus datu glabāšanai, apstrādei un analīzei, lai nodrošinātu datu kvalitāti, uzticamību un konsekvenci.</w:t>
      </w:r>
    </w:p>
    <w:p w14:paraId="346580CE" w14:textId="13EAD1AE" w:rsidR="0079379D" w:rsidRPr="00307FF9" w:rsidRDefault="0079379D" w:rsidP="0079379D">
      <w:pPr>
        <w:pStyle w:val="ListParagraph"/>
        <w:numPr>
          <w:ilvl w:val="0"/>
          <w:numId w:val="11"/>
        </w:numPr>
        <w:jc w:val="both"/>
        <w:rPr>
          <w:lang w:val="lv-LV"/>
        </w:rPr>
      </w:pPr>
      <w:r w:rsidRPr="00307FF9">
        <w:rPr>
          <w:lang w:val="lv-LV"/>
        </w:rPr>
        <w:t>Izstrādājiet un ieviesiet procedūras datu kvalitātes uzraudzībai, lai identificētu un novērstu kļūdas vai neatbilstības.</w:t>
      </w:r>
    </w:p>
    <w:p w14:paraId="45E6A423" w14:textId="77777777" w:rsidR="00502D87" w:rsidRDefault="00502D87" w:rsidP="00502D87">
      <w:pPr>
        <w:rPr>
          <w:lang w:val="lv-LV"/>
        </w:rPr>
      </w:pPr>
      <w:r w:rsidRPr="00C20AD0">
        <w:rPr>
          <w:lang w:val="lv-LV"/>
        </w:rPr>
        <w:t>Novērtēšanas vadlīnijas:</w:t>
      </w:r>
    </w:p>
    <w:p w14:paraId="36D66987" w14:textId="1340A3B8" w:rsidR="00672499" w:rsidRDefault="00870468" w:rsidP="00672499">
      <w:pPr>
        <w:pStyle w:val="ListParagraph"/>
        <w:numPr>
          <w:ilvl w:val="0"/>
          <w:numId w:val="26"/>
        </w:numPr>
        <w:rPr>
          <w:lang w:val="lv-LV"/>
        </w:rPr>
      </w:pPr>
      <w:r>
        <w:rPr>
          <w:lang w:val="lv-LV"/>
        </w:rPr>
        <w:t>SPK</w:t>
      </w:r>
      <w:r w:rsidR="006A3A44">
        <w:rPr>
          <w:lang w:val="lv-LV"/>
        </w:rPr>
        <w:t>1</w:t>
      </w:r>
      <w:r>
        <w:rPr>
          <w:lang w:val="lv-LV"/>
        </w:rPr>
        <w:t xml:space="preserve">. </w:t>
      </w:r>
      <w:r w:rsidR="00672499" w:rsidRPr="00672499">
        <w:rPr>
          <w:lang w:val="lv-LV"/>
        </w:rPr>
        <w:t>Vai</w:t>
      </w:r>
      <w:r w:rsidR="001260E6">
        <w:rPr>
          <w:lang w:val="lv-LV"/>
        </w:rPr>
        <w:t xml:space="preserve">, plānojot un ieviešot </w:t>
      </w:r>
      <w:proofErr w:type="spellStart"/>
      <w:r w:rsidR="001260E6">
        <w:rPr>
          <w:lang w:val="lv-LV"/>
        </w:rPr>
        <w:t>mērķarhitektūru</w:t>
      </w:r>
      <w:proofErr w:type="spellEnd"/>
      <w:r w:rsidR="001260E6">
        <w:rPr>
          <w:lang w:val="lv-LV"/>
        </w:rPr>
        <w:t>,</w:t>
      </w:r>
      <w:r w:rsidR="00672499" w:rsidRPr="00672499">
        <w:rPr>
          <w:lang w:val="lv-LV"/>
        </w:rPr>
        <w:t xml:space="preserve"> dati tiek identificēti un definēti kā stratēģiska vērtība?</w:t>
      </w:r>
    </w:p>
    <w:p w14:paraId="17E26CF2" w14:textId="69436148" w:rsidR="00FC0A51" w:rsidRPr="00FC0A51" w:rsidRDefault="00870468" w:rsidP="00FC0A51">
      <w:pPr>
        <w:pStyle w:val="ListParagraph"/>
        <w:numPr>
          <w:ilvl w:val="0"/>
          <w:numId w:val="26"/>
        </w:numPr>
        <w:rPr>
          <w:lang w:val="lv-LV"/>
        </w:rPr>
      </w:pPr>
      <w:r>
        <w:rPr>
          <w:lang w:val="lv-LV"/>
        </w:rPr>
        <w:lastRenderedPageBreak/>
        <w:t>SPK</w:t>
      </w:r>
      <w:r w:rsidR="006A3A44">
        <w:rPr>
          <w:lang w:val="lv-LV"/>
        </w:rPr>
        <w:t>2</w:t>
      </w:r>
      <w:r>
        <w:rPr>
          <w:lang w:val="lv-LV"/>
        </w:rPr>
        <w:t xml:space="preserve">. </w:t>
      </w:r>
      <w:r w:rsidR="00FC0A51" w:rsidRPr="00FC0A51">
        <w:rPr>
          <w:lang w:val="lv-LV"/>
        </w:rPr>
        <w:t xml:space="preserve">Vai </w:t>
      </w:r>
      <w:proofErr w:type="spellStart"/>
      <w:r w:rsidR="001260E6">
        <w:rPr>
          <w:lang w:val="lv-LV"/>
        </w:rPr>
        <w:t>mērķarhitektūras</w:t>
      </w:r>
      <w:proofErr w:type="spellEnd"/>
      <w:r w:rsidR="001260E6">
        <w:rPr>
          <w:lang w:val="lv-LV"/>
        </w:rPr>
        <w:t xml:space="preserve"> ieviešanā paredzēts </w:t>
      </w:r>
      <w:r w:rsidR="00FC0A51" w:rsidRPr="00FC0A51">
        <w:rPr>
          <w:lang w:val="lv-LV"/>
        </w:rPr>
        <w:t>dat</w:t>
      </w:r>
      <w:r w:rsidR="001260E6">
        <w:rPr>
          <w:lang w:val="lv-LV"/>
        </w:rPr>
        <w:t>us</w:t>
      </w:r>
      <w:r w:rsidR="00FC0A51" w:rsidRPr="00FC0A51">
        <w:rPr>
          <w:lang w:val="lv-LV"/>
        </w:rPr>
        <w:t xml:space="preserve"> ir strukturēt un aprakstīt</w:t>
      </w:r>
      <w:r w:rsidR="00FC0A51" w:rsidRPr="00FC0A51">
        <w:rPr>
          <w:lang w:val="lv-LV"/>
        </w:rPr>
        <w:t xml:space="preserve"> un </w:t>
      </w:r>
      <w:r w:rsidR="001260E6">
        <w:rPr>
          <w:lang w:val="lv-LV"/>
        </w:rPr>
        <w:t xml:space="preserve">padarīt pieejamus </w:t>
      </w:r>
      <w:r w:rsidR="00FC0A51" w:rsidRPr="00FC0A51">
        <w:rPr>
          <w:lang w:val="lv-LV"/>
        </w:rPr>
        <w:t xml:space="preserve">mašīnlasāmā formā, </w:t>
      </w:r>
      <w:r w:rsidR="00FC0A51" w:rsidRPr="00FC0A51">
        <w:rPr>
          <w:lang w:val="lv-LV"/>
        </w:rPr>
        <w:t>lai veicinātu to vieglu izmantošanu analītikā un lēmumu pieņemšanā</w:t>
      </w:r>
      <w:r w:rsidR="00FC0A51" w:rsidRPr="00FC0A51">
        <w:rPr>
          <w:lang w:val="lv-LV"/>
        </w:rPr>
        <w:t>?</w:t>
      </w:r>
    </w:p>
    <w:p w14:paraId="2D3C78FA" w14:textId="08DA23AA" w:rsidR="00502D87" w:rsidRDefault="00870468" w:rsidP="001B7BB2">
      <w:pPr>
        <w:pStyle w:val="ListParagraph"/>
        <w:numPr>
          <w:ilvl w:val="0"/>
          <w:numId w:val="26"/>
        </w:numPr>
        <w:rPr>
          <w:lang w:val="lv-LV"/>
        </w:rPr>
      </w:pPr>
      <w:r>
        <w:rPr>
          <w:lang w:val="lv-LV"/>
        </w:rPr>
        <w:t>SPK</w:t>
      </w:r>
      <w:r>
        <w:rPr>
          <w:lang w:val="lv-LV"/>
        </w:rPr>
        <w:t xml:space="preserve">3. </w:t>
      </w:r>
      <w:r w:rsidR="00672499" w:rsidRPr="00DC74FD">
        <w:rPr>
          <w:lang w:val="lv-LV"/>
        </w:rPr>
        <w:t xml:space="preserve">Vai </w:t>
      </w:r>
      <w:proofErr w:type="spellStart"/>
      <w:r w:rsidR="000A7683">
        <w:rPr>
          <w:lang w:val="lv-LV"/>
        </w:rPr>
        <w:t>mērķarhitektūrā</w:t>
      </w:r>
      <w:proofErr w:type="spellEnd"/>
      <w:r w:rsidR="000A7683">
        <w:rPr>
          <w:lang w:val="lv-LV"/>
        </w:rPr>
        <w:t xml:space="preserve"> paredzēts paplašināt datu analītiku un </w:t>
      </w:r>
      <w:r w:rsidR="00672499" w:rsidRPr="00DC74FD">
        <w:rPr>
          <w:lang w:val="lv-LV"/>
        </w:rPr>
        <w:t>dat</w:t>
      </w:r>
      <w:r w:rsidR="000A7683">
        <w:rPr>
          <w:lang w:val="lv-LV"/>
        </w:rPr>
        <w:t>us</w:t>
      </w:r>
      <w:r w:rsidR="00672499" w:rsidRPr="00DC74FD">
        <w:rPr>
          <w:lang w:val="lv-LV"/>
        </w:rPr>
        <w:t xml:space="preserve"> aktīvi izmantoti pierādījumos balstītu lēmumu pieņemšanai?</w:t>
      </w:r>
    </w:p>
    <w:p w14:paraId="04DB25E7" w14:textId="3DEAE433" w:rsidR="00787374" w:rsidRPr="00787374" w:rsidRDefault="00787374" w:rsidP="00787374">
      <w:pPr>
        <w:pStyle w:val="ListParagraph"/>
        <w:numPr>
          <w:ilvl w:val="0"/>
          <w:numId w:val="26"/>
        </w:numPr>
        <w:rPr>
          <w:lang w:val="lv-LV"/>
        </w:rPr>
      </w:pPr>
      <w:r>
        <w:rPr>
          <w:lang w:val="lv-LV"/>
        </w:rPr>
        <w:t>SPK</w:t>
      </w:r>
      <w:r w:rsidR="0009249A">
        <w:rPr>
          <w:lang w:val="lv-LV"/>
        </w:rPr>
        <w:t>4</w:t>
      </w:r>
      <w:r>
        <w:rPr>
          <w:lang w:val="lv-LV"/>
        </w:rPr>
        <w:t xml:space="preserve">. </w:t>
      </w:r>
      <w:r w:rsidRPr="00787374">
        <w:rPr>
          <w:lang w:val="lv-LV"/>
        </w:rPr>
        <w:t xml:space="preserve">Vai </w:t>
      </w:r>
      <w:proofErr w:type="spellStart"/>
      <w:r>
        <w:rPr>
          <w:lang w:val="lv-LV"/>
        </w:rPr>
        <w:t>mērķarhitektūras</w:t>
      </w:r>
      <w:proofErr w:type="spellEnd"/>
      <w:r>
        <w:rPr>
          <w:lang w:val="lv-LV"/>
        </w:rPr>
        <w:t xml:space="preserve"> ieviešanas</w:t>
      </w:r>
      <w:r w:rsidRPr="00787374">
        <w:rPr>
          <w:lang w:val="lv-LV"/>
        </w:rPr>
        <w:t xml:space="preserve"> ietvaros plānots īstenot aktivitātes, lai pilnveidotu </w:t>
      </w:r>
      <w:r>
        <w:rPr>
          <w:lang w:val="lv-LV"/>
        </w:rPr>
        <w:t xml:space="preserve">jomas </w:t>
      </w:r>
      <w:r w:rsidRPr="00787374">
        <w:rPr>
          <w:lang w:val="lv-LV"/>
        </w:rPr>
        <w:t>esošo datu kvalitāti (uzskaitījumu un ar datu apstrādi saistītos procesus)?</w:t>
      </w:r>
    </w:p>
    <w:p w14:paraId="18610299" w14:textId="05DAB6ED" w:rsidR="008E3886" w:rsidRPr="001B7BB2" w:rsidRDefault="00E24404" w:rsidP="00372307">
      <w:pPr>
        <w:pStyle w:val="Heading2"/>
        <w:rPr>
          <w:rStyle w:val="Heading4Char"/>
          <w:i w:val="0"/>
          <w:iCs w:val="0"/>
          <w:lang w:val="lv-LV"/>
        </w:rPr>
      </w:pPr>
      <w:r>
        <w:rPr>
          <w:lang w:val="lv-LV"/>
        </w:rPr>
        <w:t>SP</w:t>
      </w:r>
      <w:r w:rsidR="001B7BB2">
        <w:rPr>
          <w:lang w:val="lv-LV"/>
        </w:rPr>
        <w:t>2</w:t>
      </w:r>
      <w:r>
        <w:rPr>
          <w:lang w:val="lv-LV"/>
        </w:rPr>
        <w:t>. Prasīt tikai vienreiz un minimāli</w:t>
      </w:r>
      <w:r w:rsidR="008E3886" w:rsidRPr="00E2406D">
        <w:rPr>
          <w:noProof/>
          <w:lang w:val="lv-LV"/>
        </w:rPr>
        <mc:AlternateContent>
          <mc:Choice Requires="wps">
            <w:drawing>
              <wp:anchor distT="0" distB="0" distL="114300" distR="114300" simplePos="0" relativeHeight="251658258" behindDoc="0" locked="0" layoutInCell="1" allowOverlap="1" wp14:anchorId="5CAD6998" wp14:editId="03B8C709">
                <wp:simplePos x="0" y="0"/>
                <wp:positionH relativeFrom="column">
                  <wp:posOffset>0</wp:posOffset>
                </wp:positionH>
                <wp:positionV relativeFrom="paragraph">
                  <wp:posOffset>316865</wp:posOffset>
                </wp:positionV>
                <wp:extent cx="1828800" cy="1828800"/>
                <wp:effectExtent l="0" t="0" r="8890" b="10795"/>
                <wp:wrapTopAndBottom/>
                <wp:docPr id="3840387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D511E29" w14:textId="597E2A06" w:rsidR="008E3886" w:rsidRPr="0037070B" w:rsidRDefault="0037070B" w:rsidP="008E3886">
                            <w:pPr>
                              <w:ind w:left="851"/>
                              <w:jc w:val="both"/>
                              <w:rPr>
                                <w:lang w:val="lv-LV"/>
                              </w:rPr>
                            </w:pPr>
                            <w:r w:rsidRPr="0037070B">
                              <w:rPr>
                                <w:lang w:val="lv-LV"/>
                              </w:rPr>
                              <w:t>Publiskie pakalpojumi tiek veidoti tā, lai iedzīvotājiem un uzņēmumiem būtu nepieciešams iesniegt informāciju tikai vienu reizi. Jebkura papildu informācija tiek pieprasīta tikai tad, ja tā nav pieejama citos avotos. Prasītā informācija tiek samazināta līdz minimumam, ņemot vērā nepieciešamību pēc efektivitātes un lietotāju ērtībām.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AD6998" id="_x0000_s1038" type="#_x0000_t202" style="position:absolute;margin-left:0;margin-top:24.95pt;width:2in;height:2in;z-index:25165825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TcU1OlwCAAANBQAADgAAAAAAAAAAAAAAAAAuAgAAZHJzL2Uyb0RvYy54bWxQ&#10;SwECLQAUAAYACAAAACEA7u+WodsAAAAHAQAADwAAAAAAAAAAAAAAAAC2BAAAZHJzL2Rvd25yZXYu&#10;eG1sUEsFBgAAAAAEAAQA8wAAAL4FAAAAAA==&#10;" fillcolor="white [3201]" strokecolor="#196b24 [3206]" strokeweight="1pt">
                <v:textbox style="mso-fit-shape-to-text:t">
                  <w:txbxContent>
                    <w:p w14:paraId="2D511E29" w14:textId="597E2A06" w:rsidR="008E3886" w:rsidRPr="0037070B" w:rsidRDefault="0037070B" w:rsidP="008E3886">
                      <w:pPr>
                        <w:ind w:left="851"/>
                        <w:jc w:val="both"/>
                        <w:rPr>
                          <w:lang w:val="lv-LV"/>
                        </w:rPr>
                      </w:pPr>
                      <w:r w:rsidRPr="0037070B">
                        <w:rPr>
                          <w:lang w:val="lv-LV"/>
                        </w:rPr>
                        <w:t>Publiskie pakalpojumi tiek veidoti tā, lai iedzīvotājiem un uzņēmumiem būtu nepieciešams iesniegt informāciju tikai vienu reizi. Jebkura papildu informācija tiek pieprasīta tikai tad, ja tā nav pieejama citos avotos. Prasītā informācija tiek samazināta līdz minimumam, ņemot vērā nepieciešamību pēc efektivitātes un lietotāju ērtībām.</w:t>
                      </w:r>
                    </w:p>
                  </w:txbxContent>
                </v:textbox>
                <w10:wrap type="topAndBottom"/>
              </v:shape>
            </w:pict>
          </mc:Fallback>
        </mc:AlternateContent>
      </w:r>
      <w:r w:rsidR="008E3886" w:rsidRPr="00E2406D">
        <w:rPr>
          <w:rFonts w:ascii="Times New Roman" w:hAnsi="Times New Roman" w:cs="Times New Roman"/>
          <w:noProof/>
          <w:sz w:val="22"/>
          <w:szCs w:val="22"/>
          <w:lang w:val="lv-LV"/>
        </w:rPr>
        <w:drawing>
          <wp:anchor distT="0" distB="0" distL="114300" distR="114300" simplePos="0" relativeHeight="251658259" behindDoc="0" locked="0" layoutInCell="1" allowOverlap="1" wp14:anchorId="62B85D70" wp14:editId="55E5823B">
            <wp:simplePos x="0" y="0"/>
            <wp:positionH relativeFrom="margin">
              <wp:posOffset>88900</wp:posOffset>
            </wp:positionH>
            <wp:positionV relativeFrom="paragraph">
              <wp:posOffset>450850</wp:posOffset>
            </wp:positionV>
            <wp:extent cx="427990" cy="427990"/>
            <wp:effectExtent l="0" t="0" r="0" b="0"/>
            <wp:wrapSquare wrapText="bothSides"/>
            <wp:docPr id="50305883"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1B7BB2">
        <w:rPr>
          <w:lang w:val="lv-LV"/>
        </w:rPr>
        <w:t xml:space="preserve"> </w:t>
      </w:r>
      <w:r w:rsidR="001B7BB2" w:rsidRPr="001B7BB2">
        <w:rPr>
          <w:i/>
          <w:iCs/>
          <w:lang w:val="lv-LV"/>
        </w:rPr>
        <w:t>(</w:t>
      </w:r>
      <w:proofErr w:type="spellStart"/>
      <w:r w:rsidR="001B7BB2" w:rsidRPr="001B7BB2">
        <w:rPr>
          <w:i/>
          <w:iCs/>
          <w:lang w:val="lv-LV"/>
        </w:rPr>
        <w:t>Once</w:t>
      </w:r>
      <w:proofErr w:type="spellEnd"/>
      <w:r w:rsidR="001B7BB2" w:rsidRPr="001B7BB2">
        <w:rPr>
          <w:i/>
          <w:iCs/>
          <w:lang w:val="lv-LV"/>
        </w:rPr>
        <w:t xml:space="preserve"> </w:t>
      </w:r>
      <w:proofErr w:type="spellStart"/>
      <w:r w:rsidR="001B7BB2" w:rsidRPr="001B7BB2">
        <w:rPr>
          <w:i/>
          <w:iCs/>
          <w:lang w:val="lv-LV"/>
        </w:rPr>
        <w:t>Only</w:t>
      </w:r>
      <w:proofErr w:type="spellEnd"/>
      <w:r w:rsidR="001B7BB2" w:rsidRPr="001B7BB2">
        <w:rPr>
          <w:i/>
          <w:iCs/>
          <w:lang w:val="lv-LV"/>
        </w:rPr>
        <w:t>)</w:t>
      </w:r>
    </w:p>
    <w:p w14:paraId="2248D86F" w14:textId="77777777" w:rsidR="008E3886" w:rsidRDefault="008E3886" w:rsidP="008E3886">
      <w:pPr>
        <w:rPr>
          <w:lang w:val="lv-LV"/>
        </w:rPr>
      </w:pPr>
    </w:p>
    <w:p w14:paraId="11DD6108" w14:textId="77777777" w:rsidR="00502D87" w:rsidRPr="00AE17B5" w:rsidRDefault="00502D87" w:rsidP="00502D87">
      <w:pPr>
        <w:rPr>
          <w:lang w:val="lv-LV"/>
        </w:rPr>
      </w:pPr>
      <w:r w:rsidRPr="00AE17B5">
        <w:rPr>
          <w:lang w:val="lv-LV"/>
        </w:rPr>
        <w:t>Piemērošanas vadlīnijas:</w:t>
      </w:r>
    </w:p>
    <w:p w14:paraId="74E025C7" w14:textId="61DAB27C" w:rsidR="00502D87" w:rsidRDefault="00BC4349" w:rsidP="00EC5731">
      <w:pPr>
        <w:pStyle w:val="ListParagraph"/>
        <w:numPr>
          <w:ilvl w:val="0"/>
          <w:numId w:val="11"/>
        </w:numPr>
        <w:rPr>
          <w:lang w:val="lv-LV"/>
        </w:rPr>
      </w:pPr>
      <w:r>
        <w:rPr>
          <w:lang w:val="lv-LV"/>
        </w:rPr>
        <w:t>Nodrošiniet IKT r</w:t>
      </w:r>
      <w:r w:rsidRPr="00313B76">
        <w:rPr>
          <w:lang w:val="lv-LV"/>
        </w:rPr>
        <w:t>isinājumos iespēj</w:t>
      </w:r>
      <w:r>
        <w:rPr>
          <w:lang w:val="lv-LV"/>
        </w:rPr>
        <w:t>u</w:t>
      </w:r>
      <w:r w:rsidRPr="00313B76">
        <w:rPr>
          <w:lang w:val="lv-LV"/>
        </w:rPr>
        <w:t xml:space="preserve"> integrēt klientu datus no visām saistītām sistēmām</w:t>
      </w:r>
      <w:r w:rsidR="00EC5731">
        <w:rPr>
          <w:lang w:val="lv-LV"/>
        </w:rPr>
        <w:t xml:space="preserve">. </w:t>
      </w:r>
      <w:r w:rsidRPr="00EC5731">
        <w:rPr>
          <w:lang w:val="lv-LV"/>
        </w:rPr>
        <w:t>Valsts pārvaldes iestādes var, izmantot dažādās informācijas sistēmās apstrādātos datus neatkarīgi no to izmantotajām dažādajām datu iegūšanas metodēm (formātiem, semantikas un standartiem).</w:t>
      </w:r>
    </w:p>
    <w:p w14:paraId="38A8C727" w14:textId="48D46485" w:rsidR="00EC5731" w:rsidRPr="00EC5731" w:rsidRDefault="00EC5731" w:rsidP="00EC5731">
      <w:pPr>
        <w:pStyle w:val="ListParagraph"/>
        <w:numPr>
          <w:ilvl w:val="0"/>
          <w:numId w:val="11"/>
        </w:numPr>
        <w:rPr>
          <w:lang w:val="lv-LV"/>
        </w:rPr>
      </w:pPr>
      <w:r>
        <w:rPr>
          <w:lang w:val="lv-LV"/>
        </w:rPr>
        <w:t xml:space="preserve">Prasiet klientam tikai minimāli nepieciešamo informāciju. </w:t>
      </w:r>
    </w:p>
    <w:p w14:paraId="56163422" w14:textId="77777777" w:rsidR="00502D87" w:rsidRDefault="00502D87" w:rsidP="00502D87">
      <w:pPr>
        <w:rPr>
          <w:lang w:val="lv-LV"/>
        </w:rPr>
      </w:pPr>
      <w:r w:rsidRPr="00C20AD0">
        <w:rPr>
          <w:lang w:val="lv-LV"/>
        </w:rPr>
        <w:t>Novērtēšanas vadlīnijas:</w:t>
      </w:r>
    </w:p>
    <w:p w14:paraId="15E2AE47" w14:textId="52365B1A" w:rsidR="00744F60" w:rsidRPr="00C50134" w:rsidRDefault="00870468" w:rsidP="00744F60">
      <w:pPr>
        <w:pStyle w:val="ListParagraph"/>
        <w:numPr>
          <w:ilvl w:val="0"/>
          <w:numId w:val="28"/>
        </w:numPr>
        <w:rPr>
          <w:lang w:val="lv-LV"/>
        </w:rPr>
      </w:pPr>
      <w:r>
        <w:rPr>
          <w:lang w:val="lv-LV"/>
        </w:rPr>
        <w:t>SPK</w:t>
      </w:r>
      <w:r w:rsidR="00195E22">
        <w:rPr>
          <w:lang w:val="lv-LV"/>
        </w:rPr>
        <w:t>5</w:t>
      </w:r>
      <w:r>
        <w:rPr>
          <w:lang w:val="lv-LV"/>
        </w:rPr>
        <w:t xml:space="preserve">. </w:t>
      </w:r>
      <w:r w:rsidR="00744F60">
        <w:rPr>
          <w:lang w:val="lv-LV"/>
        </w:rPr>
        <w:t xml:space="preserve">Vai </w:t>
      </w:r>
      <w:proofErr w:type="spellStart"/>
      <w:r w:rsidR="00744F60">
        <w:rPr>
          <w:lang w:val="lv-LV"/>
        </w:rPr>
        <w:t>mērķ</w:t>
      </w:r>
      <w:r w:rsidR="00D8738F">
        <w:rPr>
          <w:lang w:val="lv-LV"/>
        </w:rPr>
        <w:t>arhitektūrā</w:t>
      </w:r>
      <w:proofErr w:type="spellEnd"/>
      <w:r w:rsidR="00D8738F">
        <w:rPr>
          <w:lang w:val="lv-LV"/>
        </w:rPr>
        <w:t xml:space="preserve"> tiek paredzēta </w:t>
      </w:r>
      <w:r w:rsidR="0019725C">
        <w:rPr>
          <w:lang w:val="lv-LV"/>
        </w:rPr>
        <w:t xml:space="preserve">klientu datu </w:t>
      </w:r>
      <w:proofErr w:type="spellStart"/>
      <w:r w:rsidR="0019725C" w:rsidRPr="0019725C">
        <w:t>integrē</w:t>
      </w:r>
      <w:r w:rsidR="0019725C">
        <w:t>šana</w:t>
      </w:r>
      <w:proofErr w:type="spellEnd"/>
      <w:r w:rsidR="0019725C" w:rsidRPr="0019725C">
        <w:t xml:space="preserve"> no </w:t>
      </w:r>
      <w:proofErr w:type="spellStart"/>
      <w:r w:rsidR="0019725C" w:rsidRPr="0019725C">
        <w:t>visām</w:t>
      </w:r>
      <w:proofErr w:type="spellEnd"/>
      <w:r w:rsidR="0019725C" w:rsidRPr="0019725C">
        <w:t xml:space="preserve"> </w:t>
      </w:r>
      <w:proofErr w:type="spellStart"/>
      <w:r w:rsidR="0019725C" w:rsidRPr="0019725C">
        <w:t>saistītajām</w:t>
      </w:r>
      <w:proofErr w:type="spellEnd"/>
      <w:r w:rsidR="0019725C" w:rsidRPr="0019725C">
        <w:t xml:space="preserve"> </w:t>
      </w:r>
      <w:proofErr w:type="spellStart"/>
      <w:r w:rsidR="0019725C" w:rsidRPr="0019725C">
        <w:t>sistēmām</w:t>
      </w:r>
      <w:proofErr w:type="spellEnd"/>
      <w:r w:rsidR="005B4BA9">
        <w:t xml:space="preserve">, </w:t>
      </w:r>
      <w:proofErr w:type="spellStart"/>
      <w:r w:rsidR="005B4BA9">
        <w:t>lai</w:t>
      </w:r>
      <w:proofErr w:type="spellEnd"/>
      <w:r w:rsidR="005B4BA9">
        <w:t xml:space="preserve"> </w:t>
      </w:r>
      <w:proofErr w:type="spellStart"/>
      <w:r w:rsidR="005B4BA9">
        <w:t>nodrošinātu</w:t>
      </w:r>
      <w:proofErr w:type="spellEnd"/>
      <w:r w:rsidR="005B4BA9">
        <w:t xml:space="preserve"> </w:t>
      </w:r>
      <w:proofErr w:type="spellStart"/>
      <w:r w:rsidR="005B4BA9">
        <w:t>vienreizes</w:t>
      </w:r>
      <w:proofErr w:type="spellEnd"/>
      <w:r w:rsidR="005B4BA9">
        <w:t xml:space="preserve"> </w:t>
      </w:r>
      <w:proofErr w:type="spellStart"/>
      <w:r w:rsidR="005B4BA9">
        <w:t>principu</w:t>
      </w:r>
      <w:proofErr w:type="spellEnd"/>
      <w:r w:rsidR="005B4BA9">
        <w:t>?</w:t>
      </w:r>
    </w:p>
    <w:p w14:paraId="798F848F" w14:textId="77777777" w:rsidR="00502D87" w:rsidRDefault="00502D87" w:rsidP="008E3886">
      <w:pPr>
        <w:rPr>
          <w:lang w:val="lv-LV"/>
        </w:rPr>
      </w:pPr>
    </w:p>
    <w:p w14:paraId="37C3CCC3" w14:textId="7B300352" w:rsidR="0037070B" w:rsidRPr="004929EC" w:rsidRDefault="00E24404" w:rsidP="00372307">
      <w:pPr>
        <w:pStyle w:val="Heading2"/>
        <w:rPr>
          <w:rStyle w:val="Heading4Char"/>
          <w:i w:val="0"/>
          <w:iCs w:val="0"/>
          <w:lang w:val="lv-LV"/>
        </w:rPr>
      </w:pPr>
      <w:r>
        <w:rPr>
          <w:lang w:val="lv-LV"/>
        </w:rPr>
        <w:lastRenderedPageBreak/>
        <w:t>SP</w:t>
      </w:r>
      <w:r w:rsidR="001B7BB2">
        <w:rPr>
          <w:lang w:val="lv-LV"/>
        </w:rPr>
        <w:t>3</w:t>
      </w:r>
      <w:r w:rsidRPr="001B7BB2">
        <w:rPr>
          <w:lang w:val="lv-LV"/>
        </w:rPr>
        <w:t xml:space="preserve">. Nodrošināt datu </w:t>
      </w:r>
      <w:r w:rsidR="007C10D6" w:rsidRPr="001B7BB2">
        <w:rPr>
          <w:lang w:val="lv-LV"/>
        </w:rPr>
        <w:t>suverenitāti</w:t>
      </w:r>
      <w:r w:rsidR="0037070B" w:rsidRPr="001B7BB2">
        <w:rPr>
          <w:noProof/>
          <w:lang w:val="lv-LV"/>
        </w:rPr>
        <mc:AlternateContent>
          <mc:Choice Requires="wps">
            <w:drawing>
              <wp:anchor distT="0" distB="0" distL="114300" distR="114300" simplePos="0" relativeHeight="251658260" behindDoc="0" locked="0" layoutInCell="1" allowOverlap="1" wp14:anchorId="6D931FFE" wp14:editId="403F343B">
                <wp:simplePos x="0" y="0"/>
                <wp:positionH relativeFrom="column">
                  <wp:posOffset>0</wp:posOffset>
                </wp:positionH>
                <wp:positionV relativeFrom="paragraph">
                  <wp:posOffset>316865</wp:posOffset>
                </wp:positionV>
                <wp:extent cx="1828800" cy="1828800"/>
                <wp:effectExtent l="0" t="0" r="8890" b="10795"/>
                <wp:wrapTopAndBottom/>
                <wp:docPr id="93275633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16CE5B" w14:textId="366607FC" w:rsidR="0037070B" w:rsidRPr="001B7BB2" w:rsidRDefault="00924AF5" w:rsidP="0037070B">
                            <w:pPr>
                              <w:ind w:left="851"/>
                              <w:jc w:val="both"/>
                              <w:rPr>
                                <w:lang w:val="lv-LV"/>
                              </w:rPr>
                            </w:pPr>
                            <w:r w:rsidRPr="001B7BB2">
                              <w:rPr>
                                <w:lang w:val="lv-LV"/>
                              </w:rPr>
                              <w:t>Datu suverenitāte nodrošina, ka dati tiek pārvaldīti un uzglabāti saskaņā ar normatīvajiem aktiem, vienlaikus respektējot indivīdu tiesības uz datu privātumu un kontroli. Šis princips veicina datu aizsardzību, drošību un uzticamību, kā arī nodrošina, ka dati tiek izmantoti atbilstoši nacionālajām interesēm un sabiedrības labklājībai.</w:t>
                            </w:r>
                          </w:p>
                          <w:p w14:paraId="67482986" w14:textId="4FA0183F" w:rsidR="001B7BB2" w:rsidRPr="001B7BB2" w:rsidRDefault="001B7BB2" w:rsidP="001B7BB2">
                            <w:pPr>
                              <w:ind w:left="851"/>
                              <w:jc w:val="both"/>
                              <w:rPr>
                                <w:b/>
                                <w:lang w:val="lv-LV"/>
                              </w:rPr>
                            </w:pPr>
                            <w:r w:rsidRPr="001B7BB2">
                              <w:rPr>
                                <w:lang w:val="lv-LV"/>
                              </w:rPr>
                              <w:t>Publiskajos pakalpojumos un IKT risinājumos</w:t>
                            </w:r>
                            <w:r w:rsidRPr="00746A4A">
                              <w:rPr>
                                <w:lang w:val="lv-LV"/>
                              </w:rPr>
                              <w:t xml:space="preserve"> apstrādātajiem datiem ir jābūt pareiziem un jāatbilst tos apliecinošiem dokumentiem un faktiem, kā arī citās informācijas sistēmās apstrādātajiem datiem. Dati tiek uzskatīti par precīziem, kamēr tie netiek apstrīdēti vai precizēti normatīvajos aktos.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931FFE" id="_x0000_s1039" type="#_x0000_t202" style="position:absolute;margin-left:0;margin-top:24.95pt;width:2in;height:2in;z-index:2516582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" fillcolor="white [3201]" strokecolor="#196b24 [3206]" strokeweight="1pt">
                <v:textbox style="mso-fit-shape-to-text:t">
                  <w:txbxContent>
                    <w:p w14:paraId="6316CE5B" w14:textId="366607FC" w:rsidR="0037070B" w:rsidRPr="001B7BB2" w:rsidRDefault="00924AF5" w:rsidP="0037070B">
                      <w:pPr>
                        <w:ind w:left="851"/>
                        <w:jc w:val="both"/>
                        <w:rPr>
                          <w:lang w:val="lv-LV"/>
                        </w:rPr>
                      </w:pPr>
                      <w:r w:rsidRPr="001B7BB2">
                        <w:rPr>
                          <w:lang w:val="lv-LV"/>
                        </w:rPr>
                        <w:t>Datu suverenitāte nodrošina, ka dati tiek pārvaldīti un uzglabāti saskaņā ar normatīvajiem aktiem, vienlaikus respektējot indivīdu tiesības uz datu privātumu un kontroli. Šis princips veicina datu aizsardzību, drošību un uzticamību, kā arī nodrošina, ka dati tiek izmantoti atbilstoši nacionālajām interesēm un sabiedrības labklājībai.</w:t>
                      </w:r>
                    </w:p>
                    <w:p w14:paraId="67482986" w14:textId="4FA0183F" w:rsidR="001B7BB2" w:rsidRPr="001B7BB2" w:rsidRDefault="001B7BB2" w:rsidP="001B7BB2">
                      <w:pPr>
                        <w:ind w:left="851"/>
                        <w:jc w:val="both"/>
                        <w:rPr>
                          <w:b/>
                          <w:lang w:val="lv-LV"/>
                        </w:rPr>
                      </w:pPr>
                      <w:r w:rsidRPr="001B7BB2">
                        <w:rPr>
                          <w:lang w:val="lv-LV"/>
                        </w:rPr>
                        <w:t>Publiskajos pakalpojumos un IKT risinājumos</w:t>
                      </w:r>
                      <w:r w:rsidRPr="00746A4A">
                        <w:rPr>
                          <w:lang w:val="lv-LV"/>
                        </w:rPr>
                        <w:t xml:space="preserve"> apstrādātajiem datiem ir jābūt pareiziem un jāatbilst tos apliecinošiem dokumentiem un faktiem, kā arī citās informācijas sistēmās apstrādātajiem datiem. Dati tiek uzskatīti par precīziem, kamēr tie netiek apstrīdēti vai precizēti normatīvajos aktos.</w:t>
                      </w:r>
                    </w:p>
                  </w:txbxContent>
                </v:textbox>
                <w10:wrap type="topAndBottom"/>
              </v:shape>
            </w:pict>
          </mc:Fallback>
        </mc:AlternateContent>
      </w:r>
      <w:r w:rsidR="0037070B" w:rsidRPr="001B7BB2">
        <w:rPr>
          <w:rFonts w:ascii="Times New Roman" w:hAnsi="Times New Roman" w:cs="Times New Roman"/>
          <w:noProof/>
          <w:sz w:val="22"/>
          <w:szCs w:val="22"/>
          <w:lang w:val="lv-LV"/>
        </w:rPr>
        <w:drawing>
          <wp:anchor distT="0" distB="0" distL="114300" distR="114300" simplePos="0" relativeHeight="251658261" behindDoc="0" locked="0" layoutInCell="1" allowOverlap="1" wp14:anchorId="53C39712" wp14:editId="11876D00">
            <wp:simplePos x="0" y="0"/>
            <wp:positionH relativeFrom="margin">
              <wp:posOffset>88900</wp:posOffset>
            </wp:positionH>
            <wp:positionV relativeFrom="paragraph">
              <wp:posOffset>450850</wp:posOffset>
            </wp:positionV>
            <wp:extent cx="427990" cy="427990"/>
            <wp:effectExtent l="0" t="0" r="0" b="0"/>
            <wp:wrapSquare wrapText="bothSides"/>
            <wp:docPr id="150406869"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E10798" w:rsidRPr="001B7BB2">
        <w:rPr>
          <w:lang w:val="lv-LV"/>
        </w:rPr>
        <w:t>,</w:t>
      </w:r>
      <w:r w:rsidR="00924AF5" w:rsidRPr="001B7BB2">
        <w:rPr>
          <w:lang w:val="lv-LV"/>
        </w:rPr>
        <w:t xml:space="preserve"> drošību</w:t>
      </w:r>
      <w:r w:rsidR="00E10798" w:rsidRPr="001B7BB2">
        <w:rPr>
          <w:lang w:val="lv-LV"/>
        </w:rPr>
        <w:t xml:space="preserve"> un uzticamību</w:t>
      </w:r>
    </w:p>
    <w:p w14:paraId="5DC9DB08" w14:textId="77777777" w:rsidR="0037070B" w:rsidRDefault="0037070B" w:rsidP="0037070B">
      <w:pPr>
        <w:rPr>
          <w:lang w:val="lv-LV"/>
        </w:rPr>
      </w:pPr>
    </w:p>
    <w:p w14:paraId="46E0B4A9" w14:textId="77777777" w:rsidR="00502D87" w:rsidRPr="006376F8" w:rsidRDefault="00502D87" w:rsidP="00502D87">
      <w:pPr>
        <w:rPr>
          <w:lang w:val="lv-LV"/>
        </w:rPr>
      </w:pPr>
      <w:r w:rsidRPr="006376F8">
        <w:rPr>
          <w:lang w:val="lv-LV"/>
        </w:rPr>
        <w:t>Piemērošanas vadlīnijas:</w:t>
      </w:r>
    </w:p>
    <w:p w14:paraId="1A19D0D8" w14:textId="24CDEB2A" w:rsidR="003F0F69" w:rsidRPr="006376F8" w:rsidRDefault="003F0F69" w:rsidP="00502D87">
      <w:pPr>
        <w:pStyle w:val="ListParagraph"/>
        <w:numPr>
          <w:ilvl w:val="0"/>
          <w:numId w:val="11"/>
        </w:numPr>
        <w:jc w:val="both"/>
        <w:rPr>
          <w:lang w:val="lv-LV"/>
        </w:rPr>
      </w:pPr>
      <w:r w:rsidRPr="006376F8">
        <w:rPr>
          <w:lang w:val="lv-LV"/>
        </w:rPr>
        <w:t xml:space="preserve">Nodrošiniet datu suverenitāti. </w:t>
      </w:r>
      <w:r w:rsidR="00C85E8A" w:rsidRPr="006376F8">
        <w:rPr>
          <w:lang w:val="lv-LV"/>
        </w:rPr>
        <w:t>Nodrošiniet, ka visi dati tiek apstrādāti un uzglabāti saskaņā ar spēkā esošajiem normatīvajiem aktiem, tostarp datu aizsardzības un privātuma regulējumu.</w:t>
      </w:r>
    </w:p>
    <w:p w14:paraId="357F9FB2" w14:textId="59151D81" w:rsidR="00502D87" w:rsidRPr="006376F8" w:rsidRDefault="00474EBE" w:rsidP="00502D87">
      <w:pPr>
        <w:pStyle w:val="ListParagraph"/>
        <w:numPr>
          <w:ilvl w:val="0"/>
          <w:numId w:val="11"/>
        </w:numPr>
        <w:jc w:val="both"/>
        <w:rPr>
          <w:lang w:val="lv-LV"/>
        </w:rPr>
      </w:pPr>
      <w:r w:rsidRPr="006376F8">
        <w:rPr>
          <w:lang w:val="lv-LV"/>
        </w:rPr>
        <w:t xml:space="preserve">Nodrošiniet datu uzticamību. </w:t>
      </w:r>
      <w:r w:rsidRPr="006376F8">
        <w:rPr>
          <w:lang w:val="lv-LV"/>
        </w:rPr>
        <w:t>Informācijas sistēmās apstrādātajiem datiem ir jābūt pareiziem un jāatbilst tos apliecinošiem dokumentiem un faktiem, kā arī citās informācijas sistēmās apstrādātajiem datiem. Dati tiek uzskatīti par precīziem, kamēr tie netiek apstrīdēti vai precizēti normatīvajos aktos</w:t>
      </w:r>
    </w:p>
    <w:p w14:paraId="121E98CA" w14:textId="6E8A88F5" w:rsidR="00474EBE" w:rsidRPr="006376F8" w:rsidRDefault="002C4625" w:rsidP="00502D87">
      <w:pPr>
        <w:pStyle w:val="ListParagraph"/>
        <w:numPr>
          <w:ilvl w:val="0"/>
          <w:numId w:val="11"/>
        </w:numPr>
        <w:jc w:val="both"/>
        <w:rPr>
          <w:lang w:val="lv-LV"/>
        </w:rPr>
      </w:pPr>
      <w:r w:rsidRPr="006376F8">
        <w:rPr>
          <w:lang w:val="lv-LV"/>
        </w:rPr>
        <w:t xml:space="preserve">Nodrošiniet datu drošību. </w:t>
      </w:r>
      <w:r w:rsidRPr="006376F8">
        <w:rPr>
          <w:rFonts w:cs="Times New Roman"/>
          <w:lang w:val="lv-LV"/>
        </w:rPr>
        <w:t>Jānodrošina, lai informācijas sistēmā apstrādātie dati ir pieejami apstrādei norādītajā laikā, aizsargāti no nejaušas vai nelikumīgas iznīcināšanas, nozaudēšanas, manipulācijām, izpaušanas bez atļaujas vai nelikumīgas piekļuves tiem</w:t>
      </w:r>
      <w:r w:rsidRPr="006376F8">
        <w:rPr>
          <w:rFonts w:cs="Times New Roman"/>
          <w:lang w:val="lv-LV"/>
        </w:rPr>
        <w:t>.</w:t>
      </w:r>
    </w:p>
    <w:p w14:paraId="5AB76BA8" w14:textId="1483B00F" w:rsidR="00575CF8" w:rsidRPr="006376F8" w:rsidRDefault="00D401B8" w:rsidP="00502D87">
      <w:pPr>
        <w:pStyle w:val="ListParagraph"/>
        <w:numPr>
          <w:ilvl w:val="0"/>
          <w:numId w:val="11"/>
        </w:numPr>
        <w:rPr>
          <w:lang w:val="lv-LV"/>
        </w:rPr>
      </w:pPr>
      <w:r w:rsidRPr="006376F8">
        <w:rPr>
          <w:lang w:val="lv-LV"/>
        </w:rPr>
        <w:t>Sekundāro datu apstrādes rezultātā ar negatīvām sekām nedrīkst vērsties pret datu subjektu.</w:t>
      </w:r>
    </w:p>
    <w:p w14:paraId="7C1E4381" w14:textId="6E269F3A" w:rsidR="00502D87" w:rsidRPr="006376F8" w:rsidRDefault="00502D87" w:rsidP="00502D87">
      <w:pPr>
        <w:rPr>
          <w:lang w:val="lv-LV"/>
        </w:rPr>
      </w:pPr>
      <w:r w:rsidRPr="006376F8">
        <w:rPr>
          <w:lang w:val="lv-LV"/>
        </w:rPr>
        <w:t>Novērtēšanas vadlīnijas:</w:t>
      </w:r>
    </w:p>
    <w:p w14:paraId="6C872F07" w14:textId="7DEDE900" w:rsidR="00575CF8" w:rsidRPr="006376F8" w:rsidRDefault="00870468" w:rsidP="00575CF8">
      <w:pPr>
        <w:pStyle w:val="ListParagraph"/>
        <w:numPr>
          <w:ilvl w:val="0"/>
          <w:numId w:val="29"/>
        </w:numPr>
        <w:rPr>
          <w:lang w:val="lv-LV"/>
        </w:rPr>
      </w:pPr>
      <w:r>
        <w:rPr>
          <w:lang w:val="lv-LV"/>
        </w:rPr>
        <w:t>SPK</w:t>
      </w:r>
      <w:r w:rsidR="00195E22">
        <w:rPr>
          <w:lang w:val="lv-LV"/>
        </w:rPr>
        <w:t>6</w:t>
      </w:r>
      <w:r>
        <w:rPr>
          <w:lang w:val="lv-LV"/>
        </w:rPr>
        <w:t xml:space="preserve">. </w:t>
      </w:r>
      <w:r w:rsidR="0006266B" w:rsidRPr="006376F8">
        <w:rPr>
          <w:lang w:val="lv-LV"/>
        </w:rPr>
        <w:t xml:space="preserve">Vai </w:t>
      </w:r>
      <w:r w:rsidR="0006266B" w:rsidRPr="006376F8">
        <w:rPr>
          <w:lang w:val="lv-LV"/>
        </w:rPr>
        <w:t xml:space="preserve">jomas </w:t>
      </w:r>
      <w:proofErr w:type="spellStart"/>
      <w:r w:rsidR="0006266B" w:rsidRPr="006376F8">
        <w:rPr>
          <w:lang w:val="lv-LV"/>
        </w:rPr>
        <w:t>mērķarhitektūras</w:t>
      </w:r>
      <w:proofErr w:type="spellEnd"/>
      <w:r w:rsidR="0006266B" w:rsidRPr="006376F8">
        <w:rPr>
          <w:lang w:val="lv-LV"/>
        </w:rPr>
        <w:t xml:space="preserve"> IKT risinājumos </w:t>
      </w:r>
      <w:r w:rsidR="0006266B" w:rsidRPr="006376F8">
        <w:rPr>
          <w:lang w:val="lv-LV"/>
        </w:rPr>
        <w:t>apstrādātie dati ir pareizi un atbilst dokumentiem, faktiem un citās sistēmās esošajiem datiem?</w:t>
      </w:r>
    </w:p>
    <w:p w14:paraId="39B3EEE6" w14:textId="77777777" w:rsidR="00502D87" w:rsidRDefault="00502D87" w:rsidP="0037070B">
      <w:pPr>
        <w:rPr>
          <w:lang w:val="lv-LV"/>
        </w:rPr>
      </w:pPr>
    </w:p>
    <w:p w14:paraId="77491EC8" w14:textId="1061D49A" w:rsidR="00924AF5" w:rsidRPr="00924AF5" w:rsidRDefault="00E24404" w:rsidP="00372307">
      <w:pPr>
        <w:pStyle w:val="Heading2"/>
      </w:pPr>
      <w:r>
        <w:rPr>
          <w:lang w:val="lv-LV"/>
        </w:rPr>
        <w:lastRenderedPageBreak/>
        <w:t>SP</w:t>
      </w:r>
      <w:r w:rsidR="001B7BB2">
        <w:rPr>
          <w:lang w:val="lv-LV"/>
        </w:rPr>
        <w:t>4</w:t>
      </w:r>
      <w:r>
        <w:rPr>
          <w:lang w:val="lv-LV"/>
        </w:rPr>
        <w:t xml:space="preserve">. </w:t>
      </w:r>
      <w:r>
        <w:t>D</w:t>
      </w:r>
      <w:r w:rsidRPr="00E24404">
        <w:t xml:space="preserve">ati </w:t>
      </w:r>
      <w:proofErr w:type="spellStart"/>
      <w:r w:rsidRPr="00E24404">
        <w:t>ir</w:t>
      </w:r>
      <w:proofErr w:type="spellEnd"/>
      <w:r w:rsidRPr="00E24404">
        <w:t xml:space="preserve"> </w:t>
      </w:r>
      <w:proofErr w:type="spellStart"/>
      <w:r w:rsidRPr="00E24404">
        <w:t>viegli</w:t>
      </w:r>
      <w:proofErr w:type="spellEnd"/>
      <w:r w:rsidRPr="00E24404">
        <w:t xml:space="preserve"> </w:t>
      </w:r>
      <w:proofErr w:type="spellStart"/>
      <w:r w:rsidRPr="00E24404">
        <w:t>atrodami</w:t>
      </w:r>
      <w:proofErr w:type="spellEnd"/>
      <w:r w:rsidRPr="00E24404">
        <w:t xml:space="preserve">, </w:t>
      </w:r>
      <w:proofErr w:type="spellStart"/>
      <w:r w:rsidRPr="00E24404">
        <w:t>pieejami</w:t>
      </w:r>
      <w:proofErr w:type="spellEnd"/>
      <w:r w:rsidRPr="00E24404">
        <w:t xml:space="preserve">, </w:t>
      </w:r>
      <w:proofErr w:type="spellStart"/>
      <w:r w:rsidRPr="00E24404">
        <w:t>savietojami</w:t>
      </w:r>
      <w:proofErr w:type="spellEnd"/>
      <w:r w:rsidRPr="00E24404">
        <w:t xml:space="preserve"> un </w:t>
      </w:r>
      <w:proofErr w:type="spellStart"/>
      <w:r w:rsidRPr="00E24404">
        <w:t>atkārtoti</w:t>
      </w:r>
      <w:proofErr w:type="spellEnd"/>
      <w:r w:rsidRPr="00E24404">
        <w:t xml:space="preserve"> </w:t>
      </w:r>
      <w:proofErr w:type="spellStart"/>
      <w:r w:rsidRPr="00E24404">
        <w:t>izmantojami</w:t>
      </w:r>
      <w:proofErr w:type="spellEnd"/>
      <w:r w:rsidRPr="00E24404">
        <w:t xml:space="preserve"> </w:t>
      </w:r>
      <w:r w:rsidR="00924AF5" w:rsidRPr="00E2406D">
        <w:rPr>
          <w:noProof/>
          <w:lang w:val="lv-LV"/>
        </w:rPr>
        <mc:AlternateContent>
          <mc:Choice Requires="wps">
            <w:drawing>
              <wp:anchor distT="0" distB="0" distL="114300" distR="114300" simplePos="0" relativeHeight="251658262" behindDoc="0" locked="0" layoutInCell="1" allowOverlap="1" wp14:anchorId="2117E9B7" wp14:editId="2D6DD405">
                <wp:simplePos x="0" y="0"/>
                <wp:positionH relativeFrom="column">
                  <wp:posOffset>0</wp:posOffset>
                </wp:positionH>
                <wp:positionV relativeFrom="paragraph">
                  <wp:posOffset>316865</wp:posOffset>
                </wp:positionV>
                <wp:extent cx="1828800" cy="1828800"/>
                <wp:effectExtent l="0" t="0" r="8890" b="10795"/>
                <wp:wrapTopAndBottom/>
                <wp:docPr id="1251517094"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B2ED471" w14:textId="180CE6CE" w:rsidR="00924AF5" w:rsidRPr="0024547E" w:rsidRDefault="00924AF5" w:rsidP="00924AF5">
                            <w:pPr>
                              <w:ind w:left="851"/>
                              <w:jc w:val="both"/>
                              <w:rPr>
                                <w:lang w:val="lv-LV"/>
                              </w:rPr>
                            </w:pPr>
                            <w:r w:rsidRPr="0024547E">
                              <w:rPr>
                                <w:lang w:val="lv-LV"/>
                              </w:rPr>
                              <w:t>Dati tiek pārvaldīti, ievērojot FAIR principus, lai nodrošinātu, ka tie ir viegli atrodami (</w:t>
                            </w:r>
                            <w:proofErr w:type="spellStart"/>
                            <w:r w:rsidRPr="0024547E">
                              <w:rPr>
                                <w:lang w:val="lv-LV"/>
                              </w:rPr>
                              <w:t>Findable</w:t>
                            </w:r>
                            <w:proofErr w:type="spellEnd"/>
                            <w:r w:rsidRPr="0024547E">
                              <w:rPr>
                                <w:lang w:val="lv-LV"/>
                              </w:rPr>
                              <w:t>), pieejami (</w:t>
                            </w:r>
                            <w:proofErr w:type="spellStart"/>
                            <w:r w:rsidRPr="0024547E">
                              <w:rPr>
                                <w:lang w:val="lv-LV"/>
                              </w:rPr>
                              <w:t>Accessible</w:t>
                            </w:r>
                            <w:proofErr w:type="spellEnd"/>
                            <w:r w:rsidRPr="0024547E">
                              <w:rPr>
                                <w:lang w:val="lv-LV"/>
                              </w:rPr>
                              <w:t>), savietojami (</w:t>
                            </w:r>
                            <w:proofErr w:type="spellStart"/>
                            <w:r w:rsidRPr="0024547E">
                              <w:rPr>
                                <w:lang w:val="lv-LV"/>
                              </w:rPr>
                              <w:t>Interoperable</w:t>
                            </w:r>
                            <w:proofErr w:type="spellEnd"/>
                            <w:r w:rsidRPr="0024547E">
                              <w:rPr>
                                <w:lang w:val="lv-LV"/>
                              </w:rPr>
                              <w:t>) un atkārtoti izmantojami (</w:t>
                            </w:r>
                            <w:proofErr w:type="spellStart"/>
                            <w:r w:rsidRPr="0024547E">
                              <w:rPr>
                                <w:lang w:val="lv-LV"/>
                              </w:rPr>
                              <w:t>Reusable</w:t>
                            </w:r>
                            <w:proofErr w:type="spellEnd"/>
                            <w:r w:rsidRPr="0024547E">
                              <w:rPr>
                                <w:lang w:val="lv-LV"/>
                              </w:rPr>
                              <w:t xml:space="preserve">). Šī pieeja veicina datu kvalitāti, efektīvu izmantošanu un sabiedrības labklājību, atbalstot atklātību un </w:t>
                            </w:r>
                            <w:proofErr w:type="spellStart"/>
                            <w:r w:rsidRPr="0024547E">
                              <w:rPr>
                                <w:lang w:val="lv-LV"/>
                              </w:rPr>
                              <w:t>sadarbspēju</w:t>
                            </w:r>
                            <w:proofErr w:type="spellEnd"/>
                            <w:r w:rsidRPr="0024547E">
                              <w:rPr>
                                <w:lang w:val="lv-LV"/>
                              </w:rPr>
                              <w:t xml:space="preserve"> starp dažādām valsts un starpvalstu sistēmām.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17E9B7" id="_x0000_s1040" type="#_x0000_t202" style="position:absolute;margin-left:0;margin-top:24.95pt;width:2in;height:2in;z-index:2516582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RxeGxlwCAAANBQAADgAAAAAAAAAAAAAAAAAuAgAAZHJzL2Uyb0RvYy54bWxQ&#10;SwECLQAUAAYACAAAACEA7u+WodsAAAAHAQAADwAAAAAAAAAAAAAAAAC2BAAAZHJzL2Rvd25yZXYu&#10;eG1sUEsFBgAAAAAEAAQA8wAAAL4FAAAAAA==&#10;" fillcolor="white [3201]" strokecolor="#196b24 [3206]" strokeweight="1pt">
                <v:textbox style="mso-fit-shape-to-text:t">
                  <w:txbxContent>
                    <w:p w14:paraId="4B2ED471" w14:textId="180CE6CE" w:rsidR="00924AF5" w:rsidRPr="0024547E" w:rsidRDefault="00924AF5" w:rsidP="00924AF5">
                      <w:pPr>
                        <w:ind w:left="851"/>
                        <w:jc w:val="both"/>
                        <w:rPr>
                          <w:lang w:val="lv-LV"/>
                        </w:rPr>
                      </w:pPr>
                      <w:r w:rsidRPr="0024547E">
                        <w:rPr>
                          <w:lang w:val="lv-LV"/>
                        </w:rPr>
                        <w:t>Dati tiek pārvaldīti, ievērojot FAIR principus, lai nodrošinātu, ka tie ir viegli atrodami (</w:t>
                      </w:r>
                      <w:proofErr w:type="spellStart"/>
                      <w:r w:rsidRPr="0024547E">
                        <w:rPr>
                          <w:lang w:val="lv-LV"/>
                        </w:rPr>
                        <w:t>Findable</w:t>
                      </w:r>
                      <w:proofErr w:type="spellEnd"/>
                      <w:r w:rsidRPr="0024547E">
                        <w:rPr>
                          <w:lang w:val="lv-LV"/>
                        </w:rPr>
                        <w:t>), pieejami (</w:t>
                      </w:r>
                      <w:proofErr w:type="spellStart"/>
                      <w:r w:rsidRPr="0024547E">
                        <w:rPr>
                          <w:lang w:val="lv-LV"/>
                        </w:rPr>
                        <w:t>Accessible</w:t>
                      </w:r>
                      <w:proofErr w:type="spellEnd"/>
                      <w:r w:rsidRPr="0024547E">
                        <w:rPr>
                          <w:lang w:val="lv-LV"/>
                        </w:rPr>
                        <w:t>), savietojami (</w:t>
                      </w:r>
                      <w:proofErr w:type="spellStart"/>
                      <w:r w:rsidRPr="0024547E">
                        <w:rPr>
                          <w:lang w:val="lv-LV"/>
                        </w:rPr>
                        <w:t>Interoperable</w:t>
                      </w:r>
                      <w:proofErr w:type="spellEnd"/>
                      <w:r w:rsidRPr="0024547E">
                        <w:rPr>
                          <w:lang w:val="lv-LV"/>
                        </w:rPr>
                        <w:t>) un atkārtoti izmantojami (</w:t>
                      </w:r>
                      <w:proofErr w:type="spellStart"/>
                      <w:r w:rsidRPr="0024547E">
                        <w:rPr>
                          <w:lang w:val="lv-LV"/>
                        </w:rPr>
                        <w:t>Reusable</w:t>
                      </w:r>
                      <w:proofErr w:type="spellEnd"/>
                      <w:r w:rsidRPr="0024547E">
                        <w:rPr>
                          <w:lang w:val="lv-LV"/>
                        </w:rPr>
                        <w:t xml:space="preserve">). Šī pieeja veicina datu kvalitāti, efektīvu izmantošanu un sabiedrības labklājību, atbalstot atklātību un </w:t>
                      </w:r>
                      <w:proofErr w:type="spellStart"/>
                      <w:r w:rsidRPr="0024547E">
                        <w:rPr>
                          <w:lang w:val="lv-LV"/>
                        </w:rPr>
                        <w:t>sadarbspēju</w:t>
                      </w:r>
                      <w:proofErr w:type="spellEnd"/>
                      <w:r w:rsidRPr="0024547E">
                        <w:rPr>
                          <w:lang w:val="lv-LV"/>
                        </w:rPr>
                        <w:t xml:space="preserve"> starp dažādām valsts un starpvalstu sistēmām.</w:t>
                      </w:r>
                    </w:p>
                  </w:txbxContent>
                </v:textbox>
                <w10:wrap type="topAndBottom"/>
              </v:shape>
            </w:pict>
          </mc:Fallback>
        </mc:AlternateContent>
      </w:r>
      <w:r w:rsidR="00924AF5" w:rsidRPr="00E2406D">
        <w:rPr>
          <w:rFonts w:ascii="Times New Roman" w:hAnsi="Times New Roman" w:cs="Times New Roman"/>
          <w:noProof/>
          <w:sz w:val="22"/>
          <w:szCs w:val="22"/>
          <w:lang w:val="lv-LV"/>
        </w:rPr>
        <w:drawing>
          <wp:anchor distT="0" distB="0" distL="114300" distR="114300" simplePos="0" relativeHeight="251658263" behindDoc="0" locked="0" layoutInCell="1" allowOverlap="1" wp14:anchorId="696B82AE" wp14:editId="5C813642">
            <wp:simplePos x="0" y="0"/>
            <wp:positionH relativeFrom="margin">
              <wp:posOffset>88900</wp:posOffset>
            </wp:positionH>
            <wp:positionV relativeFrom="paragraph">
              <wp:posOffset>450850</wp:posOffset>
            </wp:positionV>
            <wp:extent cx="427990" cy="427990"/>
            <wp:effectExtent l="0" t="0" r="0" b="0"/>
            <wp:wrapSquare wrapText="bothSides"/>
            <wp:docPr id="728143389"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p>
    <w:p w14:paraId="7D3DBDCC" w14:textId="77777777" w:rsidR="005A0493" w:rsidRDefault="005A0493" w:rsidP="001B7BB2">
      <w:pPr>
        <w:rPr>
          <w:lang w:val="lv-LV"/>
        </w:rPr>
      </w:pPr>
    </w:p>
    <w:p w14:paraId="11168730" w14:textId="77777777" w:rsidR="00502D87" w:rsidRPr="00AE17B5" w:rsidRDefault="00502D87" w:rsidP="00502D87">
      <w:pPr>
        <w:rPr>
          <w:lang w:val="lv-LV"/>
        </w:rPr>
      </w:pPr>
      <w:r w:rsidRPr="00AE17B5">
        <w:rPr>
          <w:lang w:val="lv-LV"/>
        </w:rPr>
        <w:t>Piemērošanas vadlīnijas:</w:t>
      </w:r>
    </w:p>
    <w:p w14:paraId="284D0438" w14:textId="41E7D52F" w:rsidR="00502D87" w:rsidRPr="007B2A8E" w:rsidRDefault="00B257E2" w:rsidP="007B2A8E">
      <w:pPr>
        <w:pStyle w:val="ListParagraph"/>
        <w:numPr>
          <w:ilvl w:val="0"/>
          <w:numId w:val="11"/>
        </w:numPr>
        <w:rPr>
          <w:lang w:val="lv-LV"/>
        </w:rPr>
      </w:pPr>
      <w:r w:rsidRPr="00EC2916">
        <w:rPr>
          <w:lang w:val="lv-LV"/>
        </w:rPr>
        <w:t xml:space="preserve">Nodrošiniet, ka dati ir atrodami. </w:t>
      </w:r>
      <w:r w:rsidR="007B2A8E" w:rsidRPr="00B75E4C">
        <w:rPr>
          <w:lang w:val="lv-LV"/>
        </w:rPr>
        <w:t>Valsts pārvaldes iestādēm jānodrošina</w:t>
      </w:r>
      <w:r w:rsidR="007B2A8E" w:rsidRPr="00B75E4C">
        <w:rPr>
          <w:b/>
          <w:lang w:val="lv-LV"/>
        </w:rPr>
        <w:t xml:space="preserve"> </w:t>
      </w:r>
      <w:r w:rsidR="007B2A8E" w:rsidRPr="00B75E4C">
        <w:rPr>
          <w:lang w:val="lv-LV"/>
        </w:rPr>
        <w:t xml:space="preserve">augsta datu kvalitāte, datiem jābūt aprakstītiem, tādā veidā, lai tos būtu viegli interpretēt un </w:t>
      </w:r>
      <w:proofErr w:type="spellStart"/>
      <w:r w:rsidR="007B2A8E" w:rsidRPr="00B75E4C">
        <w:rPr>
          <w:lang w:val="lv-LV"/>
        </w:rPr>
        <w:t>pārizmantot</w:t>
      </w:r>
      <w:proofErr w:type="spellEnd"/>
      <w:r w:rsidR="007B2A8E" w:rsidRPr="00B75E4C">
        <w:rPr>
          <w:lang w:val="lv-LV"/>
        </w:rPr>
        <w:t xml:space="preserve"> (jābūt pievienotiem metadatiem</w:t>
      </w:r>
      <w:r w:rsidR="007B2A8E">
        <w:rPr>
          <w:lang w:val="lv-LV"/>
        </w:rPr>
        <w:t>)</w:t>
      </w:r>
      <w:r w:rsidR="007B2A8E" w:rsidRPr="00B75E4C">
        <w:rPr>
          <w:lang w:val="lv-LV"/>
        </w:rPr>
        <w:t>. Datu kvalitātes nodrošināšana ir nepārtraukts process un attiecināms uz visiem datiem, gan vēsturiskajiem, gan jauniem.</w:t>
      </w:r>
      <w:r w:rsidR="003467CA">
        <w:rPr>
          <w:lang w:val="lv-LV"/>
        </w:rPr>
        <w:t xml:space="preserve"> </w:t>
      </w:r>
    </w:p>
    <w:p w14:paraId="1D545445" w14:textId="39178964" w:rsidR="00B257E2" w:rsidRPr="00EC2916" w:rsidRDefault="00240117" w:rsidP="00240117">
      <w:pPr>
        <w:pStyle w:val="ListParagraph"/>
        <w:numPr>
          <w:ilvl w:val="0"/>
          <w:numId w:val="11"/>
        </w:numPr>
        <w:jc w:val="both"/>
        <w:rPr>
          <w:lang w:val="lv-LV"/>
        </w:rPr>
      </w:pPr>
      <w:r w:rsidRPr="00EC2916">
        <w:rPr>
          <w:lang w:val="lv-LV"/>
        </w:rPr>
        <w:t xml:space="preserve">Nodrošiniet, ka dati ir pieejami. </w:t>
      </w:r>
      <w:r w:rsidRPr="00EC2916">
        <w:rPr>
          <w:lang w:val="lv-LV"/>
        </w:rPr>
        <w:t>Nodrošiniet piekļuvi datiem, izmantojot drošus un standartizētus protokolus.</w:t>
      </w:r>
      <w:r w:rsidRPr="00EC2916">
        <w:rPr>
          <w:lang w:val="lv-LV"/>
        </w:rPr>
        <w:t xml:space="preserve"> </w:t>
      </w:r>
      <w:r w:rsidRPr="00EC2916">
        <w:rPr>
          <w:lang w:val="lv-LV"/>
        </w:rPr>
        <w:t>Skaidri norādiet nosacījumus datu lietošanai un pieejamībai.</w:t>
      </w:r>
    </w:p>
    <w:p w14:paraId="7FFE1904" w14:textId="6CADB325" w:rsidR="00240117" w:rsidRPr="00EC2916" w:rsidRDefault="00240117" w:rsidP="00240117">
      <w:pPr>
        <w:pStyle w:val="ListParagraph"/>
        <w:numPr>
          <w:ilvl w:val="0"/>
          <w:numId w:val="11"/>
        </w:numPr>
        <w:jc w:val="both"/>
        <w:rPr>
          <w:lang w:val="lv-LV"/>
        </w:rPr>
      </w:pPr>
      <w:r w:rsidRPr="00EC2916">
        <w:rPr>
          <w:lang w:val="lv-LV"/>
        </w:rPr>
        <w:t xml:space="preserve">Nodrošiniet, ka dati ir savietojami. </w:t>
      </w:r>
      <w:r w:rsidRPr="00EC2916">
        <w:rPr>
          <w:lang w:val="lv-LV"/>
        </w:rPr>
        <w:t>Izmantojiet atvērtus un standartizētus datu formātus.</w:t>
      </w:r>
      <w:r w:rsidRPr="00EC2916">
        <w:rPr>
          <w:lang w:val="lv-LV"/>
        </w:rPr>
        <w:t xml:space="preserve"> </w:t>
      </w:r>
      <w:r w:rsidR="006466AF" w:rsidRPr="00A1737F">
        <w:rPr>
          <w:lang w:val="lv-LV"/>
        </w:rPr>
        <w:t>Nepieciešams nodrošināt datu saskaņotību un salīdzināmību, izmantojot vienotus klasifikatorus un identifikatorus</w:t>
      </w:r>
      <w:r w:rsidR="001D1049">
        <w:rPr>
          <w:lang w:val="lv-LV"/>
        </w:rPr>
        <w:t xml:space="preserve">. </w:t>
      </w:r>
      <w:r w:rsidR="001D1049" w:rsidRPr="00A1737F">
        <w:rPr>
          <w:lang w:val="lv-LV"/>
        </w:rPr>
        <w:t xml:space="preserve">Nepieciešams  apzināt ārējās </w:t>
      </w:r>
      <w:proofErr w:type="spellStart"/>
      <w:r w:rsidR="001D1049" w:rsidRPr="00A1737F">
        <w:rPr>
          <w:lang w:val="lv-LV"/>
        </w:rPr>
        <w:t>saskanes</w:t>
      </w:r>
      <w:proofErr w:type="spellEnd"/>
      <w:r w:rsidR="001D1049" w:rsidRPr="00A1737F">
        <w:rPr>
          <w:lang w:val="lv-LV"/>
        </w:rPr>
        <w:t xml:space="preserve"> un kontrolētai datu apritei izmantojamos tehniskos risinājumus</w:t>
      </w:r>
      <w:r w:rsidR="001D1049">
        <w:rPr>
          <w:lang w:val="lv-LV"/>
        </w:rPr>
        <w:t>.</w:t>
      </w:r>
    </w:p>
    <w:p w14:paraId="5B25F2F6" w14:textId="15608F65" w:rsidR="0015165F" w:rsidRPr="00CC68D7" w:rsidRDefault="00EC2916" w:rsidP="0015165F">
      <w:pPr>
        <w:pStyle w:val="ListParagraph"/>
        <w:numPr>
          <w:ilvl w:val="0"/>
          <w:numId w:val="11"/>
        </w:numPr>
        <w:jc w:val="both"/>
        <w:rPr>
          <w:lang w:val="lv-LV"/>
        </w:rPr>
      </w:pPr>
      <w:r w:rsidRPr="00EC2916">
        <w:rPr>
          <w:lang w:val="lv-LV"/>
        </w:rPr>
        <w:t xml:space="preserve">Nodrošiniet, ka dati ir atkārtoti izmantojami. </w:t>
      </w:r>
      <w:r w:rsidRPr="00EC2916">
        <w:rPr>
          <w:lang w:val="lv-LV"/>
        </w:rPr>
        <w:t>Dokumentējiet datus ar skaidrām licencēm un uzturiet tos aktuālus.</w:t>
      </w:r>
      <w:r w:rsidRPr="00EC2916">
        <w:rPr>
          <w:lang w:val="lv-LV"/>
        </w:rPr>
        <w:t xml:space="preserve"> </w:t>
      </w:r>
      <w:r w:rsidRPr="00EC2916">
        <w:rPr>
          <w:lang w:val="lv-LV"/>
        </w:rPr>
        <w:t>Veiciet regulāru kvalitātes pārbaudi, lai veicinātu to ilgtermiņa izmantošanu.</w:t>
      </w:r>
    </w:p>
    <w:p w14:paraId="2DA7B2A2" w14:textId="77777777" w:rsidR="00502D87" w:rsidRDefault="00502D87" w:rsidP="00502D87">
      <w:pPr>
        <w:rPr>
          <w:lang w:val="lv-LV"/>
        </w:rPr>
      </w:pPr>
      <w:r w:rsidRPr="00C20AD0">
        <w:rPr>
          <w:lang w:val="lv-LV"/>
        </w:rPr>
        <w:t>Novērtēšanas vadlīnijas:</w:t>
      </w:r>
    </w:p>
    <w:p w14:paraId="02B19BEF" w14:textId="001B3981" w:rsidR="00F61BB8" w:rsidRPr="002B1506" w:rsidRDefault="002A2BE0" w:rsidP="00F61BB8">
      <w:pPr>
        <w:pStyle w:val="ListParagraph"/>
        <w:numPr>
          <w:ilvl w:val="0"/>
          <w:numId w:val="35"/>
        </w:numPr>
        <w:rPr>
          <w:lang w:val="lv-LV"/>
        </w:rPr>
      </w:pPr>
      <w:r w:rsidRPr="002B1506">
        <w:rPr>
          <w:lang w:val="lv-LV"/>
        </w:rPr>
        <w:t>SPK</w:t>
      </w:r>
      <w:r w:rsidR="00195E22">
        <w:rPr>
          <w:lang w:val="lv-LV"/>
        </w:rPr>
        <w:t>7</w:t>
      </w:r>
      <w:r w:rsidRPr="002B1506">
        <w:rPr>
          <w:lang w:val="lv-LV"/>
        </w:rPr>
        <w:t xml:space="preserve">. </w:t>
      </w:r>
      <w:r w:rsidR="000C201B" w:rsidRPr="000C201B">
        <w:rPr>
          <w:lang w:val="lv-LV"/>
        </w:rPr>
        <w:t xml:space="preserve">Vai </w:t>
      </w:r>
      <w:proofErr w:type="spellStart"/>
      <w:r w:rsidR="000C201B" w:rsidRPr="000C201B">
        <w:rPr>
          <w:lang w:val="lv-LV"/>
        </w:rPr>
        <w:t>mērķarhitektūrā</w:t>
      </w:r>
      <w:proofErr w:type="spellEnd"/>
      <w:r w:rsidR="000C201B" w:rsidRPr="000C201B">
        <w:rPr>
          <w:lang w:val="lv-LV"/>
        </w:rPr>
        <w:t xml:space="preserve"> radītajiem un apstrādātajiem datiem ir paredzēts pievienot metadatus, kas tos padara viegli interpretējamus un </w:t>
      </w:r>
      <w:proofErr w:type="spellStart"/>
      <w:r w:rsidR="000C201B" w:rsidRPr="000C201B">
        <w:rPr>
          <w:lang w:val="lv-LV"/>
        </w:rPr>
        <w:t>pārizmantojamus</w:t>
      </w:r>
      <w:proofErr w:type="spellEnd"/>
      <w:r w:rsidR="000C201B" w:rsidRPr="000C201B">
        <w:rPr>
          <w:lang w:val="lv-LV"/>
        </w:rPr>
        <w:t>?</w:t>
      </w:r>
    </w:p>
    <w:p w14:paraId="7D9B38C8" w14:textId="64E55F0E" w:rsidR="00D31A14" w:rsidRDefault="002A2BE0" w:rsidP="00632BE8">
      <w:pPr>
        <w:pStyle w:val="ListParagraph"/>
        <w:numPr>
          <w:ilvl w:val="0"/>
          <w:numId w:val="35"/>
        </w:numPr>
        <w:rPr>
          <w:lang w:val="lv-LV"/>
        </w:rPr>
      </w:pPr>
      <w:r w:rsidRPr="00D31A14">
        <w:rPr>
          <w:lang w:val="lv-LV"/>
        </w:rPr>
        <w:t>SPK</w:t>
      </w:r>
      <w:r w:rsidR="00195E22">
        <w:rPr>
          <w:lang w:val="lv-LV"/>
        </w:rPr>
        <w:t>8</w:t>
      </w:r>
      <w:r w:rsidRPr="00D31A14">
        <w:rPr>
          <w:lang w:val="lv-LV"/>
        </w:rPr>
        <w:t xml:space="preserve">. </w:t>
      </w:r>
      <w:r w:rsidR="00D31A14" w:rsidRPr="00D31A14">
        <w:rPr>
          <w:lang w:val="lv-LV"/>
        </w:rPr>
        <w:t xml:space="preserve">Vai </w:t>
      </w:r>
      <w:proofErr w:type="spellStart"/>
      <w:r w:rsidR="00D31A14" w:rsidRPr="00D31A14">
        <w:rPr>
          <w:lang w:val="lv-LV"/>
        </w:rPr>
        <w:t>mērķarhitektūrā</w:t>
      </w:r>
      <w:proofErr w:type="spellEnd"/>
      <w:r w:rsidR="00D31A14" w:rsidRPr="00D31A14">
        <w:rPr>
          <w:lang w:val="lv-LV"/>
        </w:rPr>
        <w:t xml:space="preserve"> </w:t>
      </w:r>
      <w:proofErr w:type="spellStart"/>
      <w:r w:rsidR="00D31A14" w:rsidRPr="00D31A14">
        <w:rPr>
          <w:lang w:val="lv-LV"/>
        </w:rPr>
        <w:t>piekļvi</w:t>
      </w:r>
      <w:proofErr w:type="spellEnd"/>
      <w:r w:rsidR="00D31A14" w:rsidRPr="00D31A14">
        <w:rPr>
          <w:lang w:val="lv-LV"/>
        </w:rPr>
        <w:t xml:space="preserve"> jomas datiem ir </w:t>
      </w:r>
      <w:proofErr w:type="spellStart"/>
      <w:r w:rsidR="00D31A14" w:rsidRPr="00D31A14">
        <w:rPr>
          <w:lang w:val="lv-LV"/>
        </w:rPr>
        <w:t>ir</w:t>
      </w:r>
      <w:proofErr w:type="spellEnd"/>
      <w:r w:rsidR="00D31A14" w:rsidRPr="00D31A14">
        <w:rPr>
          <w:lang w:val="lv-LV"/>
        </w:rPr>
        <w:t xml:space="preserve"> paredzēts nodrošināt, izmantojot drošus un standartizētus protokolus (piemēram, HTTPS, API)?</w:t>
      </w:r>
    </w:p>
    <w:p w14:paraId="3D8D25F5" w14:textId="066F046D" w:rsidR="001A291D" w:rsidRPr="00D31A14" w:rsidRDefault="002A2BE0" w:rsidP="00632BE8">
      <w:pPr>
        <w:pStyle w:val="ListParagraph"/>
        <w:numPr>
          <w:ilvl w:val="0"/>
          <w:numId w:val="35"/>
        </w:numPr>
        <w:rPr>
          <w:lang w:val="lv-LV"/>
        </w:rPr>
      </w:pPr>
      <w:r w:rsidRPr="00D31A14">
        <w:rPr>
          <w:lang w:val="lv-LV"/>
        </w:rPr>
        <w:t>SPK</w:t>
      </w:r>
      <w:r w:rsidR="00195E22">
        <w:rPr>
          <w:lang w:val="lv-LV"/>
        </w:rPr>
        <w:t>9</w:t>
      </w:r>
      <w:r w:rsidRPr="00D31A14">
        <w:rPr>
          <w:lang w:val="lv-LV"/>
        </w:rPr>
        <w:t xml:space="preserve">. </w:t>
      </w:r>
      <w:r w:rsidR="001A291D" w:rsidRPr="001A291D">
        <w:rPr>
          <w:lang w:val="lv-LV"/>
        </w:rPr>
        <w:t xml:space="preserve">Vai </w:t>
      </w:r>
      <w:proofErr w:type="spellStart"/>
      <w:r w:rsidR="00D31A14">
        <w:rPr>
          <w:lang w:val="lv-LV"/>
        </w:rPr>
        <w:t>mērķarhitektūrā</w:t>
      </w:r>
      <w:proofErr w:type="spellEnd"/>
      <w:r w:rsidR="00D31A14">
        <w:rPr>
          <w:lang w:val="lv-LV"/>
        </w:rPr>
        <w:t xml:space="preserve"> radītos vai ap</w:t>
      </w:r>
      <w:r w:rsidR="007A4DE5">
        <w:rPr>
          <w:lang w:val="lv-LV"/>
        </w:rPr>
        <w:t xml:space="preserve">strādātos </w:t>
      </w:r>
      <w:r w:rsidR="007A4DE5" w:rsidRPr="001A291D">
        <w:rPr>
          <w:lang w:val="lv-LV"/>
        </w:rPr>
        <w:t>datu</w:t>
      </w:r>
      <w:r w:rsidR="007A4DE5">
        <w:rPr>
          <w:lang w:val="lv-LV"/>
        </w:rPr>
        <w:t>s paredzēts</w:t>
      </w:r>
      <w:r w:rsidR="001A291D" w:rsidRPr="001A291D">
        <w:rPr>
          <w:lang w:val="lv-LV"/>
        </w:rPr>
        <w:t xml:space="preserve"> uzglabāt atvērtos un standartizētos formātos?</w:t>
      </w:r>
    </w:p>
    <w:p w14:paraId="6AA57B15" w14:textId="45EA32BA" w:rsidR="001A291D" w:rsidRPr="002B1506" w:rsidRDefault="002A2BE0" w:rsidP="001A291D">
      <w:pPr>
        <w:pStyle w:val="ListParagraph"/>
        <w:numPr>
          <w:ilvl w:val="0"/>
          <w:numId w:val="35"/>
        </w:numPr>
        <w:rPr>
          <w:lang w:val="lv-LV"/>
        </w:rPr>
      </w:pPr>
      <w:r w:rsidRPr="002B1506">
        <w:rPr>
          <w:lang w:val="lv-LV"/>
        </w:rPr>
        <w:t>SPK1</w:t>
      </w:r>
      <w:r w:rsidR="00195E22">
        <w:rPr>
          <w:lang w:val="lv-LV"/>
        </w:rPr>
        <w:t>0</w:t>
      </w:r>
      <w:r w:rsidRPr="002B1506">
        <w:rPr>
          <w:lang w:val="lv-LV"/>
        </w:rPr>
        <w:t xml:space="preserve">. </w:t>
      </w:r>
      <w:r w:rsidR="001A291D" w:rsidRPr="002B1506">
        <w:rPr>
          <w:lang w:val="lv-LV"/>
        </w:rPr>
        <w:t xml:space="preserve">Vai </w:t>
      </w:r>
      <w:r w:rsidR="007B211D">
        <w:rPr>
          <w:lang w:val="lv-LV"/>
        </w:rPr>
        <w:t xml:space="preserve">paredzēts </w:t>
      </w:r>
      <w:r w:rsidR="001A291D" w:rsidRPr="002B1506">
        <w:rPr>
          <w:lang w:val="lv-LV"/>
        </w:rPr>
        <w:t>nodrošināt</w:t>
      </w:r>
      <w:r w:rsidR="007B211D">
        <w:rPr>
          <w:lang w:val="lv-LV"/>
        </w:rPr>
        <w:t xml:space="preserve"> </w:t>
      </w:r>
      <w:proofErr w:type="spellStart"/>
      <w:r w:rsidR="007B211D">
        <w:rPr>
          <w:lang w:val="lv-LV"/>
        </w:rPr>
        <w:t>mērķarhitektūrā</w:t>
      </w:r>
      <w:proofErr w:type="spellEnd"/>
      <w:r w:rsidR="007B211D">
        <w:rPr>
          <w:lang w:val="lv-LV"/>
        </w:rPr>
        <w:t xml:space="preserve"> radīto vai apstrādāto</w:t>
      </w:r>
      <w:r w:rsidR="001A291D" w:rsidRPr="002B1506">
        <w:rPr>
          <w:lang w:val="lv-LV"/>
        </w:rPr>
        <w:t xml:space="preserve"> datu saskaņotīb</w:t>
      </w:r>
      <w:r w:rsidR="007B211D">
        <w:rPr>
          <w:lang w:val="lv-LV"/>
        </w:rPr>
        <w:t>u</w:t>
      </w:r>
      <w:r w:rsidR="001A291D" w:rsidRPr="002B1506">
        <w:rPr>
          <w:lang w:val="lv-LV"/>
        </w:rPr>
        <w:t xml:space="preserve"> un salīdzināmīb</w:t>
      </w:r>
      <w:r w:rsidR="007B211D">
        <w:rPr>
          <w:lang w:val="lv-LV"/>
        </w:rPr>
        <w:t>u</w:t>
      </w:r>
      <w:r w:rsidR="001A291D" w:rsidRPr="002B1506">
        <w:rPr>
          <w:lang w:val="lv-LV"/>
        </w:rPr>
        <w:t>, izmantojot vienotus klasifikatorus un identifikatorus?</w:t>
      </w:r>
    </w:p>
    <w:p w14:paraId="66E44806" w14:textId="447EA630" w:rsidR="00137A2C" w:rsidRDefault="00696C36" w:rsidP="00D5520A">
      <w:pPr>
        <w:pStyle w:val="Heading1"/>
        <w:numPr>
          <w:ilvl w:val="0"/>
          <w:numId w:val="4"/>
        </w:numPr>
        <w:rPr>
          <w:lang w:val="lv-LV"/>
        </w:rPr>
      </w:pPr>
      <w:r>
        <w:rPr>
          <w:lang w:val="lv-LV"/>
        </w:rPr>
        <w:lastRenderedPageBreak/>
        <w:t xml:space="preserve">Tehniskie </w:t>
      </w:r>
      <w:r w:rsidR="00137A2C">
        <w:rPr>
          <w:lang w:val="lv-LV"/>
        </w:rPr>
        <w:t>principi</w:t>
      </w:r>
    </w:p>
    <w:p w14:paraId="24C06E53" w14:textId="1F563E48" w:rsidR="00992610" w:rsidRPr="00E40818" w:rsidRDefault="00992610" w:rsidP="00372307">
      <w:pPr>
        <w:pStyle w:val="Heading2"/>
        <w:rPr>
          <w:rStyle w:val="Heading4Char"/>
          <w:i w:val="0"/>
          <w:iCs w:val="0"/>
          <w:lang w:val="lv-LV"/>
        </w:rPr>
      </w:pPr>
      <w:r>
        <w:rPr>
          <w:lang w:val="lv-LV"/>
        </w:rPr>
        <w:t xml:space="preserve">TP1. </w:t>
      </w:r>
      <w:r w:rsidRPr="00E2406D">
        <w:rPr>
          <w:noProof/>
          <w:lang w:val="lv-LV"/>
        </w:rPr>
        <mc:AlternateContent>
          <mc:Choice Requires="wps">
            <w:drawing>
              <wp:anchor distT="0" distB="0" distL="114300" distR="114300" simplePos="0" relativeHeight="251658268" behindDoc="0" locked="0" layoutInCell="1" allowOverlap="1" wp14:anchorId="6D880751" wp14:editId="168D97B4">
                <wp:simplePos x="0" y="0"/>
                <wp:positionH relativeFrom="column">
                  <wp:posOffset>0</wp:posOffset>
                </wp:positionH>
                <wp:positionV relativeFrom="paragraph">
                  <wp:posOffset>316865</wp:posOffset>
                </wp:positionV>
                <wp:extent cx="1828800" cy="1828800"/>
                <wp:effectExtent l="0" t="0" r="8890" b="10795"/>
                <wp:wrapTopAndBottom/>
                <wp:docPr id="1876736238"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E6F9DE1" w14:textId="77777777" w:rsidR="00357292" w:rsidRPr="00357292" w:rsidRDefault="00357292" w:rsidP="00357292">
                            <w:pPr>
                              <w:ind w:left="851"/>
                              <w:jc w:val="both"/>
                              <w:rPr>
                                <w:lang w:val="lv-LV" w:bidi="lv-LV"/>
                              </w:rPr>
                            </w:pPr>
                            <w:r w:rsidRPr="00357292">
                              <w:rPr>
                                <w:lang w:val="lv-LV" w:bidi="lv-LV"/>
                              </w:rPr>
                              <w:t>Veidojot IKT pakalpojumus, iestādēm jākoncentrējas uz funkcionālajām vajadzībām un iespējami ilgāk jāatliek lēmumi par tehnoloģijām, lai mazinātu tehnoloģisko atkarību, izvairītos no īpašu tehnoloģiju vai produktu uzspiešanas partneriem un spētu pielāgoties tehnoloģiju videi, kas strauji attīstās.</w:t>
                            </w:r>
                          </w:p>
                          <w:p w14:paraId="1BAD38F1" w14:textId="4FD3A2C7" w:rsidR="00992610" w:rsidRPr="00357292" w:rsidRDefault="00357292" w:rsidP="00357292">
                            <w:pPr>
                              <w:ind w:left="851"/>
                              <w:jc w:val="both"/>
                              <w:rPr>
                                <w:lang w:val="lv-LV" w:bidi="lv-LV"/>
                              </w:rPr>
                            </w:pPr>
                            <w:r w:rsidRPr="00357292">
                              <w:rPr>
                                <w:lang w:val="lv-LV" w:bidi="lv-LV"/>
                              </w:rPr>
                              <w:t xml:space="preserve">Valsts pārvaldes iestādēm jānodrošina piekļuve saviem publiskajiem pakalpojumiem un datiem un to atkārtota izmantošana neatkarīgi no specifiskām tehnoloģijām vai produktiem.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880751" id="_x0000_s1041" type="#_x0000_t202" style="position:absolute;margin-left:0;margin-top:24.95pt;width:2in;height:2in;z-index:2516582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e7JhWlwCAAANBQAADgAAAAAAAAAAAAAAAAAuAgAAZHJzL2Uyb0RvYy54bWxQ&#10;SwECLQAUAAYACAAAACEA7u+WodsAAAAHAQAADwAAAAAAAAAAAAAAAAC2BAAAZHJzL2Rvd25yZXYu&#10;eG1sUEsFBgAAAAAEAAQA8wAAAL4FAAAAAA==&#10;" fillcolor="white [3201]" strokecolor="#196b24 [3206]" strokeweight="1pt">
                <v:textbox style="mso-fit-shape-to-text:t">
                  <w:txbxContent>
                    <w:p w14:paraId="3E6F9DE1" w14:textId="77777777" w:rsidR="00357292" w:rsidRPr="00357292" w:rsidRDefault="00357292" w:rsidP="00357292">
                      <w:pPr>
                        <w:ind w:left="851"/>
                        <w:jc w:val="both"/>
                        <w:rPr>
                          <w:lang w:val="lv-LV" w:bidi="lv-LV"/>
                        </w:rPr>
                      </w:pPr>
                      <w:r w:rsidRPr="00357292">
                        <w:rPr>
                          <w:lang w:val="lv-LV" w:bidi="lv-LV"/>
                        </w:rPr>
                        <w:t>Veidojot IKT pakalpojumus, iestādēm jākoncentrējas uz funkcionālajām vajadzībām un iespējami ilgāk jāatliek lēmumi par tehnoloģijām, lai mazinātu tehnoloģisko atkarību, izvairītos no īpašu tehnoloģiju vai produktu uzspiešanas partneriem un spētu pielāgoties tehnoloģiju videi, kas strauji attīstās.</w:t>
                      </w:r>
                    </w:p>
                    <w:p w14:paraId="1BAD38F1" w14:textId="4FD3A2C7" w:rsidR="00992610" w:rsidRPr="00357292" w:rsidRDefault="00357292" w:rsidP="00357292">
                      <w:pPr>
                        <w:ind w:left="851"/>
                        <w:jc w:val="both"/>
                        <w:rPr>
                          <w:lang w:val="lv-LV" w:bidi="lv-LV"/>
                        </w:rPr>
                      </w:pPr>
                      <w:r w:rsidRPr="00357292">
                        <w:rPr>
                          <w:lang w:val="lv-LV" w:bidi="lv-LV"/>
                        </w:rPr>
                        <w:t xml:space="preserve">Valsts pārvaldes iestādēm jānodrošina piekļuve saviem publiskajiem pakalpojumiem un datiem un to atkārtota izmantošana neatkarīgi no specifiskām tehnoloģijām vai produktiem.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69" behindDoc="0" locked="0" layoutInCell="1" allowOverlap="1" wp14:anchorId="51018FCF" wp14:editId="43F6D39D">
            <wp:simplePos x="0" y="0"/>
            <wp:positionH relativeFrom="margin">
              <wp:posOffset>88900</wp:posOffset>
            </wp:positionH>
            <wp:positionV relativeFrom="paragraph">
              <wp:posOffset>450850</wp:posOffset>
            </wp:positionV>
            <wp:extent cx="427990" cy="427990"/>
            <wp:effectExtent l="0" t="0" r="0" b="0"/>
            <wp:wrapSquare wrapText="bothSides"/>
            <wp:docPr id="320289870"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372307">
        <w:rPr>
          <w:lang w:val="lv-LV"/>
        </w:rPr>
        <w:t>Ievērot t</w:t>
      </w:r>
      <w:r>
        <w:rPr>
          <w:lang w:val="lv-LV"/>
        </w:rPr>
        <w:t>ehnoloģisk</w:t>
      </w:r>
      <w:r w:rsidR="00372307">
        <w:rPr>
          <w:lang w:val="lv-LV"/>
        </w:rPr>
        <w:t>o</w:t>
      </w:r>
      <w:r>
        <w:rPr>
          <w:lang w:val="lv-LV"/>
        </w:rPr>
        <w:t xml:space="preserve"> neitralitāt</w:t>
      </w:r>
      <w:r w:rsidR="00372307">
        <w:rPr>
          <w:lang w:val="lv-LV"/>
        </w:rPr>
        <w:t>i</w:t>
      </w:r>
    </w:p>
    <w:p w14:paraId="6C7530F6" w14:textId="77777777" w:rsidR="00137A2C" w:rsidRPr="00137A2C" w:rsidRDefault="00137A2C" w:rsidP="00137A2C">
      <w:pPr>
        <w:rPr>
          <w:lang w:val="lv-LV"/>
        </w:rPr>
      </w:pPr>
    </w:p>
    <w:p w14:paraId="276DF38C" w14:textId="77777777" w:rsidR="00502D87" w:rsidRPr="00AE17B5" w:rsidRDefault="00502D87" w:rsidP="00502D87">
      <w:pPr>
        <w:rPr>
          <w:lang w:val="lv-LV"/>
        </w:rPr>
      </w:pPr>
      <w:r w:rsidRPr="00AE17B5">
        <w:rPr>
          <w:lang w:val="lv-LV"/>
        </w:rPr>
        <w:t>Piemērošanas vadlīnijas:</w:t>
      </w:r>
    </w:p>
    <w:p w14:paraId="4A0B74F8" w14:textId="77777777" w:rsidR="003203CE" w:rsidRPr="0083789F" w:rsidRDefault="003203CE" w:rsidP="003203CE">
      <w:pPr>
        <w:pStyle w:val="ListParagraph"/>
        <w:numPr>
          <w:ilvl w:val="0"/>
          <w:numId w:val="11"/>
        </w:numPr>
        <w:rPr>
          <w:bCs/>
          <w:lang w:val="lv-LV"/>
        </w:rPr>
      </w:pPr>
      <w:r w:rsidRPr="0083789F">
        <w:rPr>
          <w:bCs/>
          <w:lang w:val="lv-LV"/>
        </w:rPr>
        <w:t>Neuzspiest iedzīvotājiem, uzņēmumiem un citām pārvaldes iestādēm tādus tehnoloģiskos risinājumus, kas ir piesaistīti konkrētai tehnoloģijai vai neproporcionāli to patiesajām vajadzībām.</w:t>
      </w:r>
    </w:p>
    <w:p w14:paraId="4024FA35" w14:textId="09903F06" w:rsidR="00502D87" w:rsidRPr="003203CE" w:rsidRDefault="003203CE" w:rsidP="003203CE">
      <w:pPr>
        <w:pStyle w:val="ListParagraph"/>
        <w:numPr>
          <w:ilvl w:val="0"/>
          <w:numId w:val="11"/>
        </w:numPr>
        <w:jc w:val="both"/>
        <w:rPr>
          <w:bCs/>
          <w:lang w:val="lv-LV"/>
        </w:rPr>
      </w:pPr>
      <w:r w:rsidRPr="0083789F">
        <w:rPr>
          <w:bCs/>
          <w:lang w:val="lv-LV"/>
        </w:rPr>
        <w:t>Nodrošināt datu pārnesamību, proti, datus jāvar viegli pārcelt starp IKT risinājumiem, tādējādi panākot IKT pakalpojumu īstenošanu un attīstību bez nepamatotiem ierobežojumiem.</w:t>
      </w:r>
    </w:p>
    <w:p w14:paraId="659F8D82" w14:textId="77777777" w:rsidR="00502D87" w:rsidRDefault="00502D87" w:rsidP="00502D87">
      <w:pPr>
        <w:rPr>
          <w:lang w:val="lv-LV"/>
        </w:rPr>
      </w:pPr>
      <w:r w:rsidRPr="00C20AD0">
        <w:rPr>
          <w:lang w:val="lv-LV"/>
        </w:rPr>
        <w:t>Novērtēšanas vadlīnijas:</w:t>
      </w:r>
    </w:p>
    <w:p w14:paraId="5C1BC6F3" w14:textId="30854A5C" w:rsidR="00CB0FB2" w:rsidRPr="00BD502C" w:rsidRDefault="002A2BE0" w:rsidP="00CB0FB2">
      <w:pPr>
        <w:pStyle w:val="ListParagraph"/>
        <w:numPr>
          <w:ilvl w:val="0"/>
          <w:numId w:val="30"/>
        </w:numPr>
        <w:rPr>
          <w:lang w:val="lv-LV"/>
        </w:rPr>
      </w:pPr>
      <w:r w:rsidRPr="00BD502C">
        <w:rPr>
          <w:lang w:val="lv-LV"/>
        </w:rPr>
        <w:t xml:space="preserve">TPK1. </w:t>
      </w:r>
      <w:r w:rsidR="00CB0FB2" w:rsidRPr="00BD502C">
        <w:rPr>
          <w:lang w:val="lv-LV"/>
        </w:rPr>
        <w:t xml:space="preserve">Vai </w:t>
      </w:r>
      <w:proofErr w:type="spellStart"/>
      <w:r w:rsidR="00CB0FB2" w:rsidRPr="00BD502C">
        <w:rPr>
          <w:lang w:val="lv-LV"/>
        </w:rPr>
        <w:t>mērķarhitektūrā</w:t>
      </w:r>
      <w:proofErr w:type="spellEnd"/>
      <w:r w:rsidR="00CB0FB2" w:rsidRPr="00BD502C">
        <w:rPr>
          <w:lang w:val="lv-LV"/>
        </w:rPr>
        <w:t xml:space="preserve"> iekļautos IKT risinājum</w:t>
      </w:r>
      <w:r w:rsidR="00195834" w:rsidRPr="00BD502C">
        <w:rPr>
          <w:lang w:val="lv-LV"/>
        </w:rPr>
        <w:t>us</w:t>
      </w:r>
      <w:r w:rsidR="00CB0FB2" w:rsidRPr="00BD502C">
        <w:rPr>
          <w:lang w:val="lv-LV"/>
        </w:rPr>
        <w:t xml:space="preserve"> </w:t>
      </w:r>
      <w:r w:rsidR="00195834" w:rsidRPr="00BD502C">
        <w:rPr>
          <w:lang w:val="lv-LV"/>
        </w:rPr>
        <w:t>paredzēts veidot kā tehnoloģiski neitrālus, nepiesaistot t</w:t>
      </w:r>
      <w:r w:rsidR="00BD502C" w:rsidRPr="00BD502C">
        <w:rPr>
          <w:lang w:val="lv-LV"/>
        </w:rPr>
        <w:t>os</w:t>
      </w:r>
      <w:r w:rsidR="00195834" w:rsidRPr="00BD502C">
        <w:rPr>
          <w:lang w:val="lv-LV"/>
        </w:rPr>
        <w:t xml:space="preserve"> </w:t>
      </w:r>
      <w:r w:rsidR="007C473C" w:rsidRPr="00BD502C">
        <w:rPr>
          <w:lang w:val="lv-LV"/>
        </w:rPr>
        <w:t>konkrētiem piegādātājiem vai tehnoloģijām?</w:t>
      </w:r>
    </w:p>
    <w:p w14:paraId="5F9D15C3" w14:textId="5AB5FFB4" w:rsidR="00942E14" w:rsidRPr="00BD502C" w:rsidRDefault="002A2BE0" w:rsidP="00CB0FB2">
      <w:pPr>
        <w:pStyle w:val="ListParagraph"/>
        <w:numPr>
          <w:ilvl w:val="0"/>
          <w:numId w:val="30"/>
        </w:numPr>
        <w:rPr>
          <w:lang w:val="lv-LV"/>
        </w:rPr>
      </w:pPr>
      <w:r w:rsidRPr="00BD502C">
        <w:rPr>
          <w:lang w:val="lv-LV"/>
        </w:rPr>
        <w:t>TPK</w:t>
      </w:r>
      <w:r w:rsidRPr="00BD502C">
        <w:rPr>
          <w:lang w:val="lv-LV"/>
        </w:rPr>
        <w:t xml:space="preserve">2. </w:t>
      </w:r>
      <w:r w:rsidR="00942E14" w:rsidRPr="00BD502C">
        <w:rPr>
          <w:lang w:val="lv-LV"/>
        </w:rPr>
        <w:t xml:space="preserve">Vai </w:t>
      </w:r>
      <w:proofErr w:type="spellStart"/>
      <w:r w:rsidR="0048618D">
        <w:rPr>
          <w:lang w:val="lv-LV"/>
        </w:rPr>
        <w:t>mērķarhitektūras</w:t>
      </w:r>
      <w:proofErr w:type="spellEnd"/>
      <w:r w:rsidR="0048618D">
        <w:rPr>
          <w:lang w:val="lv-LV"/>
        </w:rPr>
        <w:t xml:space="preserve"> ieviešanā</w:t>
      </w:r>
      <w:r w:rsidR="00942E14" w:rsidRPr="00BD502C">
        <w:rPr>
          <w:lang w:val="lv-LV"/>
        </w:rPr>
        <w:t xml:space="preserve"> paredzēts veidot</w:t>
      </w:r>
      <w:r w:rsidR="00942E14" w:rsidRPr="00BD502C">
        <w:rPr>
          <w:lang w:val="lv-LV"/>
        </w:rPr>
        <w:t xml:space="preserve"> tehnisk</w:t>
      </w:r>
      <w:r w:rsidR="00942E14" w:rsidRPr="00BD502C">
        <w:rPr>
          <w:lang w:val="lv-LV"/>
        </w:rPr>
        <w:t>os</w:t>
      </w:r>
      <w:r w:rsidR="00942E14" w:rsidRPr="00BD502C">
        <w:rPr>
          <w:lang w:val="lv-LV"/>
        </w:rPr>
        <w:t xml:space="preserve"> un organizatorisk</w:t>
      </w:r>
      <w:r w:rsidR="00942E14" w:rsidRPr="00BD502C">
        <w:rPr>
          <w:lang w:val="lv-LV"/>
        </w:rPr>
        <w:t>os</w:t>
      </w:r>
      <w:r w:rsidR="00942E14" w:rsidRPr="00BD502C">
        <w:rPr>
          <w:lang w:val="lv-LV"/>
        </w:rPr>
        <w:t xml:space="preserve"> mehānism</w:t>
      </w:r>
      <w:r w:rsidR="00942E14" w:rsidRPr="00BD502C">
        <w:rPr>
          <w:lang w:val="lv-LV"/>
        </w:rPr>
        <w:t>us</w:t>
      </w:r>
      <w:r w:rsidR="00942E14" w:rsidRPr="00BD502C">
        <w:rPr>
          <w:lang w:val="lv-LV"/>
        </w:rPr>
        <w:t>, lai nodrošinātu datu pārnesamību bez nepamatotiem ierobežojumiem vai piegādātāja piesaistes?</w:t>
      </w:r>
    </w:p>
    <w:p w14:paraId="58822D3D" w14:textId="77777777" w:rsidR="00992610" w:rsidRDefault="00992610" w:rsidP="00992610">
      <w:pPr>
        <w:rPr>
          <w:lang w:val="lv-LV"/>
        </w:rPr>
      </w:pPr>
    </w:p>
    <w:p w14:paraId="2C4331BE" w14:textId="2ADE0051" w:rsidR="00992610" w:rsidRDefault="00992610" w:rsidP="00372307">
      <w:pPr>
        <w:pStyle w:val="Heading2"/>
        <w:rPr>
          <w:lang w:val="lv-LV"/>
        </w:rPr>
      </w:pPr>
      <w:r>
        <w:rPr>
          <w:lang w:val="lv-LV"/>
        </w:rPr>
        <w:lastRenderedPageBreak/>
        <w:t>TP</w:t>
      </w:r>
      <w:r w:rsidR="00840FB1">
        <w:rPr>
          <w:lang w:val="lv-LV"/>
        </w:rPr>
        <w:t>2</w:t>
      </w:r>
      <w:r>
        <w:rPr>
          <w:lang w:val="lv-LV"/>
        </w:rPr>
        <w:t xml:space="preserve">. </w:t>
      </w:r>
      <w:r w:rsidRPr="00E2406D">
        <w:rPr>
          <w:noProof/>
          <w:lang w:val="lv-LV"/>
        </w:rPr>
        <mc:AlternateContent>
          <mc:Choice Requires="wps">
            <w:drawing>
              <wp:anchor distT="0" distB="0" distL="114300" distR="114300" simplePos="0" relativeHeight="251658270" behindDoc="0" locked="0" layoutInCell="1" allowOverlap="1" wp14:anchorId="097EF2A9" wp14:editId="6630034D">
                <wp:simplePos x="0" y="0"/>
                <wp:positionH relativeFrom="column">
                  <wp:posOffset>0</wp:posOffset>
                </wp:positionH>
                <wp:positionV relativeFrom="paragraph">
                  <wp:posOffset>316865</wp:posOffset>
                </wp:positionV>
                <wp:extent cx="1828800" cy="1828800"/>
                <wp:effectExtent l="0" t="0" r="8890" b="10795"/>
                <wp:wrapTopAndBottom/>
                <wp:docPr id="1577897582"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4F073CA" w14:textId="7599169A" w:rsidR="00252A2F" w:rsidRDefault="00252A2F" w:rsidP="00992610">
                            <w:pPr>
                              <w:ind w:left="851"/>
                              <w:jc w:val="both"/>
                              <w:rPr>
                                <w:lang w:val="lv-LV" w:bidi="lv-LV"/>
                              </w:rPr>
                            </w:pPr>
                            <w:r w:rsidRPr="00252A2F">
                              <w:rPr>
                                <w:lang w:val="lv-LV" w:bidi="lv-LV"/>
                              </w:rPr>
                              <w:t xml:space="preserve">Izīrējiet, pirms pērciet, </w:t>
                            </w:r>
                            <w:r>
                              <w:rPr>
                                <w:lang w:val="lv-LV" w:bidi="lv-LV"/>
                              </w:rPr>
                              <w:t xml:space="preserve">pērciet, </w:t>
                            </w:r>
                            <w:r w:rsidRPr="00252A2F">
                              <w:rPr>
                                <w:lang w:val="lv-LV" w:bidi="lv-LV"/>
                              </w:rPr>
                              <w:t>pirms būvējiet</w:t>
                            </w:r>
                            <w:r>
                              <w:rPr>
                                <w:lang w:val="lv-LV" w:bidi="lv-LV"/>
                              </w:rPr>
                              <w:t xml:space="preserve"> </w:t>
                            </w:r>
                            <w:r w:rsidRPr="00252A2F">
                              <w:rPr>
                                <w:i/>
                                <w:iCs/>
                                <w:lang w:val="lv-LV" w:bidi="lv-LV"/>
                              </w:rPr>
                              <w:t xml:space="preserve">(no angļu val. - </w:t>
                            </w:r>
                            <w:proofErr w:type="spellStart"/>
                            <w:r w:rsidRPr="00252A2F">
                              <w:rPr>
                                <w:i/>
                                <w:iCs/>
                                <w:lang w:val="lv-LV" w:bidi="lv-LV"/>
                              </w:rPr>
                              <w:t>Rent</w:t>
                            </w:r>
                            <w:proofErr w:type="spellEnd"/>
                            <w:r w:rsidRPr="00252A2F">
                              <w:rPr>
                                <w:i/>
                                <w:iCs/>
                                <w:lang w:val="lv-LV" w:bidi="lv-LV"/>
                              </w:rPr>
                              <w:t xml:space="preserve">, </w:t>
                            </w:r>
                            <w:proofErr w:type="spellStart"/>
                            <w:r w:rsidRPr="00252A2F">
                              <w:rPr>
                                <w:i/>
                                <w:iCs/>
                                <w:lang w:val="lv-LV" w:bidi="lv-LV"/>
                              </w:rPr>
                              <w:t>before</w:t>
                            </w:r>
                            <w:proofErr w:type="spellEnd"/>
                            <w:r w:rsidRPr="00252A2F">
                              <w:rPr>
                                <w:i/>
                                <w:iCs/>
                                <w:lang w:val="lv-LV" w:bidi="lv-LV"/>
                              </w:rPr>
                              <w:t xml:space="preserve"> </w:t>
                            </w:r>
                            <w:proofErr w:type="spellStart"/>
                            <w:r w:rsidRPr="00252A2F">
                              <w:rPr>
                                <w:i/>
                                <w:iCs/>
                                <w:lang w:val="lv-LV" w:bidi="lv-LV"/>
                              </w:rPr>
                              <w:t>buy</w:t>
                            </w:r>
                            <w:proofErr w:type="spellEnd"/>
                            <w:r w:rsidRPr="00252A2F">
                              <w:rPr>
                                <w:i/>
                                <w:iCs/>
                                <w:lang w:val="lv-LV" w:bidi="lv-LV"/>
                              </w:rPr>
                              <w:t xml:space="preserve">, </w:t>
                            </w:r>
                            <w:proofErr w:type="spellStart"/>
                            <w:r w:rsidRPr="00252A2F">
                              <w:rPr>
                                <w:i/>
                                <w:iCs/>
                                <w:lang w:val="lv-LV" w:bidi="lv-LV"/>
                              </w:rPr>
                              <w:t>before</w:t>
                            </w:r>
                            <w:proofErr w:type="spellEnd"/>
                            <w:r w:rsidRPr="00252A2F">
                              <w:rPr>
                                <w:i/>
                                <w:iCs/>
                                <w:lang w:val="lv-LV" w:bidi="lv-LV"/>
                              </w:rPr>
                              <w:t xml:space="preserve"> </w:t>
                            </w:r>
                            <w:proofErr w:type="spellStart"/>
                            <w:r w:rsidRPr="00252A2F">
                              <w:rPr>
                                <w:i/>
                                <w:iCs/>
                                <w:lang w:val="lv-LV" w:bidi="lv-LV"/>
                              </w:rPr>
                              <w:t>build</w:t>
                            </w:r>
                            <w:proofErr w:type="spellEnd"/>
                            <w:r w:rsidRPr="00252A2F">
                              <w:rPr>
                                <w:i/>
                                <w:iCs/>
                                <w:lang w:val="lv-LV" w:bidi="lv-LV"/>
                              </w:rPr>
                              <w:t>).</w:t>
                            </w:r>
                            <w:r w:rsidRPr="00252A2F">
                              <w:rPr>
                                <w:lang w:val="lv-LV" w:bidi="lv-LV"/>
                              </w:rPr>
                              <w:t xml:space="preserve"> Nebūvējiet to, ko var viegli iegādāties </w:t>
                            </w:r>
                            <w:r>
                              <w:rPr>
                                <w:lang w:val="lv-LV" w:bidi="lv-LV"/>
                              </w:rPr>
                              <w:t>gatavu un standartizētu</w:t>
                            </w:r>
                            <w:r w:rsidRPr="00252A2F">
                              <w:rPr>
                                <w:lang w:val="lv-LV" w:bidi="lv-LV"/>
                              </w:rPr>
                              <w:t xml:space="preserve">. </w:t>
                            </w:r>
                          </w:p>
                          <w:p w14:paraId="16AB3E9C" w14:textId="2767673E" w:rsidR="00992610" w:rsidRDefault="00BF3545" w:rsidP="00992610">
                            <w:pPr>
                              <w:ind w:left="851"/>
                              <w:jc w:val="both"/>
                              <w:rPr>
                                <w:lang w:val="lv-LV" w:bidi="lv-LV"/>
                              </w:rPr>
                            </w:pPr>
                            <w:r w:rsidRPr="00BF3545">
                              <w:rPr>
                                <w:lang w:val="lv-LV" w:bidi="lv-LV"/>
                              </w:rPr>
                              <w:t xml:space="preserve">Jebkurai jaunai vai atjaunotai IT sistēmai vispirms jāizvērtē un jāizmanto </w:t>
                            </w:r>
                            <w:proofErr w:type="spellStart"/>
                            <w:r w:rsidRPr="00BF3545">
                              <w:rPr>
                                <w:lang w:val="lv-LV" w:bidi="lv-LV"/>
                              </w:rPr>
                              <w:t>mākoņtehnoloģijas</w:t>
                            </w:r>
                            <w:proofErr w:type="spellEnd"/>
                            <w:r w:rsidRPr="00BF3545">
                              <w:rPr>
                                <w:lang w:val="lv-LV" w:bidi="lv-LV"/>
                              </w:rPr>
                              <w:t xml:space="preserve"> risinājumi, ja tas ir tehniski, ekonomiski un drošības ziņā pamatoti. Šī pieeja ļauj modernizēt IT infrastruktūru, palielināt elastību un uzlabot pakalpojumu pieejamību iedzīvotājiem.</w:t>
                            </w:r>
                          </w:p>
                          <w:p w14:paraId="59250E11" w14:textId="5E117481" w:rsidR="00BF3545" w:rsidRPr="00BF3545" w:rsidRDefault="00BF3545" w:rsidP="00992610">
                            <w:pPr>
                              <w:ind w:left="851"/>
                              <w:jc w:val="both"/>
                              <w:rPr>
                                <w:lang w:val="lv-LV" w:bidi="lv-LV"/>
                              </w:rPr>
                            </w:pPr>
                            <w:r>
                              <w:rPr>
                                <w:lang w:val="lv-LV" w:bidi="lv-LV"/>
                              </w:rPr>
                              <w:t xml:space="preserve">Rekomendēts izvērtēt augstākas pievienotās vērtības </w:t>
                            </w:r>
                            <w:proofErr w:type="spellStart"/>
                            <w:r>
                              <w:rPr>
                                <w:lang w:val="lv-LV" w:bidi="lv-LV"/>
                              </w:rPr>
                              <w:t>mākoņdatošanas</w:t>
                            </w:r>
                            <w:proofErr w:type="spellEnd"/>
                            <w:r>
                              <w:rPr>
                                <w:lang w:val="lv-LV" w:bidi="lv-LV"/>
                              </w:rPr>
                              <w:t xml:space="preserve"> pakalpojumu izmantošanu (piemēram, Lietojumprogrammas kā pakalpojums (</w:t>
                            </w:r>
                            <w:proofErr w:type="spellStart"/>
                            <w:r>
                              <w:rPr>
                                <w:lang w:val="lv-LV" w:bidi="lv-LV"/>
                              </w:rPr>
                              <w:t>SaaS</w:t>
                            </w:r>
                            <w:proofErr w:type="spellEnd"/>
                            <w:r>
                              <w:rPr>
                                <w:lang w:val="lv-LV" w:bidi="lv-LV"/>
                              </w:rPr>
                              <w:t>), Infrastruktūra kā pakalpojums (</w:t>
                            </w:r>
                            <w:proofErr w:type="spellStart"/>
                            <w:r>
                              <w:rPr>
                                <w:lang w:val="lv-LV" w:bidi="lv-LV"/>
                              </w:rPr>
                              <w:t>IaaS</w:t>
                            </w:r>
                            <w:proofErr w:type="spellEnd"/>
                            <w:r>
                              <w:rPr>
                                <w:lang w:val="lv-LV" w:bidi="lv-LV"/>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EF2A9" id="_x0000_s1042" type="#_x0000_t202" style="position:absolute;margin-left:0;margin-top:24.95pt;width:2in;height:2in;z-index:25165827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fls4JFwCAAANBQAADgAAAAAAAAAAAAAAAAAuAgAAZHJzL2Uyb0RvYy54bWxQ&#10;SwECLQAUAAYACAAAACEA7u+WodsAAAAHAQAADwAAAAAAAAAAAAAAAAC2BAAAZHJzL2Rvd25yZXYu&#10;eG1sUEsFBgAAAAAEAAQA8wAAAL4FAAAAAA==&#10;" fillcolor="white [3201]" strokecolor="#196b24 [3206]" strokeweight="1pt">
                <v:textbox style="mso-fit-shape-to-text:t">
                  <w:txbxContent>
                    <w:p w14:paraId="44F073CA" w14:textId="7599169A" w:rsidR="00252A2F" w:rsidRDefault="00252A2F" w:rsidP="00992610">
                      <w:pPr>
                        <w:ind w:left="851"/>
                        <w:jc w:val="both"/>
                        <w:rPr>
                          <w:lang w:val="lv-LV" w:bidi="lv-LV"/>
                        </w:rPr>
                      </w:pPr>
                      <w:r w:rsidRPr="00252A2F">
                        <w:rPr>
                          <w:lang w:val="lv-LV" w:bidi="lv-LV"/>
                        </w:rPr>
                        <w:t xml:space="preserve">Izīrējiet, pirms pērciet, </w:t>
                      </w:r>
                      <w:r>
                        <w:rPr>
                          <w:lang w:val="lv-LV" w:bidi="lv-LV"/>
                        </w:rPr>
                        <w:t xml:space="preserve">pērciet, </w:t>
                      </w:r>
                      <w:r w:rsidRPr="00252A2F">
                        <w:rPr>
                          <w:lang w:val="lv-LV" w:bidi="lv-LV"/>
                        </w:rPr>
                        <w:t>pirms būvējiet</w:t>
                      </w:r>
                      <w:r>
                        <w:rPr>
                          <w:lang w:val="lv-LV" w:bidi="lv-LV"/>
                        </w:rPr>
                        <w:t xml:space="preserve"> </w:t>
                      </w:r>
                      <w:r w:rsidRPr="00252A2F">
                        <w:rPr>
                          <w:i/>
                          <w:iCs/>
                          <w:lang w:val="lv-LV" w:bidi="lv-LV"/>
                        </w:rPr>
                        <w:t xml:space="preserve">(no angļu val. - </w:t>
                      </w:r>
                      <w:proofErr w:type="spellStart"/>
                      <w:r w:rsidRPr="00252A2F">
                        <w:rPr>
                          <w:i/>
                          <w:iCs/>
                          <w:lang w:val="lv-LV" w:bidi="lv-LV"/>
                        </w:rPr>
                        <w:t>Rent</w:t>
                      </w:r>
                      <w:proofErr w:type="spellEnd"/>
                      <w:r w:rsidRPr="00252A2F">
                        <w:rPr>
                          <w:i/>
                          <w:iCs/>
                          <w:lang w:val="lv-LV" w:bidi="lv-LV"/>
                        </w:rPr>
                        <w:t xml:space="preserve">, </w:t>
                      </w:r>
                      <w:proofErr w:type="spellStart"/>
                      <w:r w:rsidRPr="00252A2F">
                        <w:rPr>
                          <w:i/>
                          <w:iCs/>
                          <w:lang w:val="lv-LV" w:bidi="lv-LV"/>
                        </w:rPr>
                        <w:t>before</w:t>
                      </w:r>
                      <w:proofErr w:type="spellEnd"/>
                      <w:r w:rsidRPr="00252A2F">
                        <w:rPr>
                          <w:i/>
                          <w:iCs/>
                          <w:lang w:val="lv-LV" w:bidi="lv-LV"/>
                        </w:rPr>
                        <w:t xml:space="preserve"> </w:t>
                      </w:r>
                      <w:proofErr w:type="spellStart"/>
                      <w:r w:rsidRPr="00252A2F">
                        <w:rPr>
                          <w:i/>
                          <w:iCs/>
                          <w:lang w:val="lv-LV" w:bidi="lv-LV"/>
                        </w:rPr>
                        <w:t>buy</w:t>
                      </w:r>
                      <w:proofErr w:type="spellEnd"/>
                      <w:r w:rsidRPr="00252A2F">
                        <w:rPr>
                          <w:i/>
                          <w:iCs/>
                          <w:lang w:val="lv-LV" w:bidi="lv-LV"/>
                        </w:rPr>
                        <w:t xml:space="preserve">, </w:t>
                      </w:r>
                      <w:proofErr w:type="spellStart"/>
                      <w:r w:rsidRPr="00252A2F">
                        <w:rPr>
                          <w:i/>
                          <w:iCs/>
                          <w:lang w:val="lv-LV" w:bidi="lv-LV"/>
                        </w:rPr>
                        <w:t>before</w:t>
                      </w:r>
                      <w:proofErr w:type="spellEnd"/>
                      <w:r w:rsidRPr="00252A2F">
                        <w:rPr>
                          <w:i/>
                          <w:iCs/>
                          <w:lang w:val="lv-LV" w:bidi="lv-LV"/>
                        </w:rPr>
                        <w:t xml:space="preserve"> </w:t>
                      </w:r>
                      <w:proofErr w:type="spellStart"/>
                      <w:r w:rsidRPr="00252A2F">
                        <w:rPr>
                          <w:i/>
                          <w:iCs/>
                          <w:lang w:val="lv-LV" w:bidi="lv-LV"/>
                        </w:rPr>
                        <w:t>build</w:t>
                      </w:r>
                      <w:proofErr w:type="spellEnd"/>
                      <w:r w:rsidRPr="00252A2F">
                        <w:rPr>
                          <w:i/>
                          <w:iCs/>
                          <w:lang w:val="lv-LV" w:bidi="lv-LV"/>
                        </w:rPr>
                        <w:t>).</w:t>
                      </w:r>
                      <w:r w:rsidRPr="00252A2F">
                        <w:rPr>
                          <w:lang w:val="lv-LV" w:bidi="lv-LV"/>
                        </w:rPr>
                        <w:t xml:space="preserve"> Nebūvējiet to, ko var viegli iegādāties </w:t>
                      </w:r>
                      <w:r>
                        <w:rPr>
                          <w:lang w:val="lv-LV" w:bidi="lv-LV"/>
                        </w:rPr>
                        <w:t>gatavu un standartizētu</w:t>
                      </w:r>
                      <w:r w:rsidRPr="00252A2F">
                        <w:rPr>
                          <w:lang w:val="lv-LV" w:bidi="lv-LV"/>
                        </w:rPr>
                        <w:t xml:space="preserve">. </w:t>
                      </w:r>
                    </w:p>
                    <w:p w14:paraId="16AB3E9C" w14:textId="2767673E" w:rsidR="00992610" w:rsidRDefault="00BF3545" w:rsidP="00992610">
                      <w:pPr>
                        <w:ind w:left="851"/>
                        <w:jc w:val="both"/>
                        <w:rPr>
                          <w:lang w:val="lv-LV" w:bidi="lv-LV"/>
                        </w:rPr>
                      </w:pPr>
                      <w:r w:rsidRPr="00BF3545">
                        <w:rPr>
                          <w:lang w:val="lv-LV" w:bidi="lv-LV"/>
                        </w:rPr>
                        <w:t xml:space="preserve">Jebkurai jaunai vai atjaunotai IT sistēmai vispirms jāizvērtē un jāizmanto </w:t>
                      </w:r>
                      <w:proofErr w:type="spellStart"/>
                      <w:r w:rsidRPr="00BF3545">
                        <w:rPr>
                          <w:lang w:val="lv-LV" w:bidi="lv-LV"/>
                        </w:rPr>
                        <w:t>mākoņtehnoloģijas</w:t>
                      </w:r>
                      <w:proofErr w:type="spellEnd"/>
                      <w:r w:rsidRPr="00BF3545">
                        <w:rPr>
                          <w:lang w:val="lv-LV" w:bidi="lv-LV"/>
                        </w:rPr>
                        <w:t xml:space="preserve"> risinājumi, ja tas ir tehniski, ekonomiski un drošības ziņā pamatoti. Šī pieeja ļauj modernizēt IT infrastruktūru, palielināt elastību un uzlabot pakalpojumu pieejamību iedzīvotājiem.</w:t>
                      </w:r>
                    </w:p>
                    <w:p w14:paraId="59250E11" w14:textId="5E117481" w:rsidR="00BF3545" w:rsidRPr="00BF3545" w:rsidRDefault="00BF3545" w:rsidP="00992610">
                      <w:pPr>
                        <w:ind w:left="851"/>
                        <w:jc w:val="both"/>
                        <w:rPr>
                          <w:lang w:val="lv-LV" w:bidi="lv-LV"/>
                        </w:rPr>
                      </w:pPr>
                      <w:r>
                        <w:rPr>
                          <w:lang w:val="lv-LV" w:bidi="lv-LV"/>
                        </w:rPr>
                        <w:t xml:space="preserve">Rekomendēts izvērtēt augstākas pievienotās vērtības </w:t>
                      </w:r>
                      <w:proofErr w:type="spellStart"/>
                      <w:r>
                        <w:rPr>
                          <w:lang w:val="lv-LV" w:bidi="lv-LV"/>
                        </w:rPr>
                        <w:t>mākoņdatošanas</w:t>
                      </w:r>
                      <w:proofErr w:type="spellEnd"/>
                      <w:r>
                        <w:rPr>
                          <w:lang w:val="lv-LV" w:bidi="lv-LV"/>
                        </w:rPr>
                        <w:t xml:space="preserve"> pakalpojumu izmantošanu (piemēram, Lietojumprogrammas kā pakalpojums (</w:t>
                      </w:r>
                      <w:proofErr w:type="spellStart"/>
                      <w:r>
                        <w:rPr>
                          <w:lang w:val="lv-LV" w:bidi="lv-LV"/>
                        </w:rPr>
                        <w:t>SaaS</w:t>
                      </w:r>
                      <w:proofErr w:type="spellEnd"/>
                      <w:r>
                        <w:rPr>
                          <w:lang w:val="lv-LV" w:bidi="lv-LV"/>
                        </w:rPr>
                        <w:t>), Infrastruktūra kā pakalpojums (</w:t>
                      </w:r>
                      <w:proofErr w:type="spellStart"/>
                      <w:r>
                        <w:rPr>
                          <w:lang w:val="lv-LV" w:bidi="lv-LV"/>
                        </w:rPr>
                        <w:t>IaaS</w:t>
                      </w:r>
                      <w:proofErr w:type="spellEnd"/>
                      <w:r>
                        <w:rPr>
                          <w:lang w:val="lv-LV" w:bidi="lv-LV"/>
                        </w:rPr>
                        <w:t xml:space="preserve">)).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71" behindDoc="0" locked="0" layoutInCell="1" allowOverlap="1" wp14:anchorId="5AFB8CDE" wp14:editId="7F581010">
            <wp:simplePos x="0" y="0"/>
            <wp:positionH relativeFrom="margin">
              <wp:posOffset>88900</wp:posOffset>
            </wp:positionH>
            <wp:positionV relativeFrom="paragraph">
              <wp:posOffset>450850</wp:posOffset>
            </wp:positionV>
            <wp:extent cx="427990" cy="427990"/>
            <wp:effectExtent l="0" t="0" r="0" b="0"/>
            <wp:wrapSquare wrapText="bothSides"/>
            <wp:docPr id="958387323"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Pr="00992610">
        <w:rPr>
          <w:lang w:val="lv-LV"/>
        </w:rPr>
        <w:t xml:space="preserve"> </w:t>
      </w:r>
      <w:proofErr w:type="spellStart"/>
      <w:r w:rsidRPr="008E3698">
        <w:rPr>
          <w:lang w:val="lv-LV"/>
        </w:rPr>
        <w:t>Mākoņdatošanas</w:t>
      </w:r>
      <w:proofErr w:type="spellEnd"/>
      <w:r w:rsidRPr="008E3698">
        <w:rPr>
          <w:lang w:val="lv-LV"/>
        </w:rPr>
        <w:t xml:space="preserve"> izmantošana </w:t>
      </w:r>
      <w:r w:rsidRPr="009A780A">
        <w:rPr>
          <w:i/>
          <w:iCs/>
          <w:lang w:val="lv-LV"/>
        </w:rPr>
        <w:t>(</w:t>
      </w:r>
      <w:proofErr w:type="spellStart"/>
      <w:r w:rsidRPr="009A780A">
        <w:rPr>
          <w:i/>
          <w:iCs/>
          <w:lang w:val="lv-LV"/>
        </w:rPr>
        <w:t>Cloud</w:t>
      </w:r>
      <w:proofErr w:type="spellEnd"/>
      <w:r w:rsidRPr="009A780A">
        <w:rPr>
          <w:i/>
          <w:iCs/>
          <w:lang w:val="lv-LV"/>
        </w:rPr>
        <w:t xml:space="preserve"> First)</w:t>
      </w:r>
    </w:p>
    <w:p w14:paraId="0B124661" w14:textId="77777777" w:rsidR="00BF3545" w:rsidRDefault="00BF3545" w:rsidP="00252A2F">
      <w:pPr>
        <w:rPr>
          <w:lang w:val="lv-LV"/>
        </w:rPr>
      </w:pPr>
    </w:p>
    <w:p w14:paraId="41226AC6" w14:textId="77777777" w:rsidR="00502D87" w:rsidRPr="00AE17B5" w:rsidRDefault="00502D87" w:rsidP="00502D87">
      <w:pPr>
        <w:rPr>
          <w:lang w:val="lv-LV"/>
        </w:rPr>
      </w:pPr>
      <w:r w:rsidRPr="00AE17B5">
        <w:rPr>
          <w:lang w:val="lv-LV"/>
        </w:rPr>
        <w:t>Piemērošanas vadlīnijas:</w:t>
      </w:r>
    </w:p>
    <w:p w14:paraId="49301C51" w14:textId="60C09D36" w:rsidR="001D4569" w:rsidRPr="001D4569" w:rsidRDefault="001D4569" w:rsidP="001D4569">
      <w:pPr>
        <w:pStyle w:val="ListParagraph"/>
        <w:numPr>
          <w:ilvl w:val="0"/>
          <w:numId w:val="11"/>
        </w:numPr>
        <w:jc w:val="both"/>
        <w:rPr>
          <w:lang w:val="lv-LV"/>
        </w:rPr>
      </w:pPr>
      <w:r w:rsidRPr="001D4569">
        <w:rPr>
          <w:lang w:val="lv-LV"/>
        </w:rPr>
        <w:t>Pirms piegādes pieejas izvēles veiciet iespēju novērtējumu</w:t>
      </w:r>
      <w:r w:rsidR="004E0D2B">
        <w:rPr>
          <w:lang w:val="lv-LV"/>
        </w:rPr>
        <w:t>, izvērtējot dažādus programmatūras iegādes veidus (</w:t>
      </w:r>
      <w:r w:rsidR="00682571">
        <w:rPr>
          <w:lang w:val="lv-LV"/>
        </w:rPr>
        <w:t xml:space="preserve">programmatūra kā pakalpojums, </w:t>
      </w:r>
      <w:proofErr w:type="spellStart"/>
      <w:r w:rsidR="00682571">
        <w:rPr>
          <w:lang w:val="lv-LV"/>
        </w:rPr>
        <w:t>standartrisinājumu</w:t>
      </w:r>
      <w:proofErr w:type="spellEnd"/>
      <w:r w:rsidR="00682571">
        <w:rPr>
          <w:lang w:val="lv-LV"/>
        </w:rPr>
        <w:t xml:space="preserve"> iegāde, pielāgotā izstrāde u.c.). </w:t>
      </w:r>
    </w:p>
    <w:p w14:paraId="55BB24F5" w14:textId="0E96C056" w:rsidR="001D4569" w:rsidRPr="001D4569" w:rsidRDefault="001D4569" w:rsidP="001D4569">
      <w:pPr>
        <w:pStyle w:val="ListParagraph"/>
        <w:numPr>
          <w:ilvl w:val="0"/>
          <w:numId w:val="11"/>
        </w:numPr>
        <w:jc w:val="both"/>
        <w:rPr>
          <w:lang w:val="lv-LV"/>
        </w:rPr>
      </w:pPr>
      <w:r w:rsidRPr="001D4569">
        <w:rPr>
          <w:lang w:val="lv-LV"/>
        </w:rPr>
        <w:t xml:space="preserve">Izvērtējiet </w:t>
      </w:r>
      <w:proofErr w:type="spellStart"/>
      <w:r w:rsidR="00682571">
        <w:rPr>
          <w:lang w:val="lv-LV"/>
        </w:rPr>
        <w:t>standartrisinājumus</w:t>
      </w:r>
      <w:proofErr w:type="spellEnd"/>
      <w:r w:rsidR="00682571">
        <w:rPr>
          <w:lang w:val="lv-LV"/>
        </w:rPr>
        <w:t xml:space="preserve"> (</w:t>
      </w:r>
      <w:r w:rsidRPr="001D4569">
        <w:rPr>
          <w:lang w:val="lv-LV"/>
        </w:rPr>
        <w:t>COTS</w:t>
      </w:r>
      <w:r w:rsidR="005C57A9">
        <w:rPr>
          <w:lang w:val="lv-LV"/>
        </w:rPr>
        <w:t xml:space="preserve">, </w:t>
      </w:r>
      <w:proofErr w:type="spellStart"/>
      <w:r w:rsidR="005C57A9">
        <w:rPr>
          <w:lang w:val="lv-LV"/>
        </w:rPr>
        <w:t>SaaS</w:t>
      </w:r>
      <w:proofErr w:type="spellEnd"/>
      <w:r w:rsidR="005C57A9">
        <w:rPr>
          <w:lang w:val="lv-LV"/>
        </w:rPr>
        <w:t xml:space="preserve"> u.c.</w:t>
      </w:r>
      <w:r w:rsidR="00682571">
        <w:rPr>
          <w:lang w:val="lv-LV"/>
        </w:rPr>
        <w:t>)</w:t>
      </w:r>
      <w:r w:rsidRPr="001D4569">
        <w:rPr>
          <w:lang w:val="lv-LV"/>
        </w:rPr>
        <w:t xml:space="preserve">, ņemot vērā to, kas ir “pietiekami labs”, jo maz ticams, ka tie atbilst visām prasībām - lai apmierinātu lietotāju vajadzības, </w:t>
      </w:r>
      <w:r w:rsidR="00D3358F">
        <w:rPr>
          <w:lang w:val="lv-LV"/>
        </w:rPr>
        <w:t>var būt nepieciešama konfigurācija</w:t>
      </w:r>
      <w:r w:rsidRPr="001D4569">
        <w:rPr>
          <w:lang w:val="lv-LV"/>
        </w:rPr>
        <w:t xml:space="preserve">. Piemēram, ja </w:t>
      </w:r>
      <w:proofErr w:type="spellStart"/>
      <w:r w:rsidR="003C220E">
        <w:rPr>
          <w:lang w:val="lv-LV"/>
        </w:rPr>
        <w:t>standartrisinājums</w:t>
      </w:r>
      <w:proofErr w:type="spellEnd"/>
      <w:r w:rsidRPr="001D4569">
        <w:rPr>
          <w:lang w:val="lv-LV"/>
        </w:rPr>
        <w:t xml:space="preserve"> risinājums nodrošina 80 % lietotāju vajadzību, apsveriet </w:t>
      </w:r>
      <w:proofErr w:type="spellStart"/>
      <w:r w:rsidR="003C220E">
        <w:rPr>
          <w:lang w:val="lv-LV"/>
        </w:rPr>
        <w:t>standartrisinājuma</w:t>
      </w:r>
      <w:proofErr w:type="spellEnd"/>
      <w:r w:rsidRPr="001D4569">
        <w:rPr>
          <w:lang w:val="lv-LV"/>
        </w:rPr>
        <w:t xml:space="preserve"> papildināšanu vai paplašināšanu atlikušo 20 % vajadzībām, nevis 100% pielāgošanu pēc pasūtījuma.</w:t>
      </w:r>
    </w:p>
    <w:p w14:paraId="07859EC7" w14:textId="5511C163" w:rsidR="001D4569" w:rsidRPr="001D4569" w:rsidRDefault="001D4569" w:rsidP="001D4569">
      <w:pPr>
        <w:pStyle w:val="ListParagraph"/>
        <w:numPr>
          <w:ilvl w:val="0"/>
          <w:numId w:val="11"/>
        </w:numPr>
        <w:jc w:val="both"/>
        <w:rPr>
          <w:lang w:val="lv-LV"/>
        </w:rPr>
      </w:pPr>
      <w:r w:rsidRPr="001D4569">
        <w:rPr>
          <w:lang w:val="lv-LV"/>
        </w:rPr>
        <w:t xml:space="preserve">Izvairieties no </w:t>
      </w:r>
      <w:proofErr w:type="spellStart"/>
      <w:r w:rsidR="003C220E">
        <w:rPr>
          <w:lang w:val="lv-LV"/>
        </w:rPr>
        <w:t>standartrisinājumu</w:t>
      </w:r>
      <w:proofErr w:type="spellEnd"/>
      <w:r w:rsidRPr="001D4569">
        <w:rPr>
          <w:lang w:val="lv-LV"/>
        </w:rPr>
        <w:t xml:space="preserve"> risinājumu pielāgošanas, lai nodrošinātu pielāgotu funkcionalitāti. Ja nepieciešams, izmantojiet konfigurāciju un integrāciju, lai pielāgotu risinājumu lietotāja vajadzībām. Ja iespējams, pielāgojiet </w:t>
      </w:r>
      <w:r w:rsidR="00347428">
        <w:rPr>
          <w:lang w:val="lv-LV"/>
        </w:rPr>
        <w:t>biznesa</w:t>
      </w:r>
      <w:r w:rsidRPr="001D4569">
        <w:rPr>
          <w:lang w:val="lv-LV"/>
        </w:rPr>
        <w:t xml:space="preserve"> procesus, lai tos saskaņotu ar </w:t>
      </w:r>
      <w:proofErr w:type="spellStart"/>
      <w:r w:rsidR="003C220E">
        <w:rPr>
          <w:lang w:val="lv-LV"/>
        </w:rPr>
        <w:t>standartrisinājumiem</w:t>
      </w:r>
      <w:proofErr w:type="spellEnd"/>
      <w:r w:rsidRPr="001D4569">
        <w:rPr>
          <w:lang w:val="lv-LV"/>
        </w:rPr>
        <w:t>.</w:t>
      </w:r>
    </w:p>
    <w:p w14:paraId="2C28EE9E" w14:textId="72331839" w:rsidR="001D4569" w:rsidRPr="001D4569" w:rsidRDefault="001D4569" w:rsidP="001D4569">
      <w:pPr>
        <w:pStyle w:val="ListParagraph"/>
        <w:numPr>
          <w:ilvl w:val="0"/>
          <w:numId w:val="11"/>
        </w:numPr>
        <w:jc w:val="both"/>
        <w:rPr>
          <w:lang w:val="lv-LV"/>
        </w:rPr>
      </w:pPr>
      <w:r w:rsidRPr="001D4569">
        <w:rPr>
          <w:lang w:val="lv-LV"/>
        </w:rPr>
        <w:t>Izstrādājiet izejas stratēģiju</w:t>
      </w:r>
      <w:r w:rsidR="00347428">
        <w:rPr>
          <w:lang w:val="lv-LV"/>
        </w:rPr>
        <w:t xml:space="preserve"> </w:t>
      </w:r>
      <w:r w:rsidR="00347428" w:rsidRPr="003C220E">
        <w:rPr>
          <w:i/>
          <w:iCs/>
          <w:lang w:val="lv-LV"/>
        </w:rPr>
        <w:t>(no angļu val</w:t>
      </w:r>
      <w:r w:rsidR="0045692D" w:rsidRPr="003C220E">
        <w:rPr>
          <w:i/>
          <w:iCs/>
          <w:lang w:val="lv-LV"/>
        </w:rPr>
        <w:t xml:space="preserve">. – </w:t>
      </w:r>
      <w:proofErr w:type="spellStart"/>
      <w:r w:rsidR="0045692D" w:rsidRPr="003C220E">
        <w:rPr>
          <w:i/>
          <w:iCs/>
          <w:lang w:val="lv-LV"/>
        </w:rPr>
        <w:t>Exit</w:t>
      </w:r>
      <w:proofErr w:type="spellEnd"/>
      <w:r w:rsidR="0045692D" w:rsidRPr="003C220E">
        <w:rPr>
          <w:i/>
          <w:iCs/>
          <w:lang w:val="lv-LV"/>
        </w:rPr>
        <w:t xml:space="preserve"> </w:t>
      </w:r>
      <w:proofErr w:type="spellStart"/>
      <w:r w:rsidR="0045692D" w:rsidRPr="003C220E">
        <w:rPr>
          <w:i/>
          <w:iCs/>
          <w:lang w:val="lv-LV"/>
        </w:rPr>
        <w:t>strategy</w:t>
      </w:r>
      <w:proofErr w:type="spellEnd"/>
      <w:r w:rsidR="0045692D" w:rsidRPr="003C220E">
        <w:rPr>
          <w:i/>
          <w:iCs/>
          <w:lang w:val="lv-LV"/>
        </w:rPr>
        <w:t>)</w:t>
      </w:r>
      <w:r w:rsidR="0045692D">
        <w:rPr>
          <w:lang w:val="lv-LV"/>
        </w:rPr>
        <w:t xml:space="preserve"> </w:t>
      </w:r>
      <w:r w:rsidRPr="001D4569">
        <w:rPr>
          <w:lang w:val="lv-LV"/>
        </w:rPr>
        <w:t xml:space="preserve">pirms </w:t>
      </w:r>
      <w:proofErr w:type="spellStart"/>
      <w:r w:rsidR="003C220E">
        <w:rPr>
          <w:lang w:val="lv-LV"/>
        </w:rPr>
        <w:t>standartrisinājuma</w:t>
      </w:r>
      <w:proofErr w:type="spellEnd"/>
      <w:r w:rsidRPr="001D4569">
        <w:rPr>
          <w:lang w:val="lv-LV"/>
        </w:rPr>
        <w:t xml:space="preserve"> ieviešanas, lai novērstu piegādātāja ieslēgšanu.</w:t>
      </w:r>
    </w:p>
    <w:p w14:paraId="3956F153" w14:textId="63C0993D" w:rsidR="001D4569" w:rsidRPr="001D4569" w:rsidRDefault="00214767" w:rsidP="001D4569">
      <w:pPr>
        <w:pStyle w:val="ListParagraph"/>
        <w:numPr>
          <w:ilvl w:val="0"/>
          <w:numId w:val="11"/>
        </w:numPr>
        <w:jc w:val="both"/>
        <w:rPr>
          <w:lang w:val="lv-LV"/>
        </w:rPr>
      </w:pPr>
      <w:r>
        <w:rPr>
          <w:lang w:val="lv-LV"/>
        </w:rPr>
        <w:t>Risinājumu alternatīvu</w:t>
      </w:r>
      <w:r w:rsidR="001D4569" w:rsidRPr="001D4569">
        <w:rPr>
          <w:lang w:val="lv-LV"/>
        </w:rPr>
        <w:t xml:space="preserve"> izvērtēšanas laikā novērtējiet </w:t>
      </w:r>
      <w:r w:rsidR="00FF5899">
        <w:rPr>
          <w:lang w:val="lv-LV"/>
        </w:rPr>
        <w:t xml:space="preserve">kopējās īpašumtiesību izmaksas </w:t>
      </w:r>
      <w:r w:rsidR="00FF5899" w:rsidRPr="00214767">
        <w:rPr>
          <w:i/>
          <w:iCs/>
          <w:lang w:val="lv-LV"/>
        </w:rPr>
        <w:t>(</w:t>
      </w:r>
      <w:r w:rsidRPr="00214767">
        <w:rPr>
          <w:i/>
          <w:iCs/>
          <w:lang w:val="lv-LV"/>
        </w:rPr>
        <w:t xml:space="preserve">no angļu val. – </w:t>
      </w:r>
      <w:proofErr w:type="spellStart"/>
      <w:r w:rsidR="00FF5899" w:rsidRPr="00214767">
        <w:rPr>
          <w:i/>
          <w:iCs/>
          <w:lang w:val="lv-LV"/>
        </w:rPr>
        <w:t>T</w:t>
      </w:r>
      <w:r w:rsidRPr="00214767">
        <w:rPr>
          <w:i/>
          <w:iCs/>
          <w:lang w:val="lv-LV"/>
        </w:rPr>
        <w:t>otal</w:t>
      </w:r>
      <w:proofErr w:type="spellEnd"/>
      <w:r w:rsidRPr="00214767">
        <w:rPr>
          <w:i/>
          <w:iCs/>
          <w:lang w:val="lv-LV"/>
        </w:rPr>
        <w:t xml:space="preserve"> </w:t>
      </w:r>
      <w:proofErr w:type="spellStart"/>
      <w:r w:rsidRPr="00214767">
        <w:rPr>
          <w:i/>
          <w:iCs/>
          <w:lang w:val="lv-LV"/>
        </w:rPr>
        <w:t>cost</w:t>
      </w:r>
      <w:proofErr w:type="spellEnd"/>
      <w:r w:rsidRPr="00214767">
        <w:rPr>
          <w:i/>
          <w:iCs/>
          <w:lang w:val="lv-LV"/>
        </w:rPr>
        <w:t xml:space="preserve"> </w:t>
      </w:r>
      <w:proofErr w:type="spellStart"/>
      <w:r w:rsidRPr="00214767">
        <w:rPr>
          <w:i/>
          <w:iCs/>
          <w:lang w:val="lv-LV"/>
        </w:rPr>
        <w:t>of</w:t>
      </w:r>
      <w:proofErr w:type="spellEnd"/>
      <w:r w:rsidRPr="00214767">
        <w:rPr>
          <w:i/>
          <w:iCs/>
          <w:lang w:val="lv-LV"/>
        </w:rPr>
        <w:t xml:space="preserve"> </w:t>
      </w:r>
      <w:proofErr w:type="spellStart"/>
      <w:r w:rsidRPr="00214767">
        <w:rPr>
          <w:i/>
          <w:iCs/>
          <w:lang w:val="lv-LV"/>
        </w:rPr>
        <w:t>ownership</w:t>
      </w:r>
      <w:proofErr w:type="spellEnd"/>
      <w:r w:rsidR="00FF5899" w:rsidRPr="00214767">
        <w:rPr>
          <w:i/>
          <w:iCs/>
          <w:lang w:val="lv-LV"/>
        </w:rPr>
        <w:t>)</w:t>
      </w:r>
      <w:r w:rsidR="001D4569" w:rsidRPr="001D4569">
        <w:rPr>
          <w:lang w:val="lv-LV"/>
        </w:rPr>
        <w:t xml:space="preserve"> starp </w:t>
      </w:r>
      <w:proofErr w:type="spellStart"/>
      <w:r>
        <w:rPr>
          <w:lang w:val="lv-LV"/>
        </w:rPr>
        <w:t>standartrisinājumiem</w:t>
      </w:r>
      <w:proofErr w:type="spellEnd"/>
      <w:r w:rsidR="001D4569" w:rsidRPr="001D4569">
        <w:rPr>
          <w:lang w:val="lv-LV"/>
        </w:rPr>
        <w:t xml:space="preserve"> un pielāgotām iespējām. Tajā jāiekļauj mitināšanas, platformas, piegādes resursu un atbalsta izmaksas visā produkta darbības laikā.</w:t>
      </w:r>
    </w:p>
    <w:p w14:paraId="6066FDE0" w14:textId="5774D365" w:rsidR="00502D87" w:rsidRPr="008D19AA" w:rsidRDefault="001D4569" w:rsidP="001D4569">
      <w:pPr>
        <w:pStyle w:val="ListParagraph"/>
        <w:numPr>
          <w:ilvl w:val="0"/>
          <w:numId w:val="11"/>
        </w:numPr>
        <w:jc w:val="both"/>
        <w:rPr>
          <w:lang w:val="lv-LV"/>
        </w:rPr>
      </w:pPr>
      <w:r w:rsidRPr="001D4569">
        <w:rPr>
          <w:lang w:val="lv-LV"/>
        </w:rPr>
        <w:t>Novērtējot pakalpojumu mitināšanas iespējas, dodiet priekšroku programmatūras kā pakalpojuma (</w:t>
      </w:r>
      <w:proofErr w:type="spellStart"/>
      <w:r w:rsidRPr="001D4569">
        <w:rPr>
          <w:lang w:val="lv-LV"/>
        </w:rPr>
        <w:t>SaaS</w:t>
      </w:r>
      <w:proofErr w:type="spellEnd"/>
      <w:r w:rsidRPr="001D4569">
        <w:rPr>
          <w:lang w:val="lv-LV"/>
        </w:rPr>
        <w:t>) pakalpojumiem, nevis platformas kā pakalpojuma (</w:t>
      </w:r>
      <w:proofErr w:type="spellStart"/>
      <w:r w:rsidRPr="001D4569">
        <w:rPr>
          <w:lang w:val="lv-LV"/>
        </w:rPr>
        <w:t>PaaS</w:t>
      </w:r>
      <w:proofErr w:type="spellEnd"/>
      <w:r w:rsidRPr="001D4569">
        <w:rPr>
          <w:lang w:val="lv-LV"/>
        </w:rPr>
        <w:t xml:space="preserve">) </w:t>
      </w:r>
      <w:r w:rsidRPr="001D4569">
        <w:rPr>
          <w:lang w:val="lv-LV"/>
        </w:rPr>
        <w:lastRenderedPageBreak/>
        <w:t>pakalpojumiem, nevis infrastruktūrai kā pakalpojumam (</w:t>
      </w:r>
      <w:proofErr w:type="spellStart"/>
      <w:r w:rsidRPr="001D4569">
        <w:rPr>
          <w:lang w:val="lv-LV"/>
        </w:rPr>
        <w:t>IaaS</w:t>
      </w:r>
      <w:proofErr w:type="spellEnd"/>
      <w:r w:rsidRPr="001D4569">
        <w:rPr>
          <w:lang w:val="lv-LV"/>
        </w:rPr>
        <w:t>), nevis vietējām iespējām.</w:t>
      </w:r>
    </w:p>
    <w:p w14:paraId="6A26734F" w14:textId="77777777" w:rsidR="00502D87" w:rsidRDefault="00502D87" w:rsidP="00502D87">
      <w:pPr>
        <w:rPr>
          <w:lang w:val="lv-LV"/>
        </w:rPr>
      </w:pPr>
      <w:r w:rsidRPr="00C20AD0">
        <w:rPr>
          <w:lang w:val="lv-LV"/>
        </w:rPr>
        <w:t>Novērtēšanas vadlīnijas:</w:t>
      </w:r>
    </w:p>
    <w:p w14:paraId="1784ADB7" w14:textId="435E27C9" w:rsidR="00126ED8" w:rsidRPr="00CE200C" w:rsidRDefault="002A2BE0" w:rsidP="00126ED8">
      <w:pPr>
        <w:pStyle w:val="ListParagraph"/>
        <w:numPr>
          <w:ilvl w:val="0"/>
          <w:numId w:val="31"/>
        </w:numPr>
        <w:rPr>
          <w:lang w:val="lv-LV"/>
        </w:rPr>
      </w:pPr>
      <w:r>
        <w:rPr>
          <w:lang w:val="lv-LV"/>
        </w:rPr>
        <w:t>TPK</w:t>
      </w:r>
      <w:r>
        <w:rPr>
          <w:lang w:val="lv-LV"/>
        </w:rPr>
        <w:t xml:space="preserve">3. </w:t>
      </w:r>
      <w:r w:rsidR="00126ED8" w:rsidRPr="00CE200C">
        <w:rPr>
          <w:lang w:val="lv-LV"/>
        </w:rPr>
        <w:t xml:space="preserve">Vai </w:t>
      </w:r>
      <w:proofErr w:type="spellStart"/>
      <w:r w:rsidR="00126ED8" w:rsidRPr="00CE200C">
        <w:rPr>
          <w:lang w:val="lv-LV"/>
        </w:rPr>
        <w:t>mērķarhitektūras</w:t>
      </w:r>
      <w:proofErr w:type="spellEnd"/>
      <w:r w:rsidR="00126ED8" w:rsidRPr="00CE200C">
        <w:rPr>
          <w:lang w:val="lv-LV"/>
        </w:rPr>
        <w:t xml:space="preserve"> ieviešanas laikā paredzēts </w:t>
      </w:r>
      <w:r w:rsidR="00126ED8" w:rsidRPr="00CE200C">
        <w:rPr>
          <w:lang w:val="lv-LV"/>
        </w:rPr>
        <w:t>veikt detalizēt</w:t>
      </w:r>
      <w:r w:rsidR="00126ED8" w:rsidRPr="00CE200C">
        <w:rPr>
          <w:lang w:val="lv-LV"/>
        </w:rPr>
        <w:t>u</w:t>
      </w:r>
      <w:r w:rsidR="00126ED8" w:rsidRPr="00CE200C">
        <w:rPr>
          <w:lang w:val="lv-LV"/>
        </w:rPr>
        <w:t xml:space="preserve"> </w:t>
      </w:r>
      <w:r w:rsidR="00A17874">
        <w:rPr>
          <w:lang w:val="lv-LV"/>
        </w:rPr>
        <w:t>IKT risinājumu alternatīvu</w:t>
      </w:r>
      <w:r w:rsidR="00126ED8" w:rsidRPr="00CE200C">
        <w:rPr>
          <w:lang w:val="lv-LV"/>
        </w:rPr>
        <w:t xml:space="preserve"> novērtējum</w:t>
      </w:r>
      <w:r w:rsidR="00A17874">
        <w:rPr>
          <w:lang w:val="lv-LV"/>
        </w:rPr>
        <w:t>u</w:t>
      </w:r>
      <w:r w:rsidR="00126ED8" w:rsidRPr="00CE200C">
        <w:rPr>
          <w:lang w:val="lv-LV"/>
        </w:rPr>
        <w:t>, salīdzinot dažādus programmatūras iegādes veidus (</w:t>
      </w:r>
      <w:proofErr w:type="spellStart"/>
      <w:r w:rsidR="00126ED8" w:rsidRPr="00CE200C">
        <w:rPr>
          <w:lang w:val="lv-LV"/>
        </w:rPr>
        <w:t>SaaS</w:t>
      </w:r>
      <w:proofErr w:type="spellEnd"/>
      <w:r w:rsidR="00126ED8" w:rsidRPr="00CE200C">
        <w:rPr>
          <w:lang w:val="lv-LV"/>
        </w:rPr>
        <w:t>, COTS, pielāgotā izstrāde)?</w:t>
      </w:r>
    </w:p>
    <w:p w14:paraId="470C6242" w14:textId="736A876D" w:rsidR="00502D87" w:rsidRPr="00CE200C" w:rsidRDefault="002A2BE0" w:rsidP="00252A2F">
      <w:pPr>
        <w:pStyle w:val="ListParagraph"/>
        <w:numPr>
          <w:ilvl w:val="0"/>
          <w:numId w:val="31"/>
        </w:numPr>
        <w:rPr>
          <w:lang w:val="lv-LV"/>
        </w:rPr>
      </w:pPr>
      <w:r>
        <w:rPr>
          <w:lang w:val="lv-LV"/>
        </w:rPr>
        <w:t>TPK</w:t>
      </w:r>
      <w:r>
        <w:rPr>
          <w:lang w:val="lv-LV"/>
        </w:rPr>
        <w:t xml:space="preserve">4. </w:t>
      </w:r>
      <w:r w:rsidR="001A435E" w:rsidRPr="00CE200C">
        <w:rPr>
          <w:lang w:val="lv-LV"/>
        </w:rPr>
        <w:t xml:space="preserve">Vai </w:t>
      </w:r>
      <w:proofErr w:type="spellStart"/>
      <w:r w:rsidR="001A435E" w:rsidRPr="00CE200C">
        <w:rPr>
          <w:lang w:val="lv-LV"/>
        </w:rPr>
        <w:t>mērķarhitektūras</w:t>
      </w:r>
      <w:proofErr w:type="spellEnd"/>
      <w:r w:rsidR="001A435E" w:rsidRPr="00CE200C">
        <w:rPr>
          <w:lang w:val="lv-LV"/>
        </w:rPr>
        <w:t xml:space="preserve"> ieviešanai </w:t>
      </w:r>
      <w:r w:rsidR="00A17874">
        <w:rPr>
          <w:lang w:val="lv-LV"/>
        </w:rPr>
        <w:t>paredzēts</w:t>
      </w:r>
      <w:r w:rsidR="001A435E" w:rsidRPr="00CE200C">
        <w:rPr>
          <w:lang w:val="lv-LV"/>
        </w:rPr>
        <w:t xml:space="preserve"> </w:t>
      </w:r>
      <w:proofErr w:type="spellStart"/>
      <w:r w:rsidR="001A435E" w:rsidRPr="00CE200C">
        <w:rPr>
          <w:lang w:val="lv-LV"/>
        </w:rPr>
        <w:t>prioritizēt</w:t>
      </w:r>
      <w:proofErr w:type="spellEnd"/>
      <w:r w:rsidR="001A435E" w:rsidRPr="00CE200C">
        <w:rPr>
          <w:lang w:val="lv-LV"/>
        </w:rPr>
        <w:t xml:space="preserve"> </w:t>
      </w:r>
      <w:r w:rsidR="001A435E" w:rsidRPr="00CE200C">
        <w:rPr>
          <w:lang w:val="lv-LV" w:bidi="lv-LV"/>
        </w:rPr>
        <w:t xml:space="preserve">augstākas pievienotās vērtības </w:t>
      </w:r>
      <w:proofErr w:type="spellStart"/>
      <w:r w:rsidR="001A435E" w:rsidRPr="00CE200C">
        <w:rPr>
          <w:lang w:val="lv-LV" w:bidi="lv-LV"/>
        </w:rPr>
        <w:t>mākoņdatošanas</w:t>
      </w:r>
      <w:proofErr w:type="spellEnd"/>
      <w:r w:rsidR="001A435E" w:rsidRPr="00CE200C">
        <w:rPr>
          <w:lang w:val="lv-LV" w:bidi="lv-LV"/>
        </w:rPr>
        <w:t xml:space="preserve"> pakalpojum</w:t>
      </w:r>
      <w:r w:rsidR="00A17874">
        <w:rPr>
          <w:lang w:val="lv-LV" w:bidi="lv-LV"/>
        </w:rPr>
        <w:t>u</w:t>
      </w:r>
      <w:r w:rsidR="001A435E" w:rsidRPr="00CE200C">
        <w:rPr>
          <w:lang w:val="lv-LV" w:bidi="lv-LV"/>
        </w:rPr>
        <w:t xml:space="preserve"> izmantošan</w:t>
      </w:r>
      <w:r w:rsidR="00A17874">
        <w:rPr>
          <w:lang w:val="lv-LV" w:bidi="lv-LV"/>
        </w:rPr>
        <w:t>u</w:t>
      </w:r>
      <w:r w:rsidR="001A435E" w:rsidRPr="00CE200C">
        <w:rPr>
          <w:lang w:val="lv-LV" w:bidi="lv-LV"/>
        </w:rPr>
        <w:t xml:space="preserve"> (piemēram, Lietojumprogrammas kā pakalpojums (</w:t>
      </w:r>
      <w:proofErr w:type="spellStart"/>
      <w:r w:rsidR="001A435E" w:rsidRPr="00CE200C">
        <w:rPr>
          <w:lang w:val="lv-LV" w:bidi="lv-LV"/>
        </w:rPr>
        <w:t>SaaS</w:t>
      </w:r>
      <w:proofErr w:type="spellEnd"/>
      <w:r w:rsidR="001A435E" w:rsidRPr="00CE200C">
        <w:rPr>
          <w:lang w:val="lv-LV" w:bidi="lv-LV"/>
        </w:rPr>
        <w:t>), Infrastruktūra kā pakalpojums (</w:t>
      </w:r>
      <w:proofErr w:type="spellStart"/>
      <w:r w:rsidR="001A435E" w:rsidRPr="00CE200C">
        <w:rPr>
          <w:lang w:val="lv-LV" w:bidi="lv-LV"/>
        </w:rPr>
        <w:t>IaaS</w:t>
      </w:r>
      <w:proofErr w:type="spellEnd"/>
      <w:r w:rsidR="001A435E" w:rsidRPr="00CE200C">
        <w:rPr>
          <w:lang w:val="lv-LV" w:bidi="lv-LV"/>
        </w:rPr>
        <w:t>))</w:t>
      </w:r>
      <w:r w:rsidR="00C31D78" w:rsidRPr="00CE200C">
        <w:rPr>
          <w:lang w:val="lv-LV" w:bidi="lv-LV"/>
        </w:rPr>
        <w:t>?</w:t>
      </w:r>
    </w:p>
    <w:p w14:paraId="14A53D21" w14:textId="15EDB17D" w:rsidR="00992610" w:rsidRDefault="00992610" w:rsidP="00372307">
      <w:pPr>
        <w:pStyle w:val="Heading2"/>
        <w:rPr>
          <w:i/>
        </w:rPr>
      </w:pPr>
      <w:r w:rsidRPr="05D2EDCA">
        <w:t>TP</w:t>
      </w:r>
      <w:r w:rsidR="00840FB1" w:rsidRPr="05D2EDCA">
        <w:t>3</w:t>
      </w:r>
      <w:r w:rsidRPr="05D2EDCA">
        <w:t xml:space="preserve">. </w:t>
      </w:r>
      <w:r w:rsidRPr="00E2406D">
        <w:rPr>
          <w:noProof/>
          <w:lang w:val="lv-LV"/>
        </w:rPr>
        <mc:AlternateContent>
          <mc:Choice Requires="wps">
            <w:drawing>
              <wp:anchor distT="0" distB="0" distL="114300" distR="114300" simplePos="0" relativeHeight="251658272" behindDoc="0" locked="0" layoutInCell="1" allowOverlap="1" wp14:anchorId="2226E41F" wp14:editId="490A3787">
                <wp:simplePos x="0" y="0"/>
                <wp:positionH relativeFrom="column">
                  <wp:posOffset>0</wp:posOffset>
                </wp:positionH>
                <wp:positionV relativeFrom="paragraph">
                  <wp:posOffset>316865</wp:posOffset>
                </wp:positionV>
                <wp:extent cx="1828800" cy="1828800"/>
                <wp:effectExtent l="0" t="0" r="8890" b="10795"/>
                <wp:wrapTopAndBottom/>
                <wp:docPr id="95237686"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416E393" w14:textId="012C06E2" w:rsidR="00992610" w:rsidRDefault="00252A2F" w:rsidP="00992610">
                            <w:pPr>
                              <w:ind w:left="851"/>
                              <w:jc w:val="both"/>
                              <w:rPr>
                                <w:lang w:val="lv-LV" w:bidi="lv-LV"/>
                              </w:rPr>
                            </w:pPr>
                            <w:r>
                              <w:rPr>
                                <w:lang w:val="lv-LV" w:bidi="lv-LV"/>
                              </w:rPr>
                              <w:t>Pakalpojumu orientētu IKT risinājumu izveidē nepieciešams</w:t>
                            </w:r>
                            <w:r w:rsidRPr="00252A2F">
                              <w:rPr>
                                <w:lang w:val="lv-LV" w:bidi="lv-LV"/>
                              </w:rPr>
                              <w:t xml:space="preserve"> </w:t>
                            </w:r>
                            <w:proofErr w:type="spellStart"/>
                            <w:r w:rsidRPr="00252A2F">
                              <w:rPr>
                                <w:lang w:val="lv-LV" w:bidi="lv-LV"/>
                              </w:rPr>
                              <w:t>prioritizē</w:t>
                            </w:r>
                            <w:r>
                              <w:rPr>
                                <w:lang w:val="lv-LV" w:bidi="lv-LV"/>
                              </w:rPr>
                              <w:t>t</w:t>
                            </w:r>
                            <w:proofErr w:type="spellEnd"/>
                            <w:r w:rsidRPr="00252A2F">
                              <w:rPr>
                                <w:lang w:val="lv-LV" w:bidi="lv-LV"/>
                              </w:rPr>
                              <w:t xml:space="preserve"> mobilās ierīces kā primāro platformu, uz kur</w:t>
                            </w:r>
                            <w:r>
                              <w:rPr>
                                <w:lang w:val="lv-LV" w:bidi="lv-LV"/>
                              </w:rPr>
                              <w:t>ām</w:t>
                            </w:r>
                            <w:r w:rsidRPr="00252A2F">
                              <w:rPr>
                                <w:lang w:val="lv-LV" w:bidi="lv-LV"/>
                              </w:rPr>
                              <w:t xml:space="preserve"> tiek balstīts dizains un funkcionalitāte. Šis princips tiek izmantots, lai nodrošinātu, ka publiskie pakalpojumi ir pieejami un viegli lietojami ikvienam neatkarīgi no viņu tehniskās piekļuves iespējām.</w:t>
                            </w:r>
                          </w:p>
                          <w:p w14:paraId="4784859D" w14:textId="6171DE71" w:rsidR="00252A2F" w:rsidRPr="00252A2F" w:rsidRDefault="00252A2F" w:rsidP="00992610">
                            <w:pPr>
                              <w:ind w:left="851"/>
                              <w:jc w:val="both"/>
                              <w:rPr>
                                <w:lang w:val="lv-LV" w:bidi="lv-LV"/>
                              </w:rPr>
                            </w:pPr>
                            <w:r>
                              <w:rPr>
                                <w:lang w:val="lv-LV" w:bidi="lv-LV"/>
                              </w:rPr>
                              <w:t xml:space="preserve">Rekomendēts mobilajās iekārtās aptvert biežāk izmantotos digitālos pakalpojumus, paplašinātai funkcionalitātei izvēloties </w:t>
                            </w:r>
                            <w:proofErr w:type="spellStart"/>
                            <w:r>
                              <w:rPr>
                                <w:lang w:val="lv-LV" w:bidi="lv-LV"/>
                              </w:rPr>
                              <w:t>responsīvo</w:t>
                            </w:r>
                            <w:proofErr w:type="spellEnd"/>
                            <w:r>
                              <w:rPr>
                                <w:lang w:val="lv-LV" w:bidi="lv-LV"/>
                              </w:rPr>
                              <w:t xml:space="preserve"> dizainu.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26E41F" id="_x0000_s1043" type="#_x0000_t202" style="position:absolute;margin-left:0;margin-top:24.95pt;width:2in;height:2in;z-index:251658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Qv7fuFwCAAANBQAADgAAAAAAAAAAAAAAAAAuAgAAZHJzL2Uyb0RvYy54bWxQ&#10;SwECLQAUAAYACAAAACEA7u+WodsAAAAHAQAADwAAAAAAAAAAAAAAAAC2BAAAZHJzL2Rvd25yZXYu&#10;eG1sUEsFBgAAAAAEAAQA8wAAAL4FAAAAAA==&#10;" fillcolor="white [3201]" strokecolor="#196b24 [3206]" strokeweight="1pt">
                <v:textbox style="mso-fit-shape-to-text:t">
                  <w:txbxContent>
                    <w:p w14:paraId="0416E393" w14:textId="012C06E2" w:rsidR="00992610" w:rsidRDefault="00252A2F" w:rsidP="00992610">
                      <w:pPr>
                        <w:ind w:left="851"/>
                        <w:jc w:val="both"/>
                        <w:rPr>
                          <w:lang w:val="lv-LV" w:bidi="lv-LV"/>
                        </w:rPr>
                      </w:pPr>
                      <w:r>
                        <w:rPr>
                          <w:lang w:val="lv-LV" w:bidi="lv-LV"/>
                        </w:rPr>
                        <w:t>Pakalpojumu orientētu IKT risinājumu izveidē nepieciešams</w:t>
                      </w:r>
                      <w:r w:rsidRPr="00252A2F">
                        <w:rPr>
                          <w:lang w:val="lv-LV" w:bidi="lv-LV"/>
                        </w:rPr>
                        <w:t xml:space="preserve"> </w:t>
                      </w:r>
                      <w:proofErr w:type="spellStart"/>
                      <w:r w:rsidRPr="00252A2F">
                        <w:rPr>
                          <w:lang w:val="lv-LV" w:bidi="lv-LV"/>
                        </w:rPr>
                        <w:t>prioritizē</w:t>
                      </w:r>
                      <w:r>
                        <w:rPr>
                          <w:lang w:val="lv-LV" w:bidi="lv-LV"/>
                        </w:rPr>
                        <w:t>t</w:t>
                      </w:r>
                      <w:proofErr w:type="spellEnd"/>
                      <w:r w:rsidRPr="00252A2F">
                        <w:rPr>
                          <w:lang w:val="lv-LV" w:bidi="lv-LV"/>
                        </w:rPr>
                        <w:t xml:space="preserve"> mobilās ierīces kā primāro platformu, uz kur</w:t>
                      </w:r>
                      <w:r>
                        <w:rPr>
                          <w:lang w:val="lv-LV" w:bidi="lv-LV"/>
                        </w:rPr>
                        <w:t>ām</w:t>
                      </w:r>
                      <w:r w:rsidRPr="00252A2F">
                        <w:rPr>
                          <w:lang w:val="lv-LV" w:bidi="lv-LV"/>
                        </w:rPr>
                        <w:t xml:space="preserve"> tiek balstīts dizains un funkcionalitāte. Šis princips tiek izmantots, lai nodrošinātu, ka publiskie pakalpojumi ir pieejami un viegli lietojami ikvienam neatkarīgi no viņu tehniskās piekļuves iespējām.</w:t>
                      </w:r>
                    </w:p>
                    <w:p w14:paraId="4784859D" w14:textId="6171DE71" w:rsidR="00252A2F" w:rsidRPr="00252A2F" w:rsidRDefault="00252A2F" w:rsidP="00992610">
                      <w:pPr>
                        <w:ind w:left="851"/>
                        <w:jc w:val="both"/>
                        <w:rPr>
                          <w:lang w:val="lv-LV" w:bidi="lv-LV"/>
                        </w:rPr>
                      </w:pPr>
                      <w:r>
                        <w:rPr>
                          <w:lang w:val="lv-LV" w:bidi="lv-LV"/>
                        </w:rPr>
                        <w:t xml:space="preserve">Rekomendēts mobilajās iekārtās aptvert biežāk izmantotos digitālos pakalpojumus, paplašinātai funkcionalitātei izvēloties </w:t>
                      </w:r>
                      <w:proofErr w:type="spellStart"/>
                      <w:r>
                        <w:rPr>
                          <w:lang w:val="lv-LV" w:bidi="lv-LV"/>
                        </w:rPr>
                        <w:t>responsīvo</w:t>
                      </w:r>
                      <w:proofErr w:type="spellEnd"/>
                      <w:r>
                        <w:rPr>
                          <w:lang w:val="lv-LV" w:bidi="lv-LV"/>
                        </w:rPr>
                        <w:t xml:space="preserve"> dizainu.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73" behindDoc="0" locked="0" layoutInCell="1" allowOverlap="1" wp14:anchorId="28010DB6" wp14:editId="4B77C686">
            <wp:simplePos x="0" y="0"/>
            <wp:positionH relativeFrom="margin">
              <wp:posOffset>88900</wp:posOffset>
            </wp:positionH>
            <wp:positionV relativeFrom="paragraph">
              <wp:posOffset>450850</wp:posOffset>
            </wp:positionV>
            <wp:extent cx="427990" cy="427990"/>
            <wp:effectExtent l="0" t="0" r="0" b="0"/>
            <wp:wrapSquare wrapText="bothSides"/>
            <wp:docPr id="537092849"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Pr="05D2EDCA">
        <w:t xml:space="preserve"> </w:t>
      </w:r>
      <w:r w:rsidR="00C84548" w:rsidRPr="05D2EDCA">
        <w:t>Radīt m</w:t>
      </w:r>
      <w:r w:rsidRPr="05D2EDCA">
        <w:t>obilajām ierīcēm draudzīg</w:t>
      </w:r>
      <w:r w:rsidR="00C84548" w:rsidRPr="05D2EDCA">
        <w:t>us</w:t>
      </w:r>
      <w:r w:rsidRPr="05D2EDCA">
        <w:t xml:space="preserve"> risinājum</w:t>
      </w:r>
      <w:r w:rsidR="000B614A" w:rsidRPr="05D2EDCA">
        <w:t>i</w:t>
      </w:r>
      <w:r w:rsidRPr="05D2EDCA">
        <w:t xml:space="preserve"> </w:t>
      </w:r>
    </w:p>
    <w:p w14:paraId="5729916A" w14:textId="7C548FCF" w:rsidR="000E50B6" w:rsidRDefault="000E50B6" w:rsidP="00992610">
      <w:pPr>
        <w:rPr>
          <w:lang w:val="lv-LV"/>
        </w:rPr>
      </w:pPr>
    </w:p>
    <w:p w14:paraId="75EBA91C" w14:textId="77777777" w:rsidR="00502D87" w:rsidRPr="00AE17B5" w:rsidRDefault="00502D87" w:rsidP="00502D87">
      <w:pPr>
        <w:rPr>
          <w:lang w:val="lv-LV"/>
        </w:rPr>
      </w:pPr>
      <w:r w:rsidRPr="00AE17B5">
        <w:rPr>
          <w:lang w:val="lv-LV"/>
        </w:rPr>
        <w:t>Piemērošanas vadlīnijas:</w:t>
      </w:r>
    </w:p>
    <w:p w14:paraId="0FB59C11" w14:textId="67CDC5EA" w:rsidR="00CB724D" w:rsidRPr="00AF5552" w:rsidRDefault="00443BD0" w:rsidP="00AF5552">
      <w:pPr>
        <w:pStyle w:val="ListParagraph"/>
        <w:numPr>
          <w:ilvl w:val="0"/>
          <w:numId w:val="11"/>
        </w:numPr>
        <w:jc w:val="both"/>
        <w:rPr>
          <w:lang w:val="lv-LV"/>
        </w:rPr>
      </w:pPr>
      <w:r w:rsidRPr="00BC1308">
        <w:rPr>
          <w:lang w:val="lv-LV"/>
        </w:rPr>
        <w:t xml:space="preserve">Izstrādājot risinājumus, </w:t>
      </w:r>
      <w:proofErr w:type="spellStart"/>
      <w:r w:rsidRPr="00BC1308">
        <w:rPr>
          <w:lang w:val="lv-LV"/>
        </w:rPr>
        <w:t>prioritizējiet</w:t>
      </w:r>
      <w:proofErr w:type="spellEnd"/>
      <w:r w:rsidRPr="00BC1308">
        <w:rPr>
          <w:lang w:val="lv-LV"/>
        </w:rPr>
        <w:t xml:space="preserve"> mobilās ierīces kā galveno platformu, optimizējot dizainu un funkcionalitāti mazākiem ekrāniem.</w:t>
      </w:r>
      <w:r w:rsidR="00AF5552">
        <w:rPr>
          <w:lang w:val="lv-LV"/>
        </w:rPr>
        <w:t xml:space="preserve"> Princips primāri ir attiecināms uz </w:t>
      </w:r>
      <w:proofErr w:type="spellStart"/>
      <w:r w:rsidR="00AF5552">
        <w:rPr>
          <w:lang w:val="lv-LV"/>
        </w:rPr>
        <w:t>responsīvo</w:t>
      </w:r>
      <w:proofErr w:type="spellEnd"/>
      <w:r w:rsidR="00AF5552">
        <w:rPr>
          <w:lang w:val="lv-LV"/>
        </w:rPr>
        <w:t xml:space="preserve"> dizainu, </w:t>
      </w:r>
      <w:r w:rsidR="009C3B02">
        <w:rPr>
          <w:lang w:val="lv-LV"/>
        </w:rPr>
        <w:t xml:space="preserve">bet pakalpojumiem ar lielu izmantošanas </w:t>
      </w:r>
      <w:proofErr w:type="spellStart"/>
      <w:r w:rsidR="009C3B02">
        <w:rPr>
          <w:lang w:val="lv-LV"/>
        </w:rPr>
        <w:t>intensivitāti</w:t>
      </w:r>
      <w:proofErr w:type="spellEnd"/>
      <w:r w:rsidR="009C3B02">
        <w:rPr>
          <w:lang w:val="lv-LV"/>
        </w:rPr>
        <w:t xml:space="preserve"> var tikt veidotas arī atsevišķas mobilās lietotnes. </w:t>
      </w:r>
    </w:p>
    <w:p w14:paraId="594AAE7E" w14:textId="071F5591" w:rsidR="00BC1308" w:rsidRPr="006B2013" w:rsidRDefault="006B2013" w:rsidP="006B2013">
      <w:pPr>
        <w:pStyle w:val="ListParagraph"/>
        <w:numPr>
          <w:ilvl w:val="0"/>
          <w:numId w:val="11"/>
        </w:numPr>
        <w:jc w:val="both"/>
        <w:rPr>
          <w:lang w:val="lv-LV"/>
        </w:rPr>
      </w:pPr>
      <w:r>
        <w:rPr>
          <w:lang w:val="lv-LV"/>
        </w:rPr>
        <w:t>Ja veidojat mobilo lietotni, n</w:t>
      </w:r>
      <w:r w:rsidR="00555750" w:rsidRPr="00BC1308">
        <w:rPr>
          <w:lang w:val="lv-LV"/>
        </w:rPr>
        <w:t xml:space="preserve">odrošiniet, ka </w:t>
      </w:r>
      <w:r>
        <w:rPr>
          <w:lang w:val="lv-LV"/>
        </w:rPr>
        <w:t>tā</w:t>
      </w:r>
      <w:r w:rsidR="00555750" w:rsidRPr="00BC1308">
        <w:rPr>
          <w:lang w:val="lv-LV"/>
        </w:rPr>
        <w:t xml:space="preserve"> atbalsta biežāk izmantotos digitālos pakalpojumus, paplašinātai funkcionalitātei izmantojot </w:t>
      </w:r>
      <w:proofErr w:type="spellStart"/>
      <w:r w:rsidR="00555750" w:rsidRPr="00BC1308">
        <w:rPr>
          <w:lang w:val="lv-LV"/>
        </w:rPr>
        <w:t>responsīvo</w:t>
      </w:r>
      <w:proofErr w:type="spellEnd"/>
      <w:r w:rsidR="00555750" w:rsidRPr="00BC1308">
        <w:rPr>
          <w:lang w:val="lv-LV"/>
        </w:rPr>
        <w:t xml:space="preserve"> dizainu.</w:t>
      </w:r>
      <w:r>
        <w:rPr>
          <w:lang w:val="lv-LV"/>
        </w:rPr>
        <w:t xml:space="preserve"> I</w:t>
      </w:r>
      <w:r w:rsidR="00BC1308" w:rsidRPr="006B2013">
        <w:rPr>
          <w:lang w:val="lv-LV"/>
        </w:rPr>
        <w:t xml:space="preserve">zmantojiet </w:t>
      </w:r>
      <w:proofErr w:type="spellStart"/>
      <w:r w:rsidR="00BC1308" w:rsidRPr="006B2013">
        <w:rPr>
          <w:lang w:val="lv-LV"/>
        </w:rPr>
        <w:t>responsīvo</w:t>
      </w:r>
      <w:proofErr w:type="spellEnd"/>
      <w:r w:rsidR="00BC1308" w:rsidRPr="006B2013">
        <w:rPr>
          <w:lang w:val="lv-LV"/>
        </w:rPr>
        <w:t xml:space="preserve"> dizainu, lai nodrošinātu vienotu lietotāja pieredzi dažādās ierīcēs.</w:t>
      </w:r>
    </w:p>
    <w:p w14:paraId="263713C3" w14:textId="77777777" w:rsidR="00502D87" w:rsidRDefault="00502D87" w:rsidP="00502D87">
      <w:pPr>
        <w:rPr>
          <w:lang w:val="lv-LV"/>
        </w:rPr>
      </w:pPr>
      <w:r w:rsidRPr="00C20AD0">
        <w:rPr>
          <w:lang w:val="lv-LV"/>
        </w:rPr>
        <w:t>Novērtēšanas vadlīnijas:</w:t>
      </w:r>
    </w:p>
    <w:p w14:paraId="51AC1CB7" w14:textId="514E5F87" w:rsidR="00412F48" w:rsidRPr="00412F48" w:rsidRDefault="002A2BE0" w:rsidP="00412F48">
      <w:pPr>
        <w:pStyle w:val="ListParagraph"/>
        <w:numPr>
          <w:ilvl w:val="0"/>
          <w:numId w:val="32"/>
        </w:numPr>
        <w:rPr>
          <w:lang w:val="lv-LV"/>
        </w:rPr>
      </w:pPr>
      <w:r>
        <w:rPr>
          <w:lang w:val="lv-LV"/>
        </w:rPr>
        <w:t>TPK</w:t>
      </w:r>
      <w:r>
        <w:rPr>
          <w:lang w:val="lv-LV"/>
        </w:rPr>
        <w:t xml:space="preserve">5. </w:t>
      </w:r>
      <w:r w:rsidR="00412F48">
        <w:rPr>
          <w:lang w:val="lv-LV"/>
        </w:rPr>
        <w:t xml:space="preserve">Vai </w:t>
      </w:r>
      <w:proofErr w:type="spellStart"/>
      <w:r w:rsidR="00412F48">
        <w:rPr>
          <w:lang w:val="lv-LV"/>
        </w:rPr>
        <w:t>mērķarhitektūrā</w:t>
      </w:r>
      <w:proofErr w:type="spellEnd"/>
      <w:r w:rsidR="00412F48">
        <w:rPr>
          <w:lang w:val="lv-LV"/>
        </w:rPr>
        <w:t xml:space="preserve"> iekļautos IKT risinājumus ir paredzēts </w:t>
      </w:r>
      <w:proofErr w:type="spellStart"/>
      <w:r w:rsidR="00412F48" w:rsidRPr="00412F48">
        <w:t>optimizēti</w:t>
      </w:r>
      <w:proofErr w:type="spellEnd"/>
      <w:r w:rsidR="00412F48" w:rsidRPr="00412F48">
        <w:t xml:space="preserve"> </w:t>
      </w:r>
      <w:proofErr w:type="spellStart"/>
      <w:r w:rsidR="00412F48" w:rsidRPr="00412F48">
        <w:t>mazākiem</w:t>
      </w:r>
      <w:proofErr w:type="spellEnd"/>
      <w:r w:rsidR="00412F48" w:rsidRPr="00412F48">
        <w:t xml:space="preserve"> </w:t>
      </w:r>
      <w:proofErr w:type="spellStart"/>
      <w:r w:rsidR="00412F48" w:rsidRPr="00412F48">
        <w:t>ekrāniem</w:t>
      </w:r>
      <w:proofErr w:type="spellEnd"/>
      <w:r w:rsidR="00412F48">
        <w:t>?</w:t>
      </w:r>
    </w:p>
    <w:p w14:paraId="6232EAC6" w14:textId="2AE7F472" w:rsidR="00B925B8" w:rsidRPr="00B925B8" w:rsidRDefault="002A2BE0" w:rsidP="00B925B8">
      <w:pPr>
        <w:pStyle w:val="ListParagraph"/>
        <w:numPr>
          <w:ilvl w:val="0"/>
          <w:numId w:val="32"/>
        </w:numPr>
        <w:rPr>
          <w:lang w:val="lv-LV"/>
        </w:rPr>
      </w:pPr>
      <w:r>
        <w:rPr>
          <w:lang w:val="lv-LV"/>
        </w:rPr>
        <w:lastRenderedPageBreak/>
        <w:t>TPK</w:t>
      </w:r>
      <w:r>
        <w:rPr>
          <w:lang w:val="lv-LV"/>
        </w:rPr>
        <w:t xml:space="preserve">6. </w:t>
      </w:r>
      <w:r w:rsidR="00B925B8">
        <w:t xml:space="preserve">Vai </w:t>
      </w:r>
      <w:proofErr w:type="spellStart"/>
      <w:r w:rsidR="00B925B8">
        <w:t>jomas</w:t>
      </w:r>
      <w:proofErr w:type="spellEnd"/>
      <w:r w:rsidR="00B925B8">
        <w:t xml:space="preserve"> </w:t>
      </w:r>
      <w:proofErr w:type="spellStart"/>
      <w:r w:rsidR="00B925B8">
        <w:t>mērķarhitektūra</w:t>
      </w:r>
      <w:proofErr w:type="spellEnd"/>
      <w:r w:rsidR="00B925B8">
        <w:t xml:space="preserve"> </w:t>
      </w:r>
      <w:proofErr w:type="spellStart"/>
      <w:r w:rsidR="00B925B8">
        <w:t>paredz</w:t>
      </w:r>
      <w:proofErr w:type="spellEnd"/>
      <w:r w:rsidR="00B925B8">
        <w:t xml:space="preserve"> </w:t>
      </w:r>
      <w:proofErr w:type="spellStart"/>
      <w:r w:rsidR="00B925B8">
        <w:t>mobilo</w:t>
      </w:r>
      <w:proofErr w:type="spellEnd"/>
      <w:r w:rsidR="00B925B8">
        <w:t xml:space="preserve"> </w:t>
      </w:r>
      <w:proofErr w:type="spellStart"/>
      <w:r w:rsidR="00B925B8">
        <w:t>lietotņu</w:t>
      </w:r>
      <w:proofErr w:type="spellEnd"/>
      <w:r w:rsidR="00B925B8">
        <w:t xml:space="preserve"> </w:t>
      </w:r>
      <w:proofErr w:type="spellStart"/>
      <w:r w:rsidR="00B925B8">
        <w:t>izveidi</w:t>
      </w:r>
      <w:proofErr w:type="spellEnd"/>
      <w:r w:rsidR="00B925B8">
        <w:t xml:space="preserve"> </w:t>
      </w:r>
      <w:proofErr w:type="spellStart"/>
      <w:r w:rsidR="00B925B8">
        <w:t>pakalpojumu</w:t>
      </w:r>
      <w:proofErr w:type="spellEnd"/>
      <w:r w:rsidR="00B925B8">
        <w:t xml:space="preserve"> </w:t>
      </w:r>
      <w:proofErr w:type="spellStart"/>
      <w:r w:rsidR="00B925B8">
        <w:t>sniegšanai</w:t>
      </w:r>
      <w:proofErr w:type="spellEnd"/>
      <w:r w:rsidR="00B925B8">
        <w:t>?</w:t>
      </w:r>
    </w:p>
    <w:p w14:paraId="7BFB6201" w14:textId="77777777" w:rsidR="00502D87" w:rsidRDefault="00502D87" w:rsidP="00992610">
      <w:pPr>
        <w:rPr>
          <w:lang w:val="lv-LV"/>
        </w:rPr>
      </w:pPr>
    </w:p>
    <w:p w14:paraId="1C164F17" w14:textId="509D03BD" w:rsidR="00992610" w:rsidRDefault="00992610" w:rsidP="00372307">
      <w:pPr>
        <w:pStyle w:val="Heading2"/>
      </w:pPr>
      <w:r w:rsidRPr="05D2EDCA">
        <w:t>TP</w:t>
      </w:r>
      <w:r w:rsidR="00840FB1" w:rsidRPr="05D2EDCA">
        <w:t>4</w:t>
      </w:r>
      <w:r w:rsidRPr="05D2EDCA">
        <w:t xml:space="preserve">. </w:t>
      </w:r>
      <w:r w:rsidRPr="00E2406D">
        <w:rPr>
          <w:noProof/>
          <w:lang w:val="lv-LV"/>
        </w:rPr>
        <mc:AlternateContent>
          <mc:Choice Requires="wps">
            <w:drawing>
              <wp:anchor distT="0" distB="0" distL="114300" distR="114300" simplePos="0" relativeHeight="251658274" behindDoc="0" locked="0" layoutInCell="1" allowOverlap="1" wp14:anchorId="4D14BCFA" wp14:editId="2FA2A2E1">
                <wp:simplePos x="0" y="0"/>
                <wp:positionH relativeFrom="column">
                  <wp:posOffset>0</wp:posOffset>
                </wp:positionH>
                <wp:positionV relativeFrom="paragraph">
                  <wp:posOffset>316865</wp:posOffset>
                </wp:positionV>
                <wp:extent cx="1828800" cy="1828800"/>
                <wp:effectExtent l="0" t="0" r="8890" b="10795"/>
                <wp:wrapTopAndBottom/>
                <wp:docPr id="44788435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A99741C" w14:textId="7F8ED524" w:rsidR="00992610" w:rsidRPr="000539BF" w:rsidRDefault="00F46F77" w:rsidP="00992610">
                            <w:pPr>
                              <w:ind w:left="851"/>
                              <w:jc w:val="both"/>
                              <w:rPr>
                                <w:lang w:val="lv-LV" w:bidi="lv-LV"/>
                              </w:rPr>
                            </w:pPr>
                            <w:r w:rsidRPr="000539BF">
                              <w:rPr>
                                <w:lang w:val="lv-LV" w:bidi="lv-LV"/>
                              </w:rPr>
                              <w:t xml:space="preserve">IKT risinājumiem un infrastruktūrai ir  jābūt izturīgiem, uzticamiem un spējīgi nodrošināt stabilu darbību pat traucējumu vai drošības incidentu gadījumā. Tas aptver monitoringu, atbilstību standartiem, darbinieku kompetences celšanu un </w:t>
                            </w:r>
                            <w:proofErr w:type="spellStart"/>
                            <w:r w:rsidRPr="000539BF">
                              <w:rPr>
                                <w:lang w:val="lv-LV" w:bidi="lv-LV"/>
                              </w:rPr>
                              <w:t>proaktīvu</w:t>
                            </w:r>
                            <w:proofErr w:type="spellEnd"/>
                            <w:r w:rsidRPr="000539BF">
                              <w:rPr>
                                <w:lang w:val="lv-LV" w:bidi="lv-LV"/>
                              </w:rPr>
                              <w:t xml:space="preserve"> risku pārvaldību, lai saglabātu un uzlabotu valsts IKT sistēmu nepārtrauktību un drošību.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14BCFA" id="_x0000_s1044" type="#_x0000_t202" style="position:absolute;margin-left:0;margin-top:24.95pt;width:2in;height:2in;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AStZDkWwIAAA0FAAAOAAAAAAAAAAAAAAAAAC4CAABkcnMvZTJvRG9jLnhtbFBL&#10;AQItABQABgAIAAAAIQDu75ah2wAAAAcBAAAPAAAAAAAAAAAAAAAAALUEAABkcnMvZG93bnJldi54&#10;bWxQSwUGAAAAAAQABADzAAAAvQUAAAAA&#10;" fillcolor="white [3201]" strokecolor="#196b24 [3206]" strokeweight="1pt">
                <v:textbox style="mso-fit-shape-to-text:t">
                  <w:txbxContent>
                    <w:p w14:paraId="0A99741C" w14:textId="7F8ED524" w:rsidR="00992610" w:rsidRPr="000539BF" w:rsidRDefault="00F46F77" w:rsidP="00992610">
                      <w:pPr>
                        <w:ind w:left="851"/>
                        <w:jc w:val="both"/>
                        <w:rPr>
                          <w:lang w:val="lv-LV" w:bidi="lv-LV"/>
                        </w:rPr>
                      </w:pPr>
                      <w:r w:rsidRPr="000539BF">
                        <w:rPr>
                          <w:lang w:val="lv-LV" w:bidi="lv-LV"/>
                        </w:rPr>
                        <w:t xml:space="preserve">IKT risinājumiem un infrastruktūrai ir  jābūt izturīgiem, uzticamiem un spējīgi nodrošināt stabilu darbību pat traucējumu vai drošības incidentu gadījumā. Tas aptver monitoringu, atbilstību standartiem, darbinieku kompetences celšanu un </w:t>
                      </w:r>
                      <w:proofErr w:type="spellStart"/>
                      <w:r w:rsidRPr="000539BF">
                        <w:rPr>
                          <w:lang w:val="lv-LV" w:bidi="lv-LV"/>
                        </w:rPr>
                        <w:t>proaktīvu</w:t>
                      </w:r>
                      <w:proofErr w:type="spellEnd"/>
                      <w:r w:rsidRPr="000539BF">
                        <w:rPr>
                          <w:lang w:val="lv-LV" w:bidi="lv-LV"/>
                        </w:rPr>
                        <w:t xml:space="preserve"> risku pārvaldību, lai saglabātu un uzlabotu valsts IKT sistēmu nepārtrauktību un drošību.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75" behindDoc="0" locked="0" layoutInCell="1" allowOverlap="1" wp14:anchorId="0D4F6656" wp14:editId="3A15A77E">
            <wp:simplePos x="0" y="0"/>
            <wp:positionH relativeFrom="margin">
              <wp:posOffset>88900</wp:posOffset>
            </wp:positionH>
            <wp:positionV relativeFrom="paragraph">
              <wp:posOffset>450850</wp:posOffset>
            </wp:positionV>
            <wp:extent cx="427990" cy="427990"/>
            <wp:effectExtent l="0" t="0" r="0" b="0"/>
            <wp:wrapSquare wrapText="bothSides"/>
            <wp:docPr id="1841519235"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Pr="05D2EDCA">
        <w:t xml:space="preserve"> </w:t>
      </w:r>
      <w:r w:rsidR="00372307" w:rsidRPr="05D2EDCA">
        <w:t>Nodrošināt nepārtrauktu darbību</w:t>
      </w:r>
    </w:p>
    <w:p w14:paraId="20C6821A" w14:textId="77777777" w:rsidR="00502D87" w:rsidRDefault="00502D87" w:rsidP="00502D87">
      <w:pPr>
        <w:rPr>
          <w:lang w:val="lv-LV"/>
        </w:rPr>
      </w:pPr>
    </w:p>
    <w:p w14:paraId="13379DE1" w14:textId="70E51E40" w:rsidR="00502D87" w:rsidRPr="00AE17B5" w:rsidRDefault="00502D87" w:rsidP="00502D87">
      <w:pPr>
        <w:rPr>
          <w:lang w:val="lv-LV"/>
        </w:rPr>
      </w:pPr>
      <w:r w:rsidRPr="00AE17B5">
        <w:rPr>
          <w:lang w:val="lv-LV"/>
        </w:rPr>
        <w:t>Piemērošanas vadlīnijas:</w:t>
      </w:r>
    </w:p>
    <w:p w14:paraId="5B580255" w14:textId="77777777" w:rsidR="00B30479" w:rsidRPr="0002679A" w:rsidRDefault="00B30479" w:rsidP="00B30479">
      <w:pPr>
        <w:pStyle w:val="ListParagraph"/>
        <w:numPr>
          <w:ilvl w:val="0"/>
          <w:numId w:val="11"/>
        </w:numPr>
        <w:rPr>
          <w:rFonts w:cs="Arial"/>
          <w:lang w:val="lv-LV"/>
        </w:rPr>
      </w:pPr>
      <w:r w:rsidRPr="0002679A">
        <w:rPr>
          <w:rFonts w:cs="Arial"/>
          <w:lang w:val="lv-LV"/>
        </w:rPr>
        <w:t xml:space="preserve">Nepieciešams nodrošināt IKT risinājumu monitoringu, kas stiprina sistēmu drošību un uzticamību, palīdzot valsts IKT infrastruktūrai un </w:t>
      </w:r>
      <w:proofErr w:type="spellStart"/>
      <w:r w:rsidRPr="0002679A">
        <w:rPr>
          <w:rFonts w:cs="Arial"/>
          <w:lang w:val="lv-LV"/>
        </w:rPr>
        <w:t>kiberdrošības</w:t>
      </w:r>
      <w:proofErr w:type="spellEnd"/>
      <w:r w:rsidRPr="0002679A">
        <w:rPr>
          <w:rFonts w:cs="Arial"/>
          <w:lang w:val="lv-LV"/>
        </w:rPr>
        <w:t xml:space="preserve"> arhitektūrai ātri reaģēt uz draudiem un nodrošināt stabilu un drošu darbību ilgtermiņā. Nodrošina pastāvīgu un pārskatāmu sistēmu darbības uzraudzību, kas ļauj savlaicīgi identificēt problēmas, traucējumus vai drošības incidentus, kā arī nodrošina atbildību un uzticēšanos starp iesaistītajām pusēm.</w:t>
      </w:r>
    </w:p>
    <w:p w14:paraId="5A5E670C" w14:textId="77777777" w:rsidR="00B30479" w:rsidRPr="0002679A" w:rsidRDefault="00B30479" w:rsidP="00B30479">
      <w:pPr>
        <w:pStyle w:val="ListParagraph"/>
        <w:numPr>
          <w:ilvl w:val="0"/>
          <w:numId w:val="11"/>
        </w:numPr>
        <w:rPr>
          <w:rFonts w:cs="Arial"/>
          <w:lang w:val="lv-LV"/>
        </w:rPr>
      </w:pPr>
      <w:r w:rsidRPr="0002679A">
        <w:rPr>
          <w:rFonts w:cs="Arial"/>
          <w:lang w:val="lv-LV"/>
        </w:rPr>
        <w:t>IKT infrastruktūra tiek projektēta tā, lai tā ir noturīga pret traucējumiem un drošības incidentiem, nodrošinot gan nepārtrauktus pakalpojumus, gan ātru atjaunošanos pēc incidentiem.</w:t>
      </w:r>
    </w:p>
    <w:p w14:paraId="72A40DF9" w14:textId="77777777" w:rsidR="00B30479" w:rsidRPr="0002679A" w:rsidRDefault="00B30479" w:rsidP="00B30479">
      <w:pPr>
        <w:pStyle w:val="ListParagraph"/>
        <w:numPr>
          <w:ilvl w:val="0"/>
          <w:numId w:val="11"/>
        </w:numPr>
        <w:rPr>
          <w:rFonts w:cs="Arial"/>
          <w:lang w:val="lv-LV"/>
        </w:rPr>
      </w:pPr>
      <w:r w:rsidRPr="0002679A">
        <w:rPr>
          <w:rFonts w:cs="Arial"/>
          <w:lang w:val="lv-LV"/>
        </w:rPr>
        <w:t>Saglabāt esošo sistēmu darbības nepārtrauktību, pakāpeniski pārejot uz jaunām tehnoloģijām. Nodrošināt spēju darboties kopā ar vecākām versijām vai tehnoloģijām, kad tas ir praktiski un izdevīgi. Pakāpeniska migrācija ļaus veikt sistēmu modernizāciju pakāpeniski, vienlaikus saglabājot darbību ar vecākām tehnoloģijām, līdz tās tiek aizstātas vai modernizētas.</w:t>
      </w:r>
    </w:p>
    <w:p w14:paraId="1AB908C3" w14:textId="77777777" w:rsidR="00B30479" w:rsidRPr="003A35D0" w:rsidRDefault="00B30479" w:rsidP="00B30479">
      <w:pPr>
        <w:pStyle w:val="ListParagraph"/>
        <w:numPr>
          <w:ilvl w:val="0"/>
          <w:numId w:val="11"/>
        </w:numPr>
        <w:rPr>
          <w:rFonts w:ascii="Aptos" w:hAnsi="Aptos"/>
          <w:lang w:val="lv-LV"/>
        </w:rPr>
      </w:pPr>
      <w:r w:rsidRPr="0002679A">
        <w:rPr>
          <w:lang w:val="lv-LV"/>
        </w:rPr>
        <w:t xml:space="preserve">Nepieciešams nodrošināt skaidru ieskatu IKT risinājumu darbībā, savlaicīgu draudu un traucējumu atklāšana, kā arī </w:t>
      </w:r>
      <w:proofErr w:type="spellStart"/>
      <w:r w:rsidRPr="0002679A">
        <w:rPr>
          <w:lang w:val="lv-LV"/>
        </w:rPr>
        <w:t>proaktīvu</w:t>
      </w:r>
      <w:proofErr w:type="spellEnd"/>
      <w:r w:rsidRPr="0002679A">
        <w:rPr>
          <w:lang w:val="lv-LV"/>
        </w:rPr>
        <w:t xml:space="preserve"> drošības risku pārvaldību. Nepieciešams ieviest nepārtrauktu un sistemātisku procesu risku identificēšanai, novērtēšanai un </w:t>
      </w:r>
      <w:r w:rsidRPr="003A35D0">
        <w:rPr>
          <w:rFonts w:ascii="Aptos" w:hAnsi="Aptos"/>
          <w:lang w:val="lv-LV"/>
        </w:rPr>
        <w:t>mazināšanai.</w:t>
      </w:r>
    </w:p>
    <w:p w14:paraId="4791EBB1" w14:textId="77777777" w:rsidR="00B30479" w:rsidRPr="003A35D0" w:rsidRDefault="00B30479" w:rsidP="00B30479">
      <w:pPr>
        <w:pStyle w:val="ListParagraph"/>
        <w:numPr>
          <w:ilvl w:val="0"/>
          <w:numId w:val="11"/>
        </w:numPr>
        <w:rPr>
          <w:rFonts w:ascii="Aptos" w:hAnsi="Aptos" w:cs="Arial"/>
          <w:lang w:val="lv-LV"/>
        </w:rPr>
      </w:pPr>
      <w:r w:rsidRPr="003A35D0">
        <w:rPr>
          <w:rFonts w:ascii="Aptos" w:hAnsi="Aptos" w:cs="Arial"/>
          <w:lang w:val="lv-LV"/>
        </w:rPr>
        <w:t xml:space="preserve">IKT </w:t>
      </w:r>
      <w:r w:rsidRPr="003A35D0">
        <w:rPr>
          <w:rFonts w:ascii="Aptos" w:hAnsi="Aptos" w:cstheme="majorBidi"/>
          <w:lang w:val="lv-LV"/>
        </w:rPr>
        <w:t>pakalpojumi tiek sniegti atbilstoši noteiktiem minimālajiem un kopējiem standartiem, kas garantē to drošību, pieejamību un stabilitāti, uzlabo klientu apmierinātību un efektīvu pakalpojumu pārvaldību. Skaidri definēti un nodrošināti kvalitātes līmeņi IKT pakalpojumu sniedzējiem.</w:t>
      </w:r>
    </w:p>
    <w:p w14:paraId="440BD0BF" w14:textId="77777777" w:rsidR="00B30479" w:rsidRPr="00F72D89" w:rsidRDefault="00B30479" w:rsidP="00B30479">
      <w:pPr>
        <w:pStyle w:val="ListParagraph"/>
        <w:numPr>
          <w:ilvl w:val="0"/>
          <w:numId w:val="11"/>
        </w:numPr>
        <w:rPr>
          <w:rFonts w:asciiTheme="majorHAnsi" w:hAnsiTheme="majorHAnsi" w:cs="Arial"/>
          <w:lang w:val="lv-LV"/>
        </w:rPr>
      </w:pPr>
      <w:r w:rsidRPr="00F72D89">
        <w:rPr>
          <w:rFonts w:asciiTheme="majorHAnsi" w:hAnsiTheme="majorHAnsi" w:cs="Arial"/>
          <w:lang w:val="lv-LV"/>
        </w:rPr>
        <w:lastRenderedPageBreak/>
        <w:t xml:space="preserve">Tiek nodrošināta atbilstība labākajai praksei un </w:t>
      </w:r>
      <w:proofErr w:type="spellStart"/>
      <w:r w:rsidRPr="00F72D89">
        <w:rPr>
          <w:rFonts w:asciiTheme="majorHAnsi" w:hAnsiTheme="majorHAnsi" w:cs="Arial"/>
          <w:lang w:val="lv-LV"/>
        </w:rPr>
        <w:t>starptatutiskajiem</w:t>
      </w:r>
      <w:proofErr w:type="spellEnd"/>
      <w:r w:rsidRPr="00F72D89">
        <w:rPr>
          <w:rFonts w:asciiTheme="majorHAnsi" w:hAnsiTheme="majorHAnsi" w:cs="Arial"/>
          <w:lang w:val="lv-LV"/>
        </w:rPr>
        <w:t xml:space="preserve"> </w:t>
      </w:r>
      <w:proofErr w:type="spellStart"/>
      <w:r w:rsidRPr="00F72D89">
        <w:rPr>
          <w:rFonts w:asciiTheme="majorHAnsi" w:hAnsiTheme="majorHAnsi" w:cs="Arial"/>
          <w:lang w:val="lv-LV"/>
        </w:rPr>
        <w:t>standariem</w:t>
      </w:r>
      <w:proofErr w:type="spellEnd"/>
      <w:r w:rsidRPr="00F72D89">
        <w:rPr>
          <w:rFonts w:asciiTheme="majorHAnsi" w:hAnsiTheme="majorHAnsi" w:cs="Arial"/>
          <w:lang w:val="lv-LV"/>
        </w:rPr>
        <w:t xml:space="preserve">. </w:t>
      </w:r>
      <w:r w:rsidRPr="00F72D89">
        <w:rPr>
          <w:rFonts w:asciiTheme="majorHAnsi" w:hAnsiTheme="majorHAnsi" w:cstheme="majorBidi"/>
          <w:lang w:val="lv-LV"/>
        </w:rPr>
        <w:t>Regulāra pārvaldības prakses novērtēšana un uzraudzība, lai atbilstu standartiem un identificētu uzlabojumu nepieciešamību risku samazināšanā, efektivitātes uzlabošanā un standartu un normatīvo aktu ievērošanā.</w:t>
      </w:r>
    </w:p>
    <w:p w14:paraId="57B08B37" w14:textId="3283C9F7" w:rsidR="00502D87" w:rsidRPr="00B30479" w:rsidRDefault="00B30479" w:rsidP="00B30479">
      <w:pPr>
        <w:pStyle w:val="ListParagraph"/>
        <w:numPr>
          <w:ilvl w:val="0"/>
          <w:numId w:val="11"/>
        </w:numPr>
        <w:rPr>
          <w:rFonts w:asciiTheme="majorHAnsi" w:hAnsiTheme="majorHAnsi" w:cs="Arial"/>
          <w:lang w:val="lv-LV"/>
        </w:rPr>
      </w:pPr>
      <w:r w:rsidRPr="00F72D89">
        <w:rPr>
          <w:rFonts w:asciiTheme="majorHAnsi" w:hAnsiTheme="majorHAnsi" w:cstheme="majorBidi"/>
          <w:lang w:val="lv-LV"/>
        </w:rPr>
        <w:t>Tiek nodrošināts, ka visiem procesiem un sistēmām, kas saistītas ar informācijas drošību un tehnoloģiju pārvaldību, ir profesionāli apmācīti, zinoši, prasmīgi un pieredzējuši kvalificēti darbinieki. Regulāri zināšanu un prasmju pilnveidošanas pasākumi, kas ietver sertifikācijas programmas, seminārus un citus izglītības pasākumus nodrošina nemainīgi augstu kvalitāti.</w:t>
      </w:r>
    </w:p>
    <w:p w14:paraId="2AD9ABF3" w14:textId="77777777" w:rsidR="00502D87" w:rsidRDefault="00502D87" w:rsidP="00502D87">
      <w:pPr>
        <w:rPr>
          <w:lang w:val="lv-LV"/>
        </w:rPr>
      </w:pPr>
      <w:r w:rsidRPr="00C20AD0">
        <w:rPr>
          <w:lang w:val="lv-LV"/>
        </w:rPr>
        <w:t>Novērtēšanas vadlīnijas:</w:t>
      </w:r>
    </w:p>
    <w:p w14:paraId="34E4E72E" w14:textId="3A816F5B" w:rsidR="00920441" w:rsidRPr="00DA7817" w:rsidRDefault="002A2BE0" w:rsidP="00920441">
      <w:pPr>
        <w:pStyle w:val="ListParagraph"/>
        <w:numPr>
          <w:ilvl w:val="0"/>
          <w:numId w:val="33"/>
        </w:numPr>
        <w:rPr>
          <w:lang w:val="lv-LV"/>
        </w:rPr>
      </w:pPr>
      <w:r w:rsidRPr="00DA7817">
        <w:rPr>
          <w:lang w:val="lv-LV"/>
        </w:rPr>
        <w:t>TPK</w:t>
      </w:r>
      <w:r w:rsidRPr="00DA7817">
        <w:rPr>
          <w:lang w:val="lv-LV"/>
        </w:rPr>
        <w:t xml:space="preserve">7. </w:t>
      </w:r>
      <w:r w:rsidR="00920441" w:rsidRPr="00DA7817">
        <w:rPr>
          <w:lang w:val="lv-LV"/>
        </w:rPr>
        <w:t xml:space="preserve">Vai </w:t>
      </w:r>
      <w:proofErr w:type="spellStart"/>
      <w:r w:rsidR="00920441" w:rsidRPr="00DA7817">
        <w:rPr>
          <w:lang w:val="lv-LV"/>
        </w:rPr>
        <w:t>mērķarhitektūras</w:t>
      </w:r>
      <w:proofErr w:type="spellEnd"/>
      <w:r w:rsidR="00920441" w:rsidRPr="00DA7817">
        <w:rPr>
          <w:lang w:val="lv-LV"/>
        </w:rPr>
        <w:t xml:space="preserve"> risinājumiem </w:t>
      </w:r>
      <w:r w:rsidR="00920441" w:rsidRPr="00DA7817">
        <w:rPr>
          <w:lang w:val="lv-LV"/>
        </w:rPr>
        <w:t xml:space="preserve">ir </w:t>
      </w:r>
      <w:r w:rsidR="00920441" w:rsidRPr="00DA7817">
        <w:rPr>
          <w:lang w:val="lv-LV"/>
        </w:rPr>
        <w:t xml:space="preserve">plānots </w:t>
      </w:r>
      <w:r w:rsidR="00920441" w:rsidRPr="00DA7817">
        <w:rPr>
          <w:lang w:val="lv-LV"/>
        </w:rPr>
        <w:t>nodrošināt pastāvīg</w:t>
      </w:r>
      <w:r w:rsidR="001664F1" w:rsidRPr="00DA7817">
        <w:rPr>
          <w:lang w:val="lv-LV"/>
        </w:rPr>
        <w:t>u</w:t>
      </w:r>
      <w:r w:rsidR="00062165" w:rsidRPr="00DA7817">
        <w:rPr>
          <w:lang w:val="lv-LV"/>
        </w:rPr>
        <w:t xml:space="preserve"> </w:t>
      </w:r>
      <w:r w:rsidR="00920441" w:rsidRPr="00DA7817">
        <w:rPr>
          <w:lang w:val="lv-LV"/>
        </w:rPr>
        <w:t>un pārskatām</w:t>
      </w:r>
      <w:r w:rsidR="00920441" w:rsidRPr="00DA7817">
        <w:rPr>
          <w:lang w:val="lv-LV"/>
        </w:rPr>
        <w:t>u</w:t>
      </w:r>
      <w:r w:rsidR="00920441" w:rsidRPr="00DA7817">
        <w:rPr>
          <w:lang w:val="lv-LV"/>
        </w:rPr>
        <w:t xml:space="preserve"> darbības uzraudzīb</w:t>
      </w:r>
      <w:r w:rsidR="00920441" w:rsidRPr="00DA7817">
        <w:rPr>
          <w:lang w:val="lv-LV"/>
        </w:rPr>
        <w:t>u</w:t>
      </w:r>
      <w:r w:rsidR="00920441" w:rsidRPr="00DA7817">
        <w:rPr>
          <w:lang w:val="lv-LV"/>
        </w:rPr>
        <w:t>, kas ļauj savlaicīgi identificēt problēmas, traucējumus un drošības incidentus?</w:t>
      </w:r>
    </w:p>
    <w:p w14:paraId="3536C5B7" w14:textId="60374906" w:rsidR="00B822C0" w:rsidRPr="00DA7817" w:rsidRDefault="002A2BE0" w:rsidP="00920441">
      <w:pPr>
        <w:pStyle w:val="ListParagraph"/>
        <w:numPr>
          <w:ilvl w:val="0"/>
          <w:numId w:val="33"/>
        </w:numPr>
        <w:rPr>
          <w:lang w:val="lv-LV"/>
        </w:rPr>
      </w:pPr>
      <w:r w:rsidRPr="00DA7817">
        <w:rPr>
          <w:lang w:val="lv-LV"/>
        </w:rPr>
        <w:t>TPK</w:t>
      </w:r>
      <w:r w:rsidRPr="00DA7817">
        <w:rPr>
          <w:lang w:val="lv-LV"/>
        </w:rPr>
        <w:t xml:space="preserve">8. </w:t>
      </w:r>
      <w:r w:rsidR="00006999" w:rsidRPr="00DA7817">
        <w:rPr>
          <w:lang w:val="lv-LV"/>
        </w:rPr>
        <w:t>Vai IKT infrastruktūr</w:t>
      </w:r>
      <w:r w:rsidR="00006999" w:rsidRPr="00DA7817">
        <w:rPr>
          <w:lang w:val="lv-LV"/>
        </w:rPr>
        <w:t>a</w:t>
      </w:r>
      <w:r w:rsidR="00006999" w:rsidRPr="00DA7817">
        <w:rPr>
          <w:lang w:val="lv-LV"/>
        </w:rPr>
        <w:t xml:space="preserve"> ir projektēta tā, lai tā nodrošinātu nepārtrauktu darbību un ātru atjaunošanos pēc drošības incidentiem?</w:t>
      </w:r>
    </w:p>
    <w:p w14:paraId="0AD94ABC" w14:textId="5380D9CA" w:rsidR="00992610" w:rsidRDefault="00992610" w:rsidP="00992610">
      <w:pPr>
        <w:rPr>
          <w:lang w:val="lv-LV"/>
        </w:rPr>
      </w:pPr>
    </w:p>
    <w:p w14:paraId="5FD00D37" w14:textId="542A2D15" w:rsidR="00A865E5" w:rsidRDefault="00BC4016" w:rsidP="00372307">
      <w:pPr>
        <w:pStyle w:val="Heading2"/>
        <w:rPr>
          <w:lang w:val="lv-LV"/>
        </w:rPr>
      </w:pPr>
      <w:r w:rsidRPr="00E2406D">
        <w:rPr>
          <w:rFonts w:ascii="Times New Roman" w:hAnsi="Times New Roman" w:cs="Times New Roman"/>
          <w:noProof/>
          <w:sz w:val="22"/>
          <w:szCs w:val="22"/>
          <w:lang w:val="lv-LV"/>
        </w:rPr>
        <w:lastRenderedPageBreak/>
        <w:drawing>
          <wp:anchor distT="0" distB="0" distL="114300" distR="114300" simplePos="0" relativeHeight="251658277" behindDoc="0" locked="0" layoutInCell="1" allowOverlap="1" wp14:anchorId="03C2F421" wp14:editId="1D9B324A">
            <wp:simplePos x="0" y="0"/>
            <wp:positionH relativeFrom="margin">
              <wp:posOffset>88900</wp:posOffset>
            </wp:positionH>
            <wp:positionV relativeFrom="paragraph">
              <wp:posOffset>628650</wp:posOffset>
            </wp:positionV>
            <wp:extent cx="427990" cy="427990"/>
            <wp:effectExtent l="0" t="0" r="0" b="0"/>
            <wp:wrapSquare wrapText="bothSides"/>
            <wp:docPr id="2006237118"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992610">
        <w:rPr>
          <w:lang w:val="lv-LV"/>
        </w:rPr>
        <w:t>TP</w:t>
      </w:r>
      <w:r w:rsidR="00840FB1">
        <w:rPr>
          <w:lang w:val="lv-LV"/>
        </w:rPr>
        <w:t>5</w:t>
      </w:r>
      <w:r w:rsidR="00992610">
        <w:rPr>
          <w:lang w:val="lv-LV"/>
        </w:rPr>
        <w:t xml:space="preserve">. </w:t>
      </w:r>
      <w:r w:rsidR="00992610" w:rsidRPr="00992610">
        <w:rPr>
          <w:lang w:val="lv-LV"/>
        </w:rPr>
        <w:t xml:space="preserve"> </w:t>
      </w:r>
      <w:r w:rsidR="00C84548">
        <w:rPr>
          <w:lang w:val="lv-LV"/>
        </w:rPr>
        <w:t>Projektēt m</w:t>
      </w:r>
      <w:r w:rsidR="00992610">
        <w:rPr>
          <w:lang w:val="lv-LV"/>
        </w:rPr>
        <w:t>odul</w:t>
      </w:r>
      <w:r w:rsidR="00C84548">
        <w:rPr>
          <w:lang w:val="lv-LV"/>
        </w:rPr>
        <w:t>ārus</w:t>
      </w:r>
      <w:r w:rsidR="00EA5C02">
        <w:rPr>
          <w:lang w:val="lv-LV"/>
        </w:rPr>
        <w:t xml:space="preserve">, </w:t>
      </w:r>
      <w:r w:rsidR="00992610">
        <w:rPr>
          <w:lang w:val="lv-LV"/>
        </w:rPr>
        <w:t>servisu orientēt</w:t>
      </w:r>
      <w:r w:rsidR="00C84548">
        <w:rPr>
          <w:lang w:val="lv-LV"/>
        </w:rPr>
        <w:t>us risinājumus ar</w:t>
      </w:r>
      <w:r w:rsidR="00A620B1">
        <w:rPr>
          <w:lang w:val="lv-LV"/>
        </w:rPr>
        <w:t xml:space="preserve"> atvērt</w:t>
      </w:r>
      <w:r w:rsidR="00C84548">
        <w:rPr>
          <w:lang w:val="lv-LV"/>
        </w:rPr>
        <w:t xml:space="preserve">ām </w:t>
      </w:r>
      <w:r w:rsidR="00A620B1">
        <w:rPr>
          <w:lang w:val="lv-LV"/>
        </w:rPr>
        <w:t>lietojumprogrammu</w:t>
      </w:r>
      <w:r>
        <w:rPr>
          <w:lang w:val="lv-LV"/>
        </w:rPr>
        <w:t xml:space="preserve"> </w:t>
      </w:r>
      <w:proofErr w:type="spellStart"/>
      <w:r w:rsidR="00A620B1">
        <w:rPr>
          <w:lang w:val="lv-LV"/>
        </w:rPr>
        <w:t>saskarn</w:t>
      </w:r>
      <w:r w:rsidR="00C84548">
        <w:rPr>
          <w:lang w:val="lv-LV"/>
        </w:rPr>
        <w:t>ēm</w:t>
      </w:r>
      <w:proofErr w:type="spellEnd"/>
      <w:r w:rsidR="00C84548">
        <w:rPr>
          <w:lang w:val="lv-LV"/>
        </w:rPr>
        <w:t xml:space="preserve"> </w:t>
      </w:r>
    </w:p>
    <w:p w14:paraId="1DFB8E61" w14:textId="7A79D4DE" w:rsidR="00A865E5" w:rsidRDefault="00BC4016" w:rsidP="00502D87">
      <w:pPr>
        <w:pStyle w:val="ListBullet"/>
        <w:numPr>
          <w:ilvl w:val="0"/>
          <w:numId w:val="0"/>
        </w:numPr>
        <w:spacing w:line="247" w:lineRule="auto"/>
        <w:jc w:val="both"/>
        <w:rPr>
          <w:lang w:val="lv-LV"/>
        </w:rPr>
      </w:pPr>
      <w:r w:rsidRPr="00E2406D">
        <w:rPr>
          <w:noProof/>
          <w:lang w:val="lv-LV"/>
        </w:rPr>
        <mc:AlternateContent>
          <mc:Choice Requires="wps">
            <w:drawing>
              <wp:anchor distT="0" distB="0" distL="114300" distR="114300" simplePos="0" relativeHeight="251658276" behindDoc="0" locked="0" layoutInCell="1" allowOverlap="1" wp14:anchorId="107994B6" wp14:editId="3F981EBB">
                <wp:simplePos x="0" y="0"/>
                <wp:positionH relativeFrom="column">
                  <wp:posOffset>0</wp:posOffset>
                </wp:positionH>
                <wp:positionV relativeFrom="paragraph">
                  <wp:posOffset>10795</wp:posOffset>
                </wp:positionV>
                <wp:extent cx="1828800" cy="1828800"/>
                <wp:effectExtent l="0" t="0" r="8890" b="10795"/>
                <wp:wrapTopAndBottom/>
                <wp:docPr id="126744934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5E65D58" w14:textId="77777777" w:rsidR="00CF63DE" w:rsidRDefault="00EB5543" w:rsidP="00CF63DE">
                            <w:pPr>
                              <w:pStyle w:val="ListParagraph"/>
                              <w:jc w:val="both"/>
                              <w:rPr>
                                <w:lang w:val="lv-LV"/>
                              </w:rPr>
                            </w:pPr>
                            <w:r>
                              <w:rPr>
                                <w:lang w:val="lv-LV"/>
                              </w:rPr>
                              <w:t xml:space="preserve">IKT risinājumu arhitektūrā jāpiemēro modularitāte, servisu </w:t>
                            </w:r>
                            <w:proofErr w:type="spellStart"/>
                            <w:r>
                              <w:rPr>
                                <w:lang w:val="lv-LV"/>
                              </w:rPr>
                              <w:t>orientētība</w:t>
                            </w:r>
                            <w:proofErr w:type="spellEnd"/>
                            <w:r>
                              <w:rPr>
                                <w:lang w:val="lv-LV"/>
                              </w:rPr>
                              <w:t xml:space="preserve"> un jānodrošina atvērtas lietojumprogrammu </w:t>
                            </w:r>
                            <w:proofErr w:type="spellStart"/>
                            <w:r>
                              <w:rPr>
                                <w:lang w:val="lv-LV"/>
                              </w:rPr>
                              <w:t>saskarnes</w:t>
                            </w:r>
                            <w:proofErr w:type="spellEnd"/>
                            <w:r>
                              <w:rPr>
                                <w:lang w:val="lv-LV"/>
                              </w:rPr>
                              <w:t xml:space="preserve"> </w:t>
                            </w:r>
                            <w:r w:rsidRPr="008E0F57">
                              <w:rPr>
                                <w:i/>
                                <w:iCs/>
                                <w:lang w:val="lv-LV"/>
                              </w:rPr>
                              <w:t xml:space="preserve">(API First). </w:t>
                            </w:r>
                          </w:p>
                          <w:p w14:paraId="160AF85D" w14:textId="00ADECC3" w:rsidR="00A0624A" w:rsidRPr="00CF63DE" w:rsidRDefault="00BC4016" w:rsidP="00CF63DE">
                            <w:pPr>
                              <w:ind w:left="709"/>
                              <w:jc w:val="both"/>
                              <w:rPr>
                                <w:lang w:val="lv-LV"/>
                              </w:rPr>
                            </w:pPr>
                            <w:r w:rsidRPr="00CF63DE">
                              <w:rPr>
                                <w:lang w:val="lv-LV"/>
                              </w:rPr>
                              <w:t xml:space="preserve">Modularitāte ir vienota elastīga un vieglāka pārvaldība sistēmu un risinājumu struktūra, kas veidota no neatkarīgiem un savstarpēji aizvietojamiem moduļiem. Modularitāte padara IKT </w:t>
                            </w:r>
                            <w:r w:rsidR="00BF7E69">
                              <w:rPr>
                                <w:lang w:val="lv-LV"/>
                              </w:rPr>
                              <w:t>risinājumus</w:t>
                            </w:r>
                            <w:r w:rsidRPr="00CF63DE">
                              <w:rPr>
                                <w:lang w:val="lv-LV"/>
                              </w:rPr>
                              <w:t xml:space="preserve"> elastīgāku</w:t>
                            </w:r>
                            <w:r w:rsidR="00BF7E69">
                              <w:rPr>
                                <w:lang w:val="lv-LV"/>
                              </w:rPr>
                              <w:t>s</w:t>
                            </w:r>
                            <w:r w:rsidRPr="00CF63DE">
                              <w:rPr>
                                <w:lang w:val="lv-LV"/>
                              </w:rPr>
                              <w:t>, pielāgojamāku</w:t>
                            </w:r>
                            <w:r w:rsidR="00BF7E69">
                              <w:rPr>
                                <w:lang w:val="lv-LV"/>
                              </w:rPr>
                              <w:t>s</w:t>
                            </w:r>
                            <w:r w:rsidRPr="00CF63DE">
                              <w:rPr>
                                <w:lang w:val="lv-LV"/>
                              </w:rPr>
                              <w:t>, vairākkārt izmantojamu</w:t>
                            </w:r>
                            <w:r w:rsidR="00BF7E69">
                              <w:rPr>
                                <w:lang w:val="lv-LV"/>
                              </w:rPr>
                              <w:t>s</w:t>
                            </w:r>
                            <w:r w:rsidRPr="00CF63DE">
                              <w:rPr>
                                <w:lang w:val="lv-LV"/>
                              </w:rPr>
                              <w:t xml:space="preserve"> un uzturēšanai draudzīgāku</w:t>
                            </w:r>
                            <w:r w:rsidR="00BF7E69">
                              <w:rPr>
                                <w:lang w:val="lv-LV"/>
                              </w:rPr>
                              <w:t>s</w:t>
                            </w:r>
                            <w:r w:rsidRPr="00CF63DE">
                              <w:rPr>
                                <w:lang w:val="lv-LV"/>
                              </w:rPr>
                              <w:t>, kas palīdz veidot ilgtermiņā ilgtspējīgus un drošus risinājumus.</w:t>
                            </w:r>
                          </w:p>
                          <w:p w14:paraId="1B741977" w14:textId="591A0C3B" w:rsidR="00CF63DE" w:rsidRDefault="00A0624A" w:rsidP="00CF63DE">
                            <w:pPr>
                              <w:pStyle w:val="ListParagraph"/>
                              <w:jc w:val="both"/>
                            </w:pPr>
                            <w:r>
                              <w:rPr>
                                <w:lang w:val="lv-LV"/>
                              </w:rPr>
                              <w:t xml:space="preserve">Servisu </w:t>
                            </w:r>
                            <w:proofErr w:type="spellStart"/>
                            <w:r>
                              <w:rPr>
                                <w:lang w:val="lv-LV"/>
                              </w:rPr>
                              <w:t>orientētība</w:t>
                            </w:r>
                            <w:proofErr w:type="spellEnd"/>
                            <w:r>
                              <w:rPr>
                                <w:lang w:val="lv-LV"/>
                              </w:rPr>
                              <w:t xml:space="preserve"> </w:t>
                            </w:r>
                            <w:r w:rsidRPr="00A0624A">
                              <w:rPr>
                                <w:lang w:val="lv-LV"/>
                              </w:rPr>
                              <w:t xml:space="preserve">ir arhitektūras </w:t>
                            </w:r>
                            <w:r w:rsidR="00C56D00">
                              <w:rPr>
                                <w:lang w:val="lv-LV"/>
                              </w:rPr>
                              <w:t>veids</w:t>
                            </w:r>
                            <w:r w:rsidRPr="00A0624A">
                              <w:rPr>
                                <w:lang w:val="lv-LV"/>
                              </w:rPr>
                              <w:t>, kur sistēma tiek veidota, izmantojot mazus, neatkarīgus pakalpojumus, kuri mijiedarbojas, lai izpildītu kopēju mērķi.</w:t>
                            </w:r>
                            <w:r>
                              <w:rPr>
                                <w:lang w:val="lv-LV"/>
                              </w:rPr>
                              <w:t xml:space="preserve"> </w:t>
                            </w:r>
                            <w:proofErr w:type="spellStart"/>
                            <w:r>
                              <w:rPr>
                                <w:lang w:val="lv-LV"/>
                              </w:rPr>
                              <w:t>Mikroservisu</w:t>
                            </w:r>
                            <w:proofErr w:type="spellEnd"/>
                            <w:r>
                              <w:rPr>
                                <w:lang w:val="lv-LV"/>
                              </w:rPr>
                              <w:t xml:space="preserve"> arhitektūra </w:t>
                            </w:r>
                            <w:proofErr w:type="spellStart"/>
                            <w:r w:rsidRPr="00A0624A">
                              <w:t>ir</w:t>
                            </w:r>
                            <w:proofErr w:type="spellEnd"/>
                            <w:r w:rsidRPr="00A0624A">
                              <w:t xml:space="preserve"> </w:t>
                            </w:r>
                            <w:proofErr w:type="spellStart"/>
                            <w:r w:rsidRPr="00A0624A">
                              <w:t>pieeja</w:t>
                            </w:r>
                            <w:proofErr w:type="spellEnd"/>
                            <w:r w:rsidRPr="00A0624A">
                              <w:t xml:space="preserve"> </w:t>
                            </w:r>
                            <w:proofErr w:type="spellStart"/>
                            <w:r w:rsidRPr="00A0624A">
                              <w:t>sistēmas</w:t>
                            </w:r>
                            <w:proofErr w:type="spellEnd"/>
                            <w:r w:rsidRPr="00A0624A">
                              <w:t xml:space="preserve"> </w:t>
                            </w:r>
                            <w:proofErr w:type="spellStart"/>
                            <w:r w:rsidRPr="00A0624A">
                              <w:t>izstrādei</w:t>
                            </w:r>
                            <w:proofErr w:type="spellEnd"/>
                            <w:r w:rsidRPr="00A0624A">
                              <w:t xml:space="preserve">, </w:t>
                            </w:r>
                            <w:proofErr w:type="spellStart"/>
                            <w:r w:rsidRPr="00A0624A">
                              <w:t>kurā</w:t>
                            </w:r>
                            <w:proofErr w:type="spellEnd"/>
                            <w:r w:rsidRPr="00A0624A">
                              <w:t xml:space="preserve"> </w:t>
                            </w:r>
                            <w:proofErr w:type="spellStart"/>
                            <w:r w:rsidRPr="00A0624A">
                              <w:t>monolīta</w:t>
                            </w:r>
                            <w:proofErr w:type="spellEnd"/>
                            <w:r w:rsidRPr="00A0624A">
                              <w:t xml:space="preserve"> </w:t>
                            </w:r>
                            <w:proofErr w:type="spellStart"/>
                            <w:r w:rsidRPr="00A0624A">
                              <w:t>lietojumprogramma</w:t>
                            </w:r>
                            <w:proofErr w:type="spellEnd"/>
                            <w:r w:rsidRPr="00A0624A">
                              <w:t xml:space="preserve"> </w:t>
                            </w:r>
                            <w:proofErr w:type="spellStart"/>
                            <w:r w:rsidRPr="00A0624A">
                              <w:t>tiek</w:t>
                            </w:r>
                            <w:proofErr w:type="spellEnd"/>
                            <w:r w:rsidRPr="00A0624A">
                              <w:t xml:space="preserve"> </w:t>
                            </w:r>
                            <w:proofErr w:type="spellStart"/>
                            <w:r w:rsidRPr="00A0624A">
                              <w:t>sadalīta</w:t>
                            </w:r>
                            <w:proofErr w:type="spellEnd"/>
                            <w:r w:rsidRPr="00A0624A">
                              <w:t xml:space="preserve"> </w:t>
                            </w:r>
                            <w:proofErr w:type="spellStart"/>
                            <w:r w:rsidRPr="00A0624A">
                              <w:t>vairākos</w:t>
                            </w:r>
                            <w:proofErr w:type="spellEnd"/>
                            <w:r w:rsidRPr="00A0624A">
                              <w:t xml:space="preserve"> </w:t>
                            </w:r>
                            <w:proofErr w:type="spellStart"/>
                            <w:r w:rsidRPr="00A0624A">
                              <w:t>mazos</w:t>
                            </w:r>
                            <w:proofErr w:type="spellEnd"/>
                            <w:r w:rsidRPr="00A0624A">
                              <w:t xml:space="preserve">, </w:t>
                            </w:r>
                            <w:proofErr w:type="spellStart"/>
                            <w:r w:rsidRPr="00A0624A">
                              <w:t>autonomos</w:t>
                            </w:r>
                            <w:proofErr w:type="spellEnd"/>
                            <w:r w:rsidRPr="00A0624A">
                              <w:t xml:space="preserve"> </w:t>
                            </w:r>
                            <w:proofErr w:type="spellStart"/>
                            <w:r w:rsidRPr="00A0624A">
                              <w:t>servis</w:t>
                            </w:r>
                            <w:r>
                              <w:t>os</w:t>
                            </w:r>
                            <w:proofErr w:type="spellEnd"/>
                            <w:r>
                              <w:t xml:space="preserve"> </w:t>
                            </w:r>
                            <w:r w:rsidRPr="00A0624A">
                              <w:t>(</w:t>
                            </w:r>
                            <w:proofErr w:type="spellStart"/>
                            <w:r w:rsidRPr="00A0624A">
                              <w:t>mikroservisos</w:t>
                            </w:r>
                            <w:proofErr w:type="spellEnd"/>
                            <w:r w:rsidRPr="00A0624A">
                              <w:t xml:space="preserve">). Katrs </w:t>
                            </w:r>
                            <w:proofErr w:type="spellStart"/>
                            <w:r w:rsidRPr="00A0624A">
                              <w:t>serviss</w:t>
                            </w:r>
                            <w:proofErr w:type="spellEnd"/>
                            <w:r w:rsidRPr="00A0624A">
                              <w:t xml:space="preserve"> </w:t>
                            </w:r>
                            <w:proofErr w:type="spellStart"/>
                            <w:r w:rsidRPr="00A0624A">
                              <w:t>koncentrējas</w:t>
                            </w:r>
                            <w:proofErr w:type="spellEnd"/>
                            <w:r w:rsidRPr="00A0624A">
                              <w:t xml:space="preserve"> </w:t>
                            </w:r>
                            <w:proofErr w:type="spellStart"/>
                            <w:r w:rsidRPr="00A0624A">
                              <w:t>uz</w:t>
                            </w:r>
                            <w:proofErr w:type="spellEnd"/>
                            <w:r w:rsidRPr="00A0624A">
                              <w:t xml:space="preserve"> </w:t>
                            </w:r>
                            <w:proofErr w:type="spellStart"/>
                            <w:r w:rsidRPr="00A0624A">
                              <w:t>konkrētu</w:t>
                            </w:r>
                            <w:proofErr w:type="spellEnd"/>
                            <w:r w:rsidRPr="00A0624A">
                              <w:t xml:space="preserve"> </w:t>
                            </w:r>
                            <w:proofErr w:type="spellStart"/>
                            <w:r w:rsidRPr="00A0624A">
                              <w:t>biznesa</w:t>
                            </w:r>
                            <w:proofErr w:type="spellEnd"/>
                            <w:r w:rsidRPr="00A0624A">
                              <w:t xml:space="preserve"> </w:t>
                            </w:r>
                            <w:proofErr w:type="spellStart"/>
                            <w:r w:rsidRPr="00A0624A">
                              <w:t>funkciju</w:t>
                            </w:r>
                            <w:proofErr w:type="spellEnd"/>
                            <w:r w:rsidRPr="00A0624A">
                              <w:t xml:space="preserve">, </w:t>
                            </w:r>
                            <w:proofErr w:type="spellStart"/>
                            <w:r w:rsidRPr="00A0624A">
                              <w:t>darbojas</w:t>
                            </w:r>
                            <w:proofErr w:type="spellEnd"/>
                            <w:r w:rsidRPr="00A0624A">
                              <w:t xml:space="preserve"> </w:t>
                            </w:r>
                            <w:proofErr w:type="spellStart"/>
                            <w:r w:rsidRPr="00A0624A">
                              <w:t>neatkarīgi</w:t>
                            </w:r>
                            <w:proofErr w:type="spellEnd"/>
                            <w:r w:rsidRPr="00A0624A">
                              <w:t xml:space="preserve"> un </w:t>
                            </w:r>
                            <w:proofErr w:type="spellStart"/>
                            <w:r w:rsidRPr="00A0624A">
                              <w:t>savstarpēji</w:t>
                            </w:r>
                            <w:proofErr w:type="spellEnd"/>
                            <w:r w:rsidRPr="00A0624A">
                              <w:t xml:space="preserve"> </w:t>
                            </w:r>
                            <w:proofErr w:type="spellStart"/>
                            <w:r w:rsidRPr="00A0624A">
                              <w:t>sadarbojas</w:t>
                            </w:r>
                            <w:proofErr w:type="spellEnd"/>
                            <w:r w:rsidRPr="00A0624A">
                              <w:t xml:space="preserve">, </w:t>
                            </w:r>
                            <w:proofErr w:type="spellStart"/>
                            <w:r w:rsidRPr="00A0624A">
                              <w:t>izmantojot</w:t>
                            </w:r>
                            <w:proofErr w:type="spellEnd"/>
                            <w:r w:rsidRPr="00A0624A">
                              <w:t xml:space="preserve"> </w:t>
                            </w:r>
                            <w:proofErr w:type="spellStart"/>
                            <w:r w:rsidRPr="00A0624A">
                              <w:t>standartizētas</w:t>
                            </w:r>
                            <w:proofErr w:type="spellEnd"/>
                            <w:r w:rsidRPr="00A0624A">
                              <w:t xml:space="preserve"> </w:t>
                            </w:r>
                            <w:proofErr w:type="spellStart"/>
                            <w:r w:rsidRPr="00A0624A">
                              <w:t>saskarnes</w:t>
                            </w:r>
                            <w:proofErr w:type="spellEnd"/>
                            <w:r w:rsidRPr="00A0624A">
                              <w:t xml:space="preserve">, </w:t>
                            </w:r>
                            <w:proofErr w:type="spellStart"/>
                            <w:r w:rsidRPr="00A0624A">
                              <w:t>piemēram</w:t>
                            </w:r>
                            <w:proofErr w:type="spellEnd"/>
                            <w:r w:rsidRPr="00A0624A">
                              <w:t>, API.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7994B6" id="_x0000_s1045" type="#_x0000_t202" style="position:absolute;left:0;text-align:left;margin-left:0;margin-top:.85pt;width:2in;height:2in;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" fillcolor="white [3201]" strokecolor="#196b24 [3206]" strokeweight="1pt">
                <v:textbox style="mso-fit-shape-to-text:t">
                  <w:txbxContent>
                    <w:p w14:paraId="65E65D58" w14:textId="77777777" w:rsidR="00CF63DE" w:rsidRDefault="00EB5543" w:rsidP="00CF63DE">
                      <w:pPr>
                        <w:pStyle w:val="ListParagraph"/>
                        <w:jc w:val="both"/>
                        <w:rPr>
                          <w:lang w:val="lv-LV"/>
                        </w:rPr>
                      </w:pPr>
                      <w:r>
                        <w:rPr>
                          <w:lang w:val="lv-LV"/>
                        </w:rPr>
                        <w:t xml:space="preserve">IKT risinājumu arhitektūrā jāpiemēro modularitāte, servisu </w:t>
                      </w:r>
                      <w:proofErr w:type="spellStart"/>
                      <w:r>
                        <w:rPr>
                          <w:lang w:val="lv-LV"/>
                        </w:rPr>
                        <w:t>orientētība</w:t>
                      </w:r>
                      <w:proofErr w:type="spellEnd"/>
                      <w:r>
                        <w:rPr>
                          <w:lang w:val="lv-LV"/>
                        </w:rPr>
                        <w:t xml:space="preserve"> un jānodrošina atvērtas lietojumprogrammu </w:t>
                      </w:r>
                      <w:proofErr w:type="spellStart"/>
                      <w:r>
                        <w:rPr>
                          <w:lang w:val="lv-LV"/>
                        </w:rPr>
                        <w:t>saskarnes</w:t>
                      </w:r>
                      <w:proofErr w:type="spellEnd"/>
                      <w:r>
                        <w:rPr>
                          <w:lang w:val="lv-LV"/>
                        </w:rPr>
                        <w:t xml:space="preserve"> </w:t>
                      </w:r>
                      <w:r w:rsidRPr="008E0F57">
                        <w:rPr>
                          <w:i/>
                          <w:iCs/>
                          <w:lang w:val="lv-LV"/>
                        </w:rPr>
                        <w:t xml:space="preserve">(API First). </w:t>
                      </w:r>
                    </w:p>
                    <w:p w14:paraId="160AF85D" w14:textId="00ADECC3" w:rsidR="00A0624A" w:rsidRPr="00CF63DE" w:rsidRDefault="00BC4016" w:rsidP="00CF63DE">
                      <w:pPr>
                        <w:ind w:left="709"/>
                        <w:jc w:val="both"/>
                        <w:rPr>
                          <w:lang w:val="lv-LV"/>
                        </w:rPr>
                      </w:pPr>
                      <w:r w:rsidRPr="00CF63DE">
                        <w:rPr>
                          <w:lang w:val="lv-LV"/>
                        </w:rPr>
                        <w:t xml:space="preserve">Modularitāte ir vienota elastīga un vieglāka pārvaldība sistēmu un risinājumu struktūra, kas veidota no neatkarīgiem un savstarpēji aizvietojamiem moduļiem. Modularitāte padara IKT </w:t>
                      </w:r>
                      <w:r w:rsidR="00BF7E69">
                        <w:rPr>
                          <w:lang w:val="lv-LV"/>
                        </w:rPr>
                        <w:t>risinājumus</w:t>
                      </w:r>
                      <w:r w:rsidRPr="00CF63DE">
                        <w:rPr>
                          <w:lang w:val="lv-LV"/>
                        </w:rPr>
                        <w:t xml:space="preserve"> elastīgāku</w:t>
                      </w:r>
                      <w:r w:rsidR="00BF7E69">
                        <w:rPr>
                          <w:lang w:val="lv-LV"/>
                        </w:rPr>
                        <w:t>s</w:t>
                      </w:r>
                      <w:r w:rsidRPr="00CF63DE">
                        <w:rPr>
                          <w:lang w:val="lv-LV"/>
                        </w:rPr>
                        <w:t>, pielāgojamāku</w:t>
                      </w:r>
                      <w:r w:rsidR="00BF7E69">
                        <w:rPr>
                          <w:lang w:val="lv-LV"/>
                        </w:rPr>
                        <w:t>s</w:t>
                      </w:r>
                      <w:r w:rsidRPr="00CF63DE">
                        <w:rPr>
                          <w:lang w:val="lv-LV"/>
                        </w:rPr>
                        <w:t>, vairākkārt izmantojamu</w:t>
                      </w:r>
                      <w:r w:rsidR="00BF7E69">
                        <w:rPr>
                          <w:lang w:val="lv-LV"/>
                        </w:rPr>
                        <w:t>s</w:t>
                      </w:r>
                      <w:r w:rsidRPr="00CF63DE">
                        <w:rPr>
                          <w:lang w:val="lv-LV"/>
                        </w:rPr>
                        <w:t xml:space="preserve"> un uzturēšanai draudzīgāku</w:t>
                      </w:r>
                      <w:r w:rsidR="00BF7E69">
                        <w:rPr>
                          <w:lang w:val="lv-LV"/>
                        </w:rPr>
                        <w:t>s</w:t>
                      </w:r>
                      <w:r w:rsidRPr="00CF63DE">
                        <w:rPr>
                          <w:lang w:val="lv-LV"/>
                        </w:rPr>
                        <w:t>, kas palīdz veidot ilgtermiņā ilgtspējīgus un drošus risinājumus.</w:t>
                      </w:r>
                    </w:p>
                    <w:p w14:paraId="1B741977" w14:textId="591A0C3B" w:rsidR="00CF63DE" w:rsidRDefault="00A0624A" w:rsidP="00CF63DE">
                      <w:pPr>
                        <w:pStyle w:val="ListParagraph"/>
                        <w:jc w:val="both"/>
                      </w:pPr>
                      <w:r>
                        <w:rPr>
                          <w:lang w:val="lv-LV"/>
                        </w:rPr>
                        <w:t xml:space="preserve">Servisu </w:t>
                      </w:r>
                      <w:proofErr w:type="spellStart"/>
                      <w:r>
                        <w:rPr>
                          <w:lang w:val="lv-LV"/>
                        </w:rPr>
                        <w:t>orientētība</w:t>
                      </w:r>
                      <w:proofErr w:type="spellEnd"/>
                      <w:r>
                        <w:rPr>
                          <w:lang w:val="lv-LV"/>
                        </w:rPr>
                        <w:t xml:space="preserve"> </w:t>
                      </w:r>
                      <w:r w:rsidRPr="00A0624A">
                        <w:rPr>
                          <w:lang w:val="lv-LV"/>
                        </w:rPr>
                        <w:t xml:space="preserve">ir arhitektūras </w:t>
                      </w:r>
                      <w:r w:rsidR="00C56D00">
                        <w:rPr>
                          <w:lang w:val="lv-LV"/>
                        </w:rPr>
                        <w:t>veids</w:t>
                      </w:r>
                      <w:r w:rsidRPr="00A0624A">
                        <w:rPr>
                          <w:lang w:val="lv-LV"/>
                        </w:rPr>
                        <w:t>, kur sistēma tiek veidota, izmantojot mazus, neatkarīgus pakalpojumus, kuri mijiedarbojas, lai izpildītu kopēju mērķi.</w:t>
                      </w:r>
                      <w:r>
                        <w:rPr>
                          <w:lang w:val="lv-LV"/>
                        </w:rPr>
                        <w:t xml:space="preserve"> </w:t>
                      </w:r>
                      <w:proofErr w:type="spellStart"/>
                      <w:r>
                        <w:rPr>
                          <w:lang w:val="lv-LV"/>
                        </w:rPr>
                        <w:t>Mikroservisu</w:t>
                      </w:r>
                      <w:proofErr w:type="spellEnd"/>
                      <w:r>
                        <w:rPr>
                          <w:lang w:val="lv-LV"/>
                        </w:rPr>
                        <w:t xml:space="preserve"> arhitektūra </w:t>
                      </w:r>
                      <w:proofErr w:type="spellStart"/>
                      <w:r w:rsidRPr="00A0624A">
                        <w:t>ir</w:t>
                      </w:r>
                      <w:proofErr w:type="spellEnd"/>
                      <w:r w:rsidRPr="00A0624A">
                        <w:t xml:space="preserve"> </w:t>
                      </w:r>
                      <w:proofErr w:type="spellStart"/>
                      <w:r w:rsidRPr="00A0624A">
                        <w:t>pieeja</w:t>
                      </w:r>
                      <w:proofErr w:type="spellEnd"/>
                      <w:r w:rsidRPr="00A0624A">
                        <w:t xml:space="preserve"> </w:t>
                      </w:r>
                      <w:proofErr w:type="spellStart"/>
                      <w:r w:rsidRPr="00A0624A">
                        <w:t>sistēmas</w:t>
                      </w:r>
                      <w:proofErr w:type="spellEnd"/>
                      <w:r w:rsidRPr="00A0624A">
                        <w:t xml:space="preserve"> </w:t>
                      </w:r>
                      <w:proofErr w:type="spellStart"/>
                      <w:r w:rsidRPr="00A0624A">
                        <w:t>izstrādei</w:t>
                      </w:r>
                      <w:proofErr w:type="spellEnd"/>
                      <w:r w:rsidRPr="00A0624A">
                        <w:t xml:space="preserve">, </w:t>
                      </w:r>
                      <w:proofErr w:type="spellStart"/>
                      <w:r w:rsidRPr="00A0624A">
                        <w:t>kurā</w:t>
                      </w:r>
                      <w:proofErr w:type="spellEnd"/>
                      <w:r w:rsidRPr="00A0624A">
                        <w:t xml:space="preserve"> </w:t>
                      </w:r>
                      <w:proofErr w:type="spellStart"/>
                      <w:r w:rsidRPr="00A0624A">
                        <w:t>monolīta</w:t>
                      </w:r>
                      <w:proofErr w:type="spellEnd"/>
                      <w:r w:rsidRPr="00A0624A">
                        <w:t xml:space="preserve"> </w:t>
                      </w:r>
                      <w:proofErr w:type="spellStart"/>
                      <w:r w:rsidRPr="00A0624A">
                        <w:t>lietojumprogramma</w:t>
                      </w:r>
                      <w:proofErr w:type="spellEnd"/>
                      <w:r w:rsidRPr="00A0624A">
                        <w:t xml:space="preserve"> </w:t>
                      </w:r>
                      <w:proofErr w:type="spellStart"/>
                      <w:r w:rsidRPr="00A0624A">
                        <w:t>tiek</w:t>
                      </w:r>
                      <w:proofErr w:type="spellEnd"/>
                      <w:r w:rsidRPr="00A0624A">
                        <w:t xml:space="preserve"> </w:t>
                      </w:r>
                      <w:proofErr w:type="spellStart"/>
                      <w:r w:rsidRPr="00A0624A">
                        <w:t>sadalīta</w:t>
                      </w:r>
                      <w:proofErr w:type="spellEnd"/>
                      <w:r w:rsidRPr="00A0624A">
                        <w:t xml:space="preserve"> </w:t>
                      </w:r>
                      <w:proofErr w:type="spellStart"/>
                      <w:r w:rsidRPr="00A0624A">
                        <w:t>vairākos</w:t>
                      </w:r>
                      <w:proofErr w:type="spellEnd"/>
                      <w:r w:rsidRPr="00A0624A">
                        <w:t xml:space="preserve"> </w:t>
                      </w:r>
                      <w:proofErr w:type="spellStart"/>
                      <w:r w:rsidRPr="00A0624A">
                        <w:t>mazos</w:t>
                      </w:r>
                      <w:proofErr w:type="spellEnd"/>
                      <w:r w:rsidRPr="00A0624A">
                        <w:t xml:space="preserve">, </w:t>
                      </w:r>
                      <w:proofErr w:type="spellStart"/>
                      <w:r w:rsidRPr="00A0624A">
                        <w:t>autonomos</w:t>
                      </w:r>
                      <w:proofErr w:type="spellEnd"/>
                      <w:r w:rsidRPr="00A0624A">
                        <w:t xml:space="preserve"> </w:t>
                      </w:r>
                      <w:proofErr w:type="spellStart"/>
                      <w:r w:rsidRPr="00A0624A">
                        <w:t>servis</w:t>
                      </w:r>
                      <w:r>
                        <w:t>os</w:t>
                      </w:r>
                      <w:proofErr w:type="spellEnd"/>
                      <w:r>
                        <w:t xml:space="preserve"> </w:t>
                      </w:r>
                      <w:r w:rsidRPr="00A0624A">
                        <w:t>(</w:t>
                      </w:r>
                      <w:proofErr w:type="spellStart"/>
                      <w:r w:rsidRPr="00A0624A">
                        <w:t>mikroservisos</w:t>
                      </w:r>
                      <w:proofErr w:type="spellEnd"/>
                      <w:r w:rsidRPr="00A0624A">
                        <w:t xml:space="preserve">). Katrs </w:t>
                      </w:r>
                      <w:proofErr w:type="spellStart"/>
                      <w:r w:rsidRPr="00A0624A">
                        <w:t>serviss</w:t>
                      </w:r>
                      <w:proofErr w:type="spellEnd"/>
                      <w:r w:rsidRPr="00A0624A">
                        <w:t xml:space="preserve"> </w:t>
                      </w:r>
                      <w:proofErr w:type="spellStart"/>
                      <w:r w:rsidRPr="00A0624A">
                        <w:t>koncentrējas</w:t>
                      </w:r>
                      <w:proofErr w:type="spellEnd"/>
                      <w:r w:rsidRPr="00A0624A">
                        <w:t xml:space="preserve"> </w:t>
                      </w:r>
                      <w:proofErr w:type="spellStart"/>
                      <w:r w:rsidRPr="00A0624A">
                        <w:t>uz</w:t>
                      </w:r>
                      <w:proofErr w:type="spellEnd"/>
                      <w:r w:rsidRPr="00A0624A">
                        <w:t xml:space="preserve"> </w:t>
                      </w:r>
                      <w:proofErr w:type="spellStart"/>
                      <w:r w:rsidRPr="00A0624A">
                        <w:t>konkrētu</w:t>
                      </w:r>
                      <w:proofErr w:type="spellEnd"/>
                      <w:r w:rsidRPr="00A0624A">
                        <w:t xml:space="preserve"> </w:t>
                      </w:r>
                      <w:proofErr w:type="spellStart"/>
                      <w:r w:rsidRPr="00A0624A">
                        <w:t>biznesa</w:t>
                      </w:r>
                      <w:proofErr w:type="spellEnd"/>
                      <w:r w:rsidRPr="00A0624A">
                        <w:t xml:space="preserve"> </w:t>
                      </w:r>
                      <w:proofErr w:type="spellStart"/>
                      <w:r w:rsidRPr="00A0624A">
                        <w:t>funkciju</w:t>
                      </w:r>
                      <w:proofErr w:type="spellEnd"/>
                      <w:r w:rsidRPr="00A0624A">
                        <w:t xml:space="preserve">, </w:t>
                      </w:r>
                      <w:proofErr w:type="spellStart"/>
                      <w:r w:rsidRPr="00A0624A">
                        <w:t>darbojas</w:t>
                      </w:r>
                      <w:proofErr w:type="spellEnd"/>
                      <w:r w:rsidRPr="00A0624A">
                        <w:t xml:space="preserve"> </w:t>
                      </w:r>
                      <w:proofErr w:type="spellStart"/>
                      <w:r w:rsidRPr="00A0624A">
                        <w:t>neatkarīgi</w:t>
                      </w:r>
                      <w:proofErr w:type="spellEnd"/>
                      <w:r w:rsidRPr="00A0624A">
                        <w:t xml:space="preserve"> un </w:t>
                      </w:r>
                      <w:proofErr w:type="spellStart"/>
                      <w:r w:rsidRPr="00A0624A">
                        <w:t>savstarpēji</w:t>
                      </w:r>
                      <w:proofErr w:type="spellEnd"/>
                      <w:r w:rsidRPr="00A0624A">
                        <w:t xml:space="preserve"> </w:t>
                      </w:r>
                      <w:proofErr w:type="spellStart"/>
                      <w:r w:rsidRPr="00A0624A">
                        <w:t>sadarbojas</w:t>
                      </w:r>
                      <w:proofErr w:type="spellEnd"/>
                      <w:r w:rsidRPr="00A0624A">
                        <w:t xml:space="preserve">, </w:t>
                      </w:r>
                      <w:proofErr w:type="spellStart"/>
                      <w:r w:rsidRPr="00A0624A">
                        <w:t>izmantojot</w:t>
                      </w:r>
                      <w:proofErr w:type="spellEnd"/>
                      <w:r w:rsidRPr="00A0624A">
                        <w:t xml:space="preserve"> </w:t>
                      </w:r>
                      <w:proofErr w:type="spellStart"/>
                      <w:r w:rsidRPr="00A0624A">
                        <w:t>standartizētas</w:t>
                      </w:r>
                      <w:proofErr w:type="spellEnd"/>
                      <w:r w:rsidRPr="00A0624A">
                        <w:t xml:space="preserve"> </w:t>
                      </w:r>
                      <w:proofErr w:type="spellStart"/>
                      <w:r w:rsidRPr="00A0624A">
                        <w:t>saskarnes</w:t>
                      </w:r>
                      <w:proofErr w:type="spellEnd"/>
                      <w:r w:rsidRPr="00A0624A">
                        <w:t xml:space="preserve">, </w:t>
                      </w:r>
                      <w:proofErr w:type="spellStart"/>
                      <w:r w:rsidRPr="00A0624A">
                        <w:t>piemēram</w:t>
                      </w:r>
                      <w:proofErr w:type="spellEnd"/>
                      <w:r w:rsidRPr="00A0624A">
                        <w:t>, API.</w:t>
                      </w:r>
                    </w:p>
                  </w:txbxContent>
                </v:textbox>
                <w10:wrap type="topAndBottom"/>
              </v:shape>
            </w:pict>
          </mc:Fallback>
        </mc:AlternateContent>
      </w:r>
    </w:p>
    <w:p w14:paraId="41CFE54F" w14:textId="77777777" w:rsidR="00502D87" w:rsidRDefault="00502D87" w:rsidP="00502D87">
      <w:pPr>
        <w:rPr>
          <w:lang w:val="lv-LV"/>
        </w:rPr>
      </w:pPr>
      <w:r w:rsidRPr="00AE17B5">
        <w:rPr>
          <w:lang w:val="lv-LV"/>
        </w:rPr>
        <w:t>Piemērošanas vadlīnijas:</w:t>
      </w:r>
    </w:p>
    <w:p w14:paraId="2A2DB268" w14:textId="77777777" w:rsidR="00C70C3F" w:rsidRPr="009E65DD" w:rsidRDefault="00192890" w:rsidP="00C70C3F">
      <w:pPr>
        <w:pStyle w:val="ListParagraph"/>
        <w:numPr>
          <w:ilvl w:val="0"/>
          <w:numId w:val="34"/>
        </w:numPr>
        <w:rPr>
          <w:lang w:val="lv-LV"/>
        </w:rPr>
      </w:pPr>
      <w:r w:rsidRPr="009E65DD">
        <w:rPr>
          <w:lang w:val="lv-LV"/>
        </w:rPr>
        <w:t>Veidojiet modulārus un/vai servisu orientētus risinājumus</w:t>
      </w:r>
      <w:r w:rsidR="00C70C3F" w:rsidRPr="009E65DD">
        <w:rPr>
          <w:lang w:val="lv-LV"/>
        </w:rPr>
        <w:t>:</w:t>
      </w:r>
    </w:p>
    <w:p w14:paraId="44BE6C92" w14:textId="33F2B971" w:rsidR="00441363" w:rsidRPr="009E65DD" w:rsidRDefault="00C70C3F" w:rsidP="00F1262C">
      <w:pPr>
        <w:pStyle w:val="ListParagraph"/>
        <w:numPr>
          <w:ilvl w:val="1"/>
          <w:numId w:val="34"/>
        </w:numPr>
        <w:rPr>
          <w:lang w:val="lv-LV"/>
        </w:rPr>
      </w:pPr>
      <w:r w:rsidRPr="009E65DD">
        <w:rPr>
          <w:lang w:val="lv-LV"/>
        </w:rPr>
        <w:t>Veidojiet sistēmas no neatkarīgiem moduļiem, kas ir elastīgi, atkārtoti izmantojami un viegli uzturami.</w:t>
      </w:r>
      <w:r w:rsidR="00F1262C" w:rsidRPr="009E65DD">
        <w:rPr>
          <w:lang w:val="lv-LV"/>
        </w:rPr>
        <w:t xml:space="preserve"> </w:t>
      </w:r>
      <w:r w:rsidRPr="009E65DD">
        <w:rPr>
          <w:lang w:val="lv-LV"/>
        </w:rPr>
        <w:t>Nodrošiniet moduļu savietojamību ar standartizētiem protokoliem.</w:t>
      </w:r>
    </w:p>
    <w:p w14:paraId="60410EE2" w14:textId="15CC8944" w:rsidR="00F1262C" w:rsidRPr="009E65DD" w:rsidRDefault="00F1262C" w:rsidP="00F1262C">
      <w:pPr>
        <w:pStyle w:val="ListParagraph"/>
        <w:numPr>
          <w:ilvl w:val="1"/>
          <w:numId w:val="34"/>
        </w:numPr>
        <w:rPr>
          <w:lang w:val="lv-LV"/>
        </w:rPr>
      </w:pPr>
      <w:r w:rsidRPr="00F1262C">
        <w:rPr>
          <w:lang w:val="lv-LV"/>
        </w:rPr>
        <w:t xml:space="preserve">Izstrādājiet sistēmas, izmantojot neatkarīgus </w:t>
      </w:r>
      <w:proofErr w:type="spellStart"/>
      <w:r w:rsidRPr="00F1262C">
        <w:rPr>
          <w:lang w:val="lv-LV"/>
        </w:rPr>
        <w:t>mikroservisus</w:t>
      </w:r>
      <w:proofErr w:type="spellEnd"/>
      <w:r w:rsidRPr="00F1262C">
        <w:rPr>
          <w:lang w:val="lv-LV"/>
        </w:rPr>
        <w:t>, kas mijiedarbojas caur standartizētām API.</w:t>
      </w:r>
      <w:r w:rsidR="005A3C40" w:rsidRPr="009E65DD">
        <w:rPr>
          <w:lang w:val="lv-LV"/>
        </w:rPr>
        <w:t xml:space="preserve"> </w:t>
      </w:r>
      <w:r w:rsidRPr="009E65DD">
        <w:rPr>
          <w:lang w:val="lv-LV"/>
        </w:rPr>
        <w:t>Nodrošiniet, ka katrs serviss koncentrējas uz konkrētu biznesa funkciju.</w:t>
      </w:r>
    </w:p>
    <w:p w14:paraId="2F914905" w14:textId="44CEF6E8" w:rsidR="005A3C40" w:rsidRPr="009E65DD" w:rsidRDefault="005A3C40" w:rsidP="005A3C40">
      <w:pPr>
        <w:pStyle w:val="ListParagraph"/>
        <w:numPr>
          <w:ilvl w:val="0"/>
          <w:numId w:val="34"/>
        </w:numPr>
        <w:rPr>
          <w:lang w:val="lv-LV"/>
        </w:rPr>
      </w:pPr>
      <w:r w:rsidRPr="009E65DD">
        <w:rPr>
          <w:lang w:val="lv-LV"/>
        </w:rPr>
        <w:t>Primāri izstrādājiet atvērtas, standartizētas un labi dokumentētas API, kas veicina funkcionalitātes un datu pieejamīb</w:t>
      </w:r>
      <w:r w:rsidRPr="009E65DD">
        <w:rPr>
          <w:lang w:val="lv-LV"/>
        </w:rPr>
        <w:t xml:space="preserve">u. </w:t>
      </w:r>
    </w:p>
    <w:p w14:paraId="201AE198" w14:textId="77777777" w:rsidR="00502D87" w:rsidRDefault="00502D87" w:rsidP="00502D87">
      <w:pPr>
        <w:rPr>
          <w:lang w:val="lv-LV"/>
        </w:rPr>
      </w:pPr>
      <w:r w:rsidRPr="00C20AD0">
        <w:rPr>
          <w:lang w:val="lv-LV"/>
        </w:rPr>
        <w:t>Novērtēšanas vadlīnijas:</w:t>
      </w:r>
    </w:p>
    <w:p w14:paraId="46A68D31" w14:textId="2DC15B59" w:rsidR="00A94EB5" w:rsidRDefault="002A2BE0" w:rsidP="00A94EB5">
      <w:pPr>
        <w:pStyle w:val="ListParagraph"/>
        <w:numPr>
          <w:ilvl w:val="0"/>
          <w:numId w:val="11"/>
        </w:numPr>
        <w:jc w:val="both"/>
        <w:rPr>
          <w:lang w:val="lv-LV"/>
        </w:rPr>
      </w:pPr>
      <w:r>
        <w:rPr>
          <w:lang w:val="lv-LV"/>
        </w:rPr>
        <w:t>TPK</w:t>
      </w:r>
      <w:r w:rsidR="00E46D09">
        <w:rPr>
          <w:lang w:val="lv-LV"/>
        </w:rPr>
        <w:t>9</w:t>
      </w:r>
      <w:r>
        <w:rPr>
          <w:lang w:val="lv-LV"/>
        </w:rPr>
        <w:t xml:space="preserve">. </w:t>
      </w:r>
      <w:r w:rsidR="00A94EB5">
        <w:rPr>
          <w:lang w:val="lv-LV"/>
        </w:rPr>
        <w:t xml:space="preserve">Vai </w:t>
      </w:r>
      <w:proofErr w:type="spellStart"/>
      <w:r w:rsidR="00A94EB5">
        <w:rPr>
          <w:lang w:val="lv-LV"/>
        </w:rPr>
        <w:t>mērķarhitektūras</w:t>
      </w:r>
      <w:proofErr w:type="spellEnd"/>
      <w:r w:rsidR="00A94EB5">
        <w:rPr>
          <w:lang w:val="lv-LV"/>
        </w:rPr>
        <w:t xml:space="preserve"> </w:t>
      </w:r>
      <w:r w:rsidR="002550B1">
        <w:rPr>
          <w:lang w:val="lv-LV"/>
        </w:rPr>
        <w:t xml:space="preserve">IKT </w:t>
      </w:r>
      <w:r w:rsidR="00A94EB5">
        <w:rPr>
          <w:lang w:val="lv-LV"/>
        </w:rPr>
        <w:t>risinājum</w:t>
      </w:r>
      <w:r w:rsidR="002550B1">
        <w:rPr>
          <w:lang w:val="lv-LV"/>
        </w:rPr>
        <w:t xml:space="preserve">us paredzēts </w:t>
      </w:r>
      <w:r w:rsidR="00A94EB5">
        <w:rPr>
          <w:lang w:val="lv-LV"/>
        </w:rPr>
        <w:t>projektēt kā modulār</w:t>
      </w:r>
      <w:r w:rsidR="002550B1">
        <w:rPr>
          <w:lang w:val="lv-LV"/>
        </w:rPr>
        <w:t>us</w:t>
      </w:r>
      <w:r w:rsidR="00A94EB5">
        <w:rPr>
          <w:lang w:val="lv-LV"/>
        </w:rPr>
        <w:t xml:space="preserve"> vai servisu orientēt</w:t>
      </w:r>
      <w:r w:rsidR="002550B1">
        <w:rPr>
          <w:lang w:val="lv-LV"/>
        </w:rPr>
        <w:t>us</w:t>
      </w:r>
      <w:r w:rsidR="00A94EB5">
        <w:rPr>
          <w:lang w:val="lv-LV"/>
        </w:rPr>
        <w:t>?</w:t>
      </w:r>
    </w:p>
    <w:p w14:paraId="7E835F2C" w14:textId="5B091BFE" w:rsidR="00A94EB5" w:rsidRDefault="002A2BE0" w:rsidP="00A94EB5">
      <w:pPr>
        <w:pStyle w:val="ListParagraph"/>
        <w:numPr>
          <w:ilvl w:val="0"/>
          <w:numId w:val="11"/>
        </w:numPr>
        <w:jc w:val="both"/>
        <w:rPr>
          <w:lang w:val="lv-LV"/>
        </w:rPr>
      </w:pPr>
      <w:r>
        <w:rPr>
          <w:lang w:val="lv-LV"/>
        </w:rPr>
        <w:lastRenderedPageBreak/>
        <w:t>TPK1</w:t>
      </w:r>
      <w:r w:rsidR="00E46D09">
        <w:rPr>
          <w:lang w:val="lv-LV"/>
        </w:rPr>
        <w:t>0</w:t>
      </w:r>
      <w:r>
        <w:rPr>
          <w:lang w:val="lv-LV"/>
        </w:rPr>
        <w:t xml:space="preserve">. </w:t>
      </w:r>
      <w:r w:rsidR="00A94EB5">
        <w:rPr>
          <w:lang w:val="lv-LV"/>
        </w:rPr>
        <w:t>Vai</w:t>
      </w:r>
      <w:r w:rsidR="002550B1">
        <w:rPr>
          <w:lang w:val="lv-LV"/>
        </w:rPr>
        <w:t xml:space="preserve"> </w:t>
      </w:r>
      <w:proofErr w:type="spellStart"/>
      <w:r w:rsidR="002550B1">
        <w:rPr>
          <w:lang w:val="lv-LV"/>
        </w:rPr>
        <w:t>mērķarhitektūras</w:t>
      </w:r>
      <w:proofErr w:type="spellEnd"/>
      <w:r w:rsidR="002550B1">
        <w:rPr>
          <w:lang w:val="lv-LV"/>
        </w:rPr>
        <w:t xml:space="preserve"> IKT risinājumiem</w:t>
      </w:r>
      <w:r w:rsidR="00A94EB5">
        <w:rPr>
          <w:lang w:val="lv-LV"/>
        </w:rPr>
        <w:t xml:space="preserve"> paredzēts pielietot </w:t>
      </w:r>
      <w:proofErr w:type="spellStart"/>
      <w:r w:rsidR="00A94EB5">
        <w:rPr>
          <w:lang w:val="lv-LV"/>
        </w:rPr>
        <w:t>mikroservisu</w:t>
      </w:r>
      <w:proofErr w:type="spellEnd"/>
      <w:r w:rsidR="00A94EB5">
        <w:rPr>
          <w:lang w:val="lv-LV"/>
        </w:rPr>
        <w:t xml:space="preserve"> arhitektūru?</w:t>
      </w:r>
    </w:p>
    <w:p w14:paraId="0F7ECBEA" w14:textId="018C04E1" w:rsidR="005F5F54" w:rsidRDefault="002A2BE0" w:rsidP="00A94EB5">
      <w:pPr>
        <w:pStyle w:val="ListParagraph"/>
        <w:numPr>
          <w:ilvl w:val="0"/>
          <w:numId w:val="11"/>
        </w:numPr>
        <w:jc w:val="both"/>
        <w:rPr>
          <w:lang w:val="lv-LV"/>
        </w:rPr>
        <w:sectPr w:rsidR="005F5F54">
          <w:pgSz w:w="12240" w:h="15840"/>
          <w:pgMar w:top="1440" w:right="1440" w:bottom="1440" w:left="1440" w:header="720" w:footer="720" w:gutter="0"/>
          <w:cols w:space="720"/>
          <w:docGrid w:linePitch="360"/>
        </w:sectPr>
      </w:pPr>
      <w:r>
        <w:rPr>
          <w:lang w:val="lv-LV"/>
        </w:rPr>
        <w:t>TPK1</w:t>
      </w:r>
      <w:r w:rsidR="00E46D09">
        <w:rPr>
          <w:lang w:val="lv-LV"/>
        </w:rPr>
        <w:t>1</w:t>
      </w:r>
      <w:r>
        <w:rPr>
          <w:lang w:val="lv-LV"/>
        </w:rPr>
        <w:t xml:space="preserve">. </w:t>
      </w:r>
      <w:r w:rsidR="00A94EB5">
        <w:rPr>
          <w:lang w:val="lv-LV"/>
        </w:rPr>
        <w:t xml:space="preserve">Vai </w:t>
      </w:r>
      <w:proofErr w:type="spellStart"/>
      <w:r w:rsidR="00A94EB5">
        <w:rPr>
          <w:lang w:val="lv-LV"/>
        </w:rPr>
        <w:t>mērķarhitektūras</w:t>
      </w:r>
      <w:proofErr w:type="spellEnd"/>
      <w:r w:rsidR="00A94EB5">
        <w:rPr>
          <w:lang w:val="lv-LV"/>
        </w:rPr>
        <w:t xml:space="preserve"> </w:t>
      </w:r>
      <w:r w:rsidR="002550B1">
        <w:rPr>
          <w:lang w:val="lv-LV"/>
        </w:rPr>
        <w:t xml:space="preserve">IKT risinājumiem </w:t>
      </w:r>
      <w:r w:rsidR="00A94EB5">
        <w:rPr>
          <w:lang w:val="lv-LV"/>
        </w:rPr>
        <w:t xml:space="preserve">plānots nodrošināt atvērtas lietojumprogrammu </w:t>
      </w:r>
      <w:proofErr w:type="spellStart"/>
      <w:r w:rsidR="00A94EB5">
        <w:rPr>
          <w:lang w:val="lv-LV"/>
        </w:rPr>
        <w:t>saskarnes</w:t>
      </w:r>
      <w:proofErr w:type="spellEnd"/>
      <w:r w:rsidR="008701D5">
        <w:rPr>
          <w:lang w:val="lv-LV"/>
        </w:rPr>
        <w:t xml:space="preserve"> (API)</w:t>
      </w:r>
      <w:r w:rsidR="00A94EB5">
        <w:rPr>
          <w:lang w:val="lv-LV"/>
        </w:rPr>
        <w:t>?</w:t>
      </w:r>
    </w:p>
    <w:p w14:paraId="460B786E" w14:textId="69CD0D5D" w:rsidR="005F5F54" w:rsidRDefault="005F5F54" w:rsidP="005F5F54">
      <w:pPr>
        <w:pStyle w:val="Heading1"/>
        <w:ind w:left="360"/>
        <w:rPr>
          <w:lang w:val="lv-LV"/>
        </w:rPr>
      </w:pPr>
      <w:r>
        <w:rPr>
          <w:lang w:val="lv-LV"/>
        </w:rPr>
        <w:lastRenderedPageBreak/>
        <w:t>Pielikumi</w:t>
      </w:r>
    </w:p>
    <w:p w14:paraId="1A52EBFE" w14:textId="46C4C7A6" w:rsidR="005F5F54" w:rsidRDefault="00BD1CEF" w:rsidP="00BD1CEF">
      <w:pPr>
        <w:pStyle w:val="Heading2"/>
        <w:rPr>
          <w:lang w:val="lv-LV"/>
        </w:rPr>
      </w:pPr>
      <w:r>
        <w:rPr>
          <w:lang w:val="lv-LV"/>
        </w:rPr>
        <w:t xml:space="preserve">1.pielikums – jomas </w:t>
      </w:r>
      <w:proofErr w:type="spellStart"/>
      <w:r>
        <w:rPr>
          <w:lang w:val="lv-LV"/>
        </w:rPr>
        <w:t>mērķarhitektūras</w:t>
      </w:r>
      <w:proofErr w:type="spellEnd"/>
      <w:r>
        <w:rPr>
          <w:lang w:val="lv-LV"/>
        </w:rPr>
        <w:t xml:space="preserve"> pašvērtējuma </w:t>
      </w:r>
      <w:r w:rsidR="005114A4">
        <w:rPr>
          <w:lang w:val="lv-LV"/>
        </w:rPr>
        <w:t>kontrolsaraksts</w:t>
      </w:r>
    </w:p>
    <w:p w14:paraId="76F72D5E" w14:textId="062AD109" w:rsidR="00BD1CEF" w:rsidRPr="00BD1CEF" w:rsidRDefault="00BD1CEF" w:rsidP="00BD1CEF">
      <w:pPr>
        <w:pStyle w:val="Heading2"/>
        <w:rPr>
          <w:lang w:val="lv-LV"/>
        </w:rPr>
      </w:pPr>
      <w:r>
        <w:rPr>
          <w:lang w:val="lv-LV"/>
        </w:rPr>
        <w:t xml:space="preserve">2.pielikums – risinājuma arhitektūras pašvērtējuma </w:t>
      </w:r>
      <w:r w:rsidR="005114A4">
        <w:rPr>
          <w:lang w:val="lv-LV"/>
        </w:rPr>
        <w:t>kontrolsaraksts</w:t>
      </w:r>
    </w:p>
    <w:p w14:paraId="10E71B0A" w14:textId="6543FD5E" w:rsidR="00A94EB5" w:rsidRPr="005F5F54" w:rsidRDefault="00A94EB5" w:rsidP="005F5F54">
      <w:pPr>
        <w:ind w:left="360"/>
        <w:jc w:val="both"/>
        <w:rPr>
          <w:lang w:val="lv-LV"/>
        </w:rPr>
      </w:pPr>
    </w:p>
    <w:p w14:paraId="2ED1EE0F" w14:textId="77777777" w:rsidR="00A94EB5" w:rsidRDefault="00A94EB5" w:rsidP="00502D87">
      <w:pPr>
        <w:rPr>
          <w:lang w:val="lv-LV"/>
        </w:rPr>
      </w:pPr>
    </w:p>
    <w:p w14:paraId="59D4550E" w14:textId="77777777" w:rsidR="00502D87" w:rsidRPr="00414C58" w:rsidRDefault="00502D87" w:rsidP="00502D87">
      <w:pPr>
        <w:pStyle w:val="ListBullet"/>
        <w:numPr>
          <w:ilvl w:val="0"/>
          <w:numId w:val="0"/>
        </w:numPr>
        <w:spacing w:line="247" w:lineRule="auto"/>
        <w:jc w:val="both"/>
        <w:rPr>
          <w:lang w:val="lv-LV"/>
        </w:rPr>
      </w:pPr>
    </w:p>
    <w:p w14:paraId="12D6AEF9" w14:textId="5F5364D3" w:rsidR="00137A2C" w:rsidRPr="00137A2C" w:rsidRDefault="00137A2C" w:rsidP="00137A2C">
      <w:pPr>
        <w:rPr>
          <w:lang w:val="lv-LV"/>
        </w:rPr>
      </w:pPr>
    </w:p>
    <w:sectPr w:rsidR="00137A2C" w:rsidRPr="00137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B2B70" w14:textId="77777777" w:rsidR="001908C4" w:rsidRDefault="001908C4" w:rsidP="000B6EE7">
      <w:pPr>
        <w:spacing w:after="0" w:line="240" w:lineRule="auto"/>
      </w:pPr>
      <w:r>
        <w:separator/>
      </w:r>
    </w:p>
  </w:endnote>
  <w:endnote w:type="continuationSeparator" w:id="0">
    <w:p w14:paraId="0F98DF85" w14:textId="77777777" w:rsidR="001908C4" w:rsidRDefault="001908C4" w:rsidP="000B6EE7">
      <w:pPr>
        <w:spacing w:after="0" w:line="240" w:lineRule="auto"/>
      </w:pPr>
      <w:r>
        <w:continuationSeparator/>
      </w:r>
    </w:p>
  </w:endnote>
  <w:endnote w:type="continuationNotice" w:id="1">
    <w:p w14:paraId="48B8A6E3" w14:textId="77777777" w:rsidR="00BA389D" w:rsidRDefault="00BA3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633185"/>
      <w:docPartObj>
        <w:docPartGallery w:val="Page Numbers (Bottom of Page)"/>
        <w:docPartUnique/>
      </w:docPartObj>
    </w:sdtPr>
    <w:sdtEndPr>
      <w:rPr>
        <w:rFonts w:asciiTheme="majorBidi" w:hAnsiTheme="majorBidi" w:cstheme="majorBidi"/>
      </w:rPr>
    </w:sdtEndPr>
    <w:sdtContent>
      <w:p w14:paraId="32E3B947" w14:textId="77777777" w:rsidR="00F23E30" w:rsidRPr="009E1F3A" w:rsidRDefault="00F23E30">
        <w:pPr>
          <w:pStyle w:val="Footer"/>
          <w:jc w:val="center"/>
          <w:rPr>
            <w:rFonts w:asciiTheme="majorBidi" w:hAnsiTheme="majorBidi" w:cstheme="majorBidi"/>
          </w:rPr>
        </w:pPr>
        <w:r w:rsidRPr="009E1F3A">
          <w:rPr>
            <w:rFonts w:asciiTheme="majorBidi" w:hAnsiTheme="majorBidi" w:cstheme="majorBidi"/>
          </w:rPr>
          <w:fldChar w:fldCharType="begin"/>
        </w:r>
        <w:r w:rsidRPr="009E1F3A">
          <w:rPr>
            <w:rFonts w:asciiTheme="majorBidi" w:hAnsiTheme="majorBidi" w:cstheme="majorBidi"/>
          </w:rPr>
          <w:instrText>PAGE   \* MERGEFORMAT</w:instrText>
        </w:r>
        <w:r w:rsidRPr="009E1F3A">
          <w:rPr>
            <w:rFonts w:asciiTheme="majorBidi" w:hAnsiTheme="majorBidi" w:cstheme="majorBidi"/>
          </w:rPr>
          <w:fldChar w:fldCharType="separate"/>
        </w:r>
        <w:r w:rsidRPr="009E1F3A">
          <w:rPr>
            <w:rFonts w:asciiTheme="majorBidi" w:hAnsiTheme="majorBidi" w:cstheme="majorBidi"/>
            <w:lang w:val="lv-LV"/>
          </w:rPr>
          <w:t>2</w:t>
        </w:r>
        <w:r w:rsidRPr="009E1F3A">
          <w:rPr>
            <w:rFonts w:asciiTheme="majorBidi" w:hAnsiTheme="majorBidi" w:cstheme="majorBidi"/>
          </w:rPr>
          <w:fldChar w:fldCharType="end"/>
        </w:r>
      </w:p>
    </w:sdtContent>
  </w:sdt>
  <w:p w14:paraId="6547B879" w14:textId="77777777" w:rsidR="00F23E30" w:rsidRPr="009E1F3A" w:rsidRDefault="00F23E30" w:rsidP="009E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5"/>
      <w:gridCol w:w="3085"/>
      <w:gridCol w:w="3085"/>
    </w:tblGrid>
    <w:tr w:rsidR="00F23E30" w14:paraId="6AB899B3" w14:textId="77777777" w:rsidTr="1BC12515">
      <w:trPr>
        <w:trHeight w:val="300"/>
      </w:trPr>
      <w:tc>
        <w:tcPr>
          <w:tcW w:w="3085" w:type="dxa"/>
        </w:tcPr>
        <w:p w14:paraId="02FDF1BE" w14:textId="77777777" w:rsidR="00F23E30" w:rsidRDefault="00F23E30" w:rsidP="1BC12515">
          <w:pPr>
            <w:pStyle w:val="Header"/>
            <w:ind w:left="-115"/>
          </w:pPr>
        </w:p>
      </w:tc>
      <w:tc>
        <w:tcPr>
          <w:tcW w:w="3085" w:type="dxa"/>
        </w:tcPr>
        <w:p w14:paraId="632FAFAF" w14:textId="77777777" w:rsidR="00F23E30" w:rsidRDefault="00F23E30" w:rsidP="1BC12515">
          <w:pPr>
            <w:pStyle w:val="Header"/>
            <w:jc w:val="center"/>
          </w:pPr>
        </w:p>
      </w:tc>
      <w:tc>
        <w:tcPr>
          <w:tcW w:w="3085" w:type="dxa"/>
        </w:tcPr>
        <w:p w14:paraId="3773A61E" w14:textId="77777777" w:rsidR="00F23E30" w:rsidRDefault="00F23E30" w:rsidP="1BC12515">
          <w:pPr>
            <w:pStyle w:val="Header"/>
            <w:ind w:right="-115"/>
            <w:jc w:val="right"/>
          </w:pPr>
        </w:p>
      </w:tc>
    </w:tr>
  </w:tbl>
  <w:p w14:paraId="46ED48D6" w14:textId="77777777" w:rsidR="00F23E30" w:rsidRDefault="00F23E30" w:rsidP="1BC12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92E68" w14:textId="77777777" w:rsidR="001908C4" w:rsidRDefault="001908C4" w:rsidP="000B6EE7">
      <w:pPr>
        <w:spacing w:after="0" w:line="240" w:lineRule="auto"/>
      </w:pPr>
      <w:r>
        <w:separator/>
      </w:r>
    </w:p>
  </w:footnote>
  <w:footnote w:type="continuationSeparator" w:id="0">
    <w:p w14:paraId="366A0E0B" w14:textId="77777777" w:rsidR="001908C4" w:rsidRDefault="001908C4" w:rsidP="000B6EE7">
      <w:pPr>
        <w:spacing w:after="0" w:line="240" w:lineRule="auto"/>
      </w:pPr>
      <w:r>
        <w:continuationSeparator/>
      </w:r>
    </w:p>
  </w:footnote>
  <w:footnote w:type="continuationNotice" w:id="1">
    <w:p w14:paraId="0EEE7885" w14:textId="77777777" w:rsidR="00BA389D" w:rsidRDefault="00BA3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42C7" w14:textId="77777777" w:rsidR="00F23E30" w:rsidRDefault="00F23E30">
    <w:pPr>
      <w:pBdr>
        <w:top w:val="nil"/>
        <w:left w:val="nil"/>
        <w:bottom w:val="nil"/>
        <w:right w:val="nil"/>
        <w:between w:val="nil"/>
      </w:pBdr>
      <w:tabs>
        <w:tab w:val="center" w:pos="4153"/>
        <w:tab w:val="right" w:pos="8306"/>
      </w:tabs>
      <w:spacing w:before="48" w:after="48"/>
      <w:jc w:val="center"/>
      <w:rPr>
        <w:color w:val="000000"/>
        <w:sz w:val="40"/>
        <w:szCs w:val="40"/>
      </w:rPr>
    </w:pPr>
    <w:r>
      <w:rPr>
        <w:rFonts w:ascii="Calibri" w:eastAsia="Calibri" w:hAnsi="Calibri" w:cs="Calibri"/>
        <w:color w:val="000000"/>
      </w:rPr>
      <w:tab/>
      <w:t xml:space="preserve"> </w:t>
    </w:r>
  </w:p>
  <w:p w14:paraId="3F2CB14C" w14:textId="77777777" w:rsidR="00F23E30" w:rsidRDefault="00F23E3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3AB8A" w14:textId="629EF652" w:rsidR="00F23E30" w:rsidRDefault="00F23E30" w:rsidP="00DC1459">
    <w:pPr>
      <w:pStyle w:val="Header"/>
      <w:tabs>
        <w:tab w:val="clear" w:pos="4153"/>
        <w:tab w:val="clear" w:pos="8306"/>
      </w:tabs>
      <w:ind w:left="142" w:right="41" w:hanging="142"/>
    </w:pPr>
    <w:r>
      <w:rPr>
        <w:noProof/>
      </w:rPr>
      <w:ptab w:relativeTo="margin" w:alignment="center" w:leader="none"/>
    </w:r>
    <w:r w:rsidRPr="0068043B">
      <w:rPr>
        <w:noProof/>
        <w:kern w:val="2"/>
        <w:sz w:val="20"/>
        <w:szCs w:val="20"/>
        <w:lang w:eastAsia="en-US"/>
      </w:rPr>
      <w:drawing>
        <wp:inline distT="0" distB="0" distL="0" distR="0" wp14:anchorId="39F4A203" wp14:editId="78F817CA">
          <wp:extent cx="1113034" cy="952500"/>
          <wp:effectExtent l="0" t="0" r="0" b="0"/>
          <wp:docPr id="2118935552" name="Picture 21189355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90263"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9" cy="955046"/>
                  </a:xfrm>
                  <a:prstGeom prst="rect">
                    <a:avLst/>
                  </a:prstGeom>
                  <a:noFill/>
                  <a:ln>
                    <a:noFill/>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DE9"/>
    <w:multiLevelType w:val="hybridMultilevel"/>
    <w:tmpl w:val="7FB01A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A569E2"/>
    <w:multiLevelType w:val="hybridMultilevel"/>
    <w:tmpl w:val="E6468DFE"/>
    <w:lvl w:ilvl="0" w:tplc="08090001">
      <w:start w:val="1"/>
      <w:numFmt w:val="bullet"/>
      <w:lvlText w:val=""/>
      <w:lvlJc w:val="left"/>
      <w:pPr>
        <w:ind w:left="1080" w:hanging="360"/>
      </w:pPr>
      <w:rPr>
        <w:rFonts w:ascii="Symbol" w:hAnsi="Symbol" w:hint="default"/>
        <w:color w:val="auto"/>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859CA"/>
    <w:multiLevelType w:val="hybridMultilevel"/>
    <w:tmpl w:val="C1C2A6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479D"/>
    <w:multiLevelType w:val="multilevel"/>
    <w:tmpl w:val="43C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57C5"/>
    <w:multiLevelType w:val="hybridMultilevel"/>
    <w:tmpl w:val="B96A9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F6B26"/>
    <w:multiLevelType w:val="hybridMultilevel"/>
    <w:tmpl w:val="A448E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84446"/>
    <w:multiLevelType w:val="hybridMultilevel"/>
    <w:tmpl w:val="D6F62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6397"/>
    <w:multiLevelType w:val="hybridMultilevel"/>
    <w:tmpl w:val="C262D074"/>
    <w:lvl w:ilvl="0" w:tplc="04260001">
      <w:start w:val="1"/>
      <w:numFmt w:val="bullet"/>
      <w:pStyle w:val="List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F326D6D"/>
    <w:multiLevelType w:val="hybridMultilevel"/>
    <w:tmpl w:val="5EE869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B5499"/>
    <w:multiLevelType w:val="hybridMultilevel"/>
    <w:tmpl w:val="98102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A5A3A"/>
    <w:multiLevelType w:val="hybridMultilevel"/>
    <w:tmpl w:val="3F448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3F2B55"/>
    <w:multiLevelType w:val="multilevel"/>
    <w:tmpl w:val="5472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73"/>
    <w:multiLevelType w:val="hybridMultilevel"/>
    <w:tmpl w:val="F618A9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9052A"/>
    <w:multiLevelType w:val="hybridMultilevel"/>
    <w:tmpl w:val="BCEE7E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375CA"/>
    <w:multiLevelType w:val="hybridMultilevel"/>
    <w:tmpl w:val="3CDE8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C3608"/>
    <w:multiLevelType w:val="hybridMultilevel"/>
    <w:tmpl w:val="0B109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E5733"/>
    <w:multiLevelType w:val="hybridMultilevel"/>
    <w:tmpl w:val="22488D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FD7ED"/>
    <w:multiLevelType w:val="hybridMultilevel"/>
    <w:tmpl w:val="8E6EBA18"/>
    <w:lvl w:ilvl="0" w:tplc="D84EA82E">
      <w:start w:val="1"/>
      <w:numFmt w:val="bullet"/>
      <w:lvlText w:val="·"/>
      <w:lvlJc w:val="left"/>
      <w:pPr>
        <w:ind w:left="720" w:hanging="360"/>
      </w:pPr>
      <w:rPr>
        <w:rFonts w:ascii="Symbol" w:hAnsi="Symbol" w:hint="default"/>
      </w:rPr>
    </w:lvl>
    <w:lvl w:ilvl="1" w:tplc="7B760324">
      <w:start w:val="1"/>
      <w:numFmt w:val="bullet"/>
      <w:lvlText w:val="o"/>
      <w:lvlJc w:val="left"/>
      <w:pPr>
        <w:ind w:left="1440" w:hanging="360"/>
      </w:pPr>
      <w:rPr>
        <w:rFonts w:ascii="Courier New" w:hAnsi="Courier New" w:hint="default"/>
      </w:rPr>
    </w:lvl>
    <w:lvl w:ilvl="2" w:tplc="C4D4748A">
      <w:start w:val="1"/>
      <w:numFmt w:val="bullet"/>
      <w:lvlText w:val=""/>
      <w:lvlJc w:val="left"/>
      <w:pPr>
        <w:ind w:left="2160" w:hanging="360"/>
      </w:pPr>
      <w:rPr>
        <w:rFonts w:ascii="Wingdings" w:hAnsi="Wingdings" w:hint="default"/>
      </w:rPr>
    </w:lvl>
    <w:lvl w:ilvl="3" w:tplc="4978D322">
      <w:start w:val="1"/>
      <w:numFmt w:val="bullet"/>
      <w:lvlText w:val=""/>
      <w:lvlJc w:val="left"/>
      <w:pPr>
        <w:ind w:left="2880" w:hanging="360"/>
      </w:pPr>
      <w:rPr>
        <w:rFonts w:ascii="Symbol" w:hAnsi="Symbol" w:hint="default"/>
      </w:rPr>
    </w:lvl>
    <w:lvl w:ilvl="4" w:tplc="58320D96">
      <w:start w:val="1"/>
      <w:numFmt w:val="bullet"/>
      <w:lvlText w:val="o"/>
      <w:lvlJc w:val="left"/>
      <w:pPr>
        <w:ind w:left="3600" w:hanging="360"/>
      </w:pPr>
      <w:rPr>
        <w:rFonts w:ascii="Courier New" w:hAnsi="Courier New" w:hint="default"/>
      </w:rPr>
    </w:lvl>
    <w:lvl w:ilvl="5" w:tplc="9ED00FEE">
      <w:start w:val="1"/>
      <w:numFmt w:val="bullet"/>
      <w:lvlText w:val=""/>
      <w:lvlJc w:val="left"/>
      <w:pPr>
        <w:ind w:left="4320" w:hanging="360"/>
      </w:pPr>
      <w:rPr>
        <w:rFonts w:ascii="Wingdings" w:hAnsi="Wingdings" w:hint="default"/>
      </w:rPr>
    </w:lvl>
    <w:lvl w:ilvl="6" w:tplc="70E09D94">
      <w:start w:val="1"/>
      <w:numFmt w:val="bullet"/>
      <w:lvlText w:val=""/>
      <w:lvlJc w:val="left"/>
      <w:pPr>
        <w:ind w:left="5040" w:hanging="360"/>
      </w:pPr>
      <w:rPr>
        <w:rFonts w:ascii="Symbol" w:hAnsi="Symbol" w:hint="default"/>
      </w:rPr>
    </w:lvl>
    <w:lvl w:ilvl="7" w:tplc="DBD04BCA">
      <w:start w:val="1"/>
      <w:numFmt w:val="bullet"/>
      <w:lvlText w:val="o"/>
      <w:lvlJc w:val="left"/>
      <w:pPr>
        <w:ind w:left="5760" w:hanging="360"/>
      </w:pPr>
      <w:rPr>
        <w:rFonts w:ascii="Courier New" w:hAnsi="Courier New" w:hint="default"/>
      </w:rPr>
    </w:lvl>
    <w:lvl w:ilvl="8" w:tplc="0D38660E">
      <w:start w:val="1"/>
      <w:numFmt w:val="bullet"/>
      <w:lvlText w:val=""/>
      <w:lvlJc w:val="left"/>
      <w:pPr>
        <w:ind w:left="6480" w:hanging="360"/>
      </w:pPr>
      <w:rPr>
        <w:rFonts w:ascii="Wingdings" w:hAnsi="Wingdings" w:hint="default"/>
      </w:rPr>
    </w:lvl>
  </w:abstractNum>
  <w:abstractNum w:abstractNumId="18" w15:restartNumberingAfterBreak="0">
    <w:nsid w:val="41A52008"/>
    <w:multiLevelType w:val="hybridMultilevel"/>
    <w:tmpl w:val="2DF2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6455C"/>
    <w:multiLevelType w:val="hybridMultilevel"/>
    <w:tmpl w:val="5B2ACB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AB4D52"/>
    <w:multiLevelType w:val="hybridMultilevel"/>
    <w:tmpl w:val="973C7F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EE7FC6"/>
    <w:multiLevelType w:val="hybridMultilevel"/>
    <w:tmpl w:val="D7267A6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75386B"/>
    <w:multiLevelType w:val="hybridMultilevel"/>
    <w:tmpl w:val="2AE63F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2350B"/>
    <w:multiLevelType w:val="hybridMultilevel"/>
    <w:tmpl w:val="30CC6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A620B"/>
    <w:multiLevelType w:val="hybridMultilevel"/>
    <w:tmpl w:val="1BD041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D52DF"/>
    <w:multiLevelType w:val="multilevel"/>
    <w:tmpl w:val="D93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2439A"/>
    <w:multiLevelType w:val="hybridMultilevel"/>
    <w:tmpl w:val="70CE2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C6DF9"/>
    <w:multiLevelType w:val="hybridMultilevel"/>
    <w:tmpl w:val="B2B69A2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5F0EC6"/>
    <w:multiLevelType w:val="hybridMultilevel"/>
    <w:tmpl w:val="F2EE1A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9FE12B5"/>
    <w:multiLevelType w:val="multilevel"/>
    <w:tmpl w:val="D4A8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72008"/>
    <w:multiLevelType w:val="hybridMultilevel"/>
    <w:tmpl w:val="FF806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04BD6"/>
    <w:multiLevelType w:val="hybridMultilevel"/>
    <w:tmpl w:val="2C3EC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92417"/>
    <w:multiLevelType w:val="hybridMultilevel"/>
    <w:tmpl w:val="A0D81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F31E1"/>
    <w:multiLevelType w:val="hybridMultilevel"/>
    <w:tmpl w:val="5E845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740F2"/>
    <w:multiLevelType w:val="hybridMultilevel"/>
    <w:tmpl w:val="682E1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7555">
    <w:abstractNumId w:val="1"/>
  </w:num>
  <w:num w:numId="2" w16cid:durableId="1797407846">
    <w:abstractNumId w:val="7"/>
  </w:num>
  <w:num w:numId="3" w16cid:durableId="773288646">
    <w:abstractNumId w:val="21"/>
  </w:num>
  <w:num w:numId="4" w16cid:durableId="611522819">
    <w:abstractNumId w:val="18"/>
  </w:num>
  <w:num w:numId="5" w16cid:durableId="766848704">
    <w:abstractNumId w:val="28"/>
  </w:num>
  <w:num w:numId="6" w16cid:durableId="478159555">
    <w:abstractNumId w:val="24"/>
  </w:num>
  <w:num w:numId="7" w16cid:durableId="1119298343">
    <w:abstractNumId w:val="23"/>
  </w:num>
  <w:num w:numId="8" w16cid:durableId="1576823145">
    <w:abstractNumId w:val="16"/>
  </w:num>
  <w:num w:numId="9" w16cid:durableId="603153117">
    <w:abstractNumId w:val="33"/>
  </w:num>
  <w:num w:numId="10" w16cid:durableId="241645915">
    <w:abstractNumId w:val="4"/>
  </w:num>
  <w:num w:numId="11" w16cid:durableId="785739473">
    <w:abstractNumId w:val="2"/>
  </w:num>
  <w:num w:numId="12" w16cid:durableId="148182764">
    <w:abstractNumId w:val="6"/>
  </w:num>
  <w:num w:numId="13" w16cid:durableId="2030061715">
    <w:abstractNumId w:val="30"/>
  </w:num>
  <w:num w:numId="14" w16cid:durableId="415589910">
    <w:abstractNumId w:val="5"/>
  </w:num>
  <w:num w:numId="15" w16cid:durableId="792938429">
    <w:abstractNumId w:val="26"/>
  </w:num>
  <w:num w:numId="16" w16cid:durableId="795563892">
    <w:abstractNumId w:val="17"/>
  </w:num>
  <w:num w:numId="17" w16cid:durableId="761032136">
    <w:abstractNumId w:val="11"/>
  </w:num>
  <w:num w:numId="18" w16cid:durableId="943683078">
    <w:abstractNumId w:val="25"/>
  </w:num>
  <w:num w:numId="19" w16cid:durableId="1507357836">
    <w:abstractNumId w:val="3"/>
  </w:num>
  <w:num w:numId="20" w16cid:durableId="1971862539">
    <w:abstractNumId w:val="0"/>
  </w:num>
  <w:num w:numId="21" w16cid:durableId="2106420430">
    <w:abstractNumId w:val="10"/>
  </w:num>
  <w:num w:numId="22" w16cid:durableId="1888954207">
    <w:abstractNumId w:val="19"/>
  </w:num>
  <w:num w:numId="23" w16cid:durableId="1382628617">
    <w:abstractNumId w:val="20"/>
  </w:num>
  <w:num w:numId="24" w16cid:durableId="695271425">
    <w:abstractNumId w:val="27"/>
  </w:num>
  <w:num w:numId="25" w16cid:durableId="1563253975">
    <w:abstractNumId w:val="29"/>
  </w:num>
  <w:num w:numId="26" w16cid:durableId="1003584245">
    <w:abstractNumId w:val="32"/>
  </w:num>
  <w:num w:numId="27" w16cid:durableId="620038191">
    <w:abstractNumId w:val="8"/>
  </w:num>
  <w:num w:numId="28" w16cid:durableId="1307200041">
    <w:abstractNumId w:val="14"/>
  </w:num>
  <w:num w:numId="29" w16cid:durableId="830563961">
    <w:abstractNumId w:val="31"/>
  </w:num>
  <w:num w:numId="30" w16cid:durableId="1481191271">
    <w:abstractNumId w:val="12"/>
  </w:num>
  <w:num w:numId="31" w16cid:durableId="1000081959">
    <w:abstractNumId w:val="9"/>
  </w:num>
  <w:num w:numId="32" w16cid:durableId="1218053149">
    <w:abstractNumId w:val="34"/>
  </w:num>
  <w:num w:numId="33" w16cid:durableId="335039361">
    <w:abstractNumId w:val="22"/>
  </w:num>
  <w:num w:numId="34" w16cid:durableId="1217545181">
    <w:abstractNumId w:val="13"/>
  </w:num>
  <w:num w:numId="35" w16cid:durableId="40071830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25"/>
    <w:rsid w:val="00003336"/>
    <w:rsid w:val="00006999"/>
    <w:rsid w:val="000120A1"/>
    <w:rsid w:val="00012204"/>
    <w:rsid w:val="000131F3"/>
    <w:rsid w:val="00022365"/>
    <w:rsid w:val="00023153"/>
    <w:rsid w:val="00024B16"/>
    <w:rsid w:val="0002679A"/>
    <w:rsid w:val="0003443B"/>
    <w:rsid w:val="000345FF"/>
    <w:rsid w:val="000415F0"/>
    <w:rsid w:val="000446D4"/>
    <w:rsid w:val="00045775"/>
    <w:rsid w:val="000477EA"/>
    <w:rsid w:val="00047E47"/>
    <w:rsid w:val="000539BF"/>
    <w:rsid w:val="00062165"/>
    <w:rsid w:val="0006266B"/>
    <w:rsid w:val="00062E26"/>
    <w:rsid w:val="00065266"/>
    <w:rsid w:val="000706DD"/>
    <w:rsid w:val="00072292"/>
    <w:rsid w:val="0007431F"/>
    <w:rsid w:val="00080CC6"/>
    <w:rsid w:val="0009249A"/>
    <w:rsid w:val="00092E36"/>
    <w:rsid w:val="00095632"/>
    <w:rsid w:val="00096FC8"/>
    <w:rsid w:val="000970BB"/>
    <w:rsid w:val="00097898"/>
    <w:rsid w:val="000A31D0"/>
    <w:rsid w:val="000A5834"/>
    <w:rsid w:val="000A7683"/>
    <w:rsid w:val="000B614A"/>
    <w:rsid w:val="000B6EE7"/>
    <w:rsid w:val="000C15AA"/>
    <w:rsid w:val="000C201B"/>
    <w:rsid w:val="000D2ECD"/>
    <w:rsid w:val="000D3EDC"/>
    <w:rsid w:val="000E50B6"/>
    <w:rsid w:val="000E63DC"/>
    <w:rsid w:val="000F5360"/>
    <w:rsid w:val="000F656A"/>
    <w:rsid w:val="001019DB"/>
    <w:rsid w:val="001174CE"/>
    <w:rsid w:val="00117E90"/>
    <w:rsid w:val="001260E6"/>
    <w:rsid w:val="00126ED8"/>
    <w:rsid w:val="00127CC0"/>
    <w:rsid w:val="00137A2C"/>
    <w:rsid w:val="001406C7"/>
    <w:rsid w:val="00140953"/>
    <w:rsid w:val="00141A09"/>
    <w:rsid w:val="00150D91"/>
    <w:rsid w:val="0015165F"/>
    <w:rsid w:val="00157074"/>
    <w:rsid w:val="00161245"/>
    <w:rsid w:val="00161793"/>
    <w:rsid w:val="001664F1"/>
    <w:rsid w:val="0017064E"/>
    <w:rsid w:val="00177679"/>
    <w:rsid w:val="0018075D"/>
    <w:rsid w:val="00187FB5"/>
    <w:rsid w:val="001908C4"/>
    <w:rsid w:val="00190DCB"/>
    <w:rsid w:val="00192890"/>
    <w:rsid w:val="00195834"/>
    <w:rsid w:val="00195D74"/>
    <w:rsid w:val="00195E22"/>
    <w:rsid w:val="0019725C"/>
    <w:rsid w:val="001A291D"/>
    <w:rsid w:val="001A3F1A"/>
    <w:rsid w:val="001A435E"/>
    <w:rsid w:val="001B0272"/>
    <w:rsid w:val="001B19E3"/>
    <w:rsid w:val="001B7BB2"/>
    <w:rsid w:val="001C4851"/>
    <w:rsid w:val="001C6AB8"/>
    <w:rsid w:val="001D1049"/>
    <w:rsid w:val="001D4569"/>
    <w:rsid w:val="001D50E4"/>
    <w:rsid w:val="001E4F5B"/>
    <w:rsid w:val="001F471A"/>
    <w:rsid w:val="001F7DD0"/>
    <w:rsid w:val="00204EA3"/>
    <w:rsid w:val="00213689"/>
    <w:rsid w:val="00214767"/>
    <w:rsid w:val="0022004A"/>
    <w:rsid w:val="002204BB"/>
    <w:rsid w:val="00227692"/>
    <w:rsid w:val="002322DC"/>
    <w:rsid w:val="00233190"/>
    <w:rsid w:val="00240117"/>
    <w:rsid w:val="00242021"/>
    <w:rsid w:val="002442E8"/>
    <w:rsid w:val="0024547E"/>
    <w:rsid w:val="00252A2F"/>
    <w:rsid w:val="00252D99"/>
    <w:rsid w:val="002550B1"/>
    <w:rsid w:val="00263BAE"/>
    <w:rsid w:val="00267117"/>
    <w:rsid w:val="002705AD"/>
    <w:rsid w:val="0027787B"/>
    <w:rsid w:val="0028048A"/>
    <w:rsid w:val="002821F7"/>
    <w:rsid w:val="00282A6F"/>
    <w:rsid w:val="002830F8"/>
    <w:rsid w:val="002841D7"/>
    <w:rsid w:val="00286613"/>
    <w:rsid w:val="0029342D"/>
    <w:rsid w:val="002A0A3E"/>
    <w:rsid w:val="002A2BE0"/>
    <w:rsid w:val="002B1506"/>
    <w:rsid w:val="002B1DD8"/>
    <w:rsid w:val="002B3828"/>
    <w:rsid w:val="002C0691"/>
    <w:rsid w:val="002C4625"/>
    <w:rsid w:val="002D0D22"/>
    <w:rsid w:val="002D34E5"/>
    <w:rsid w:val="002E0A24"/>
    <w:rsid w:val="002E6794"/>
    <w:rsid w:val="002F0282"/>
    <w:rsid w:val="002F05D2"/>
    <w:rsid w:val="002F1E1B"/>
    <w:rsid w:val="002F6D56"/>
    <w:rsid w:val="00300FF1"/>
    <w:rsid w:val="00305259"/>
    <w:rsid w:val="00307FF9"/>
    <w:rsid w:val="00313B76"/>
    <w:rsid w:val="003203CE"/>
    <w:rsid w:val="00322C9E"/>
    <w:rsid w:val="00323666"/>
    <w:rsid w:val="00327953"/>
    <w:rsid w:val="00345DA6"/>
    <w:rsid w:val="0034646E"/>
    <w:rsid w:val="0034658A"/>
    <w:rsid w:val="003467CA"/>
    <w:rsid w:val="00347428"/>
    <w:rsid w:val="00357292"/>
    <w:rsid w:val="00363A6C"/>
    <w:rsid w:val="0037070B"/>
    <w:rsid w:val="00372307"/>
    <w:rsid w:val="003820B5"/>
    <w:rsid w:val="00384F3A"/>
    <w:rsid w:val="003876C5"/>
    <w:rsid w:val="0039427D"/>
    <w:rsid w:val="003A35D0"/>
    <w:rsid w:val="003B052B"/>
    <w:rsid w:val="003B0FC0"/>
    <w:rsid w:val="003B7985"/>
    <w:rsid w:val="003C220E"/>
    <w:rsid w:val="003D1368"/>
    <w:rsid w:val="003D6E81"/>
    <w:rsid w:val="003D76C1"/>
    <w:rsid w:val="003E79B7"/>
    <w:rsid w:val="003F0F69"/>
    <w:rsid w:val="003F3DC2"/>
    <w:rsid w:val="003F75C0"/>
    <w:rsid w:val="00402377"/>
    <w:rsid w:val="00412F48"/>
    <w:rsid w:val="00413822"/>
    <w:rsid w:val="00414796"/>
    <w:rsid w:val="00414C58"/>
    <w:rsid w:val="00434999"/>
    <w:rsid w:val="004402D0"/>
    <w:rsid w:val="00441363"/>
    <w:rsid w:val="00443BD0"/>
    <w:rsid w:val="004464A3"/>
    <w:rsid w:val="004479F2"/>
    <w:rsid w:val="004519A7"/>
    <w:rsid w:val="0045345F"/>
    <w:rsid w:val="0045692D"/>
    <w:rsid w:val="004571A3"/>
    <w:rsid w:val="00460BE3"/>
    <w:rsid w:val="00465932"/>
    <w:rsid w:val="00474EBE"/>
    <w:rsid w:val="0048618D"/>
    <w:rsid w:val="004869E9"/>
    <w:rsid w:val="00490AFF"/>
    <w:rsid w:val="004929EC"/>
    <w:rsid w:val="004B03EC"/>
    <w:rsid w:val="004B6286"/>
    <w:rsid w:val="004C2471"/>
    <w:rsid w:val="004C3B43"/>
    <w:rsid w:val="004C3CB2"/>
    <w:rsid w:val="004C42C0"/>
    <w:rsid w:val="004C58EB"/>
    <w:rsid w:val="004C6E32"/>
    <w:rsid w:val="004C7941"/>
    <w:rsid w:val="004D0E9D"/>
    <w:rsid w:val="004D31D4"/>
    <w:rsid w:val="004D3556"/>
    <w:rsid w:val="004E0D2B"/>
    <w:rsid w:val="004E3240"/>
    <w:rsid w:val="004E5320"/>
    <w:rsid w:val="004E6F90"/>
    <w:rsid w:val="004F364F"/>
    <w:rsid w:val="004F5631"/>
    <w:rsid w:val="00502031"/>
    <w:rsid w:val="00502D87"/>
    <w:rsid w:val="00506BB4"/>
    <w:rsid w:val="00510133"/>
    <w:rsid w:val="005114A4"/>
    <w:rsid w:val="00524C97"/>
    <w:rsid w:val="00525395"/>
    <w:rsid w:val="005316A0"/>
    <w:rsid w:val="00554C02"/>
    <w:rsid w:val="00554DC2"/>
    <w:rsid w:val="00555750"/>
    <w:rsid w:val="0056127C"/>
    <w:rsid w:val="00564FB7"/>
    <w:rsid w:val="00565F37"/>
    <w:rsid w:val="00574A62"/>
    <w:rsid w:val="00575CF8"/>
    <w:rsid w:val="00584003"/>
    <w:rsid w:val="00593B17"/>
    <w:rsid w:val="0059415B"/>
    <w:rsid w:val="005A0493"/>
    <w:rsid w:val="005A3C40"/>
    <w:rsid w:val="005B4BA9"/>
    <w:rsid w:val="005B5AD3"/>
    <w:rsid w:val="005C4346"/>
    <w:rsid w:val="005C57A9"/>
    <w:rsid w:val="005C70A7"/>
    <w:rsid w:val="005D0DA0"/>
    <w:rsid w:val="005D1342"/>
    <w:rsid w:val="005D153F"/>
    <w:rsid w:val="005E02C2"/>
    <w:rsid w:val="005E0B7B"/>
    <w:rsid w:val="005E4573"/>
    <w:rsid w:val="005F51B4"/>
    <w:rsid w:val="005F5F54"/>
    <w:rsid w:val="00601D05"/>
    <w:rsid w:val="0060250A"/>
    <w:rsid w:val="00611E14"/>
    <w:rsid w:val="00612C71"/>
    <w:rsid w:val="00612D47"/>
    <w:rsid w:val="006158B8"/>
    <w:rsid w:val="006178DA"/>
    <w:rsid w:val="006262E8"/>
    <w:rsid w:val="006376F8"/>
    <w:rsid w:val="00641027"/>
    <w:rsid w:val="006466AF"/>
    <w:rsid w:val="00672499"/>
    <w:rsid w:val="00672B56"/>
    <w:rsid w:val="00676840"/>
    <w:rsid w:val="0068188E"/>
    <w:rsid w:val="00682571"/>
    <w:rsid w:val="006858E4"/>
    <w:rsid w:val="00687824"/>
    <w:rsid w:val="00694273"/>
    <w:rsid w:val="00696C36"/>
    <w:rsid w:val="006A0F24"/>
    <w:rsid w:val="006A14C8"/>
    <w:rsid w:val="006A3A44"/>
    <w:rsid w:val="006A5AB3"/>
    <w:rsid w:val="006B2013"/>
    <w:rsid w:val="006B245F"/>
    <w:rsid w:val="006B2D12"/>
    <w:rsid w:val="006B3B6E"/>
    <w:rsid w:val="006B6F48"/>
    <w:rsid w:val="006D1755"/>
    <w:rsid w:val="006E089B"/>
    <w:rsid w:val="006E5B75"/>
    <w:rsid w:val="006E6756"/>
    <w:rsid w:val="006F25D2"/>
    <w:rsid w:val="006F700D"/>
    <w:rsid w:val="0070410B"/>
    <w:rsid w:val="007236EE"/>
    <w:rsid w:val="007273B5"/>
    <w:rsid w:val="00744F60"/>
    <w:rsid w:val="00746A4A"/>
    <w:rsid w:val="00752186"/>
    <w:rsid w:val="00755BBA"/>
    <w:rsid w:val="00760727"/>
    <w:rsid w:val="0076224A"/>
    <w:rsid w:val="0076395D"/>
    <w:rsid w:val="00771C5A"/>
    <w:rsid w:val="00775E42"/>
    <w:rsid w:val="007818DA"/>
    <w:rsid w:val="007823D3"/>
    <w:rsid w:val="00786003"/>
    <w:rsid w:val="007864D0"/>
    <w:rsid w:val="00787374"/>
    <w:rsid w:val="00791818"/>
    <w:rsid w:val="0079379D"/>
    <w:rsid w:val="007940AB"/>
    <w:rsid w:val="00794CC4"/>
    <w:rsid w:val="007966D1"/>
    <w:rsid w:val="007A4DE5"/>
    <w:rsid w:val="007A6E22"/>
    <w:rsid w:val="007B211D"/>
    <w:rsid w:val="007B2A8E"/>
    <w:rsid w:val="007C10D6"/>
    <w:rsid w:val="007C473C"/>
    <w:rsid w:val="007D2770"/>
    <w:rsid w:val="007D43ED"/>
    <w:rsid w:val="007D56D0"/>
    <w:rsid w:val="007E15D3"/>
    <w:rsid w:val="007E344E"/>
    <w:rsid w:val="007E5035"/>
    <w:rsid w:val="007E7C49"/>
    <w:rsid w:val="007F7DB2"/>
    <w:rsid w:val="00806E58"/>
    <w:rsid w:val="008167FC"/>
    <w:rsid w:val="00821EAD"/>
    <w:rsid w:val="0082250C"/>
    <w:rsid w:val="008251C2"/>
    <w:rsid w:val="0083789F"/>
    <w:rsid w:val="00840FB1"/>
    <w:rsid w:val="00844C7E"/>
    <w:rsid w:val="008504C5"/>
    <w:rsid w:val="0085443A"/>
    <w:rsid w:val="00861127"/>
    <w:rsid w:val="00863594"/>
    <w:rsid w:val="00864B02"/>
    <w:rsid w:val="00864F06"/>
    <w:rsid w:val="008701D5"/>
    <w:rsid w:val="00870468"/>
    <w:rsid w:val="0089061E"/>
    <w:rsid w:val="008A28AD"/>
    <w:rsid w:val="008A6581"/>
    <w:rsid w:val="008B23F8"/>
    <w:rsid w:val="008B28FE"/>
    <w:rsid w:val="008B3FD4"/>
    <w:rsid w:val="008C573E"/>
    <w:rsid w:val="008D19AA"/>
    <w:rsid w:val="008E0BC1"/>
    <w:rsid w:val="008E0F57"/>
    <w:rsid w:val="008E3886"/>
    <w:rsid w:val="008F4E63"/>
    <w:rsid w:val="009077C6"/>
    <w:rsid w:val="00916D3E"/>
    <w:rsid w:val="00920441"/>
    <w:rsid w:val="00924AF5"/>
    <w:rsid w:val="0093096E"/>
    <w:rsid w:val="00942698"/>
    <w:rsid w:val="00942E14"/>
    <w:rsid w:val="00945E38"/>
    <w:rsid w:val="00951BD6"/>
    <w:rsid w:val="0095268B"/>
    <w:rsid w:val="00956551"/>
    <w:rsid w:val="009568B7"/>
    <w:rsid w:val="00960BA3"/>
    <w:rsid w:val="00963C35"/>
    <w:rsid w:val="00965155"/>
    <w:rsid w:val="009701C0"/>
    <w:rsid w:val="00972A8D"/>
    <w:rsid w:val="00984640"/>
    <w:rsid w:val="00984A25"/>
    <w:rsid w:val="00992610"/>
    <w:rsid w:val="0099321E"/>
    <w:rsid w:val="009968F2"/>
    <w:rsid w:val="00996D31"/>
    <w:rsid w:val="009A780A"/>
    <w:rsid w:val="009B7016"/>
    <w:rsid w:val="009C3B02"/>
    <w:rsid w:val="009D08AD"/>
    <w:rsid w:val="009E2170"/>
    <w:rsid w:val="009E65DD"/>
    <w:rsid w:val="009F69E3"/>
    <w:rsid w:val="00A0624A"/>
    <w:rsid w:val="00A078B8"/>
    <w:rsid w:val="00A1737F"/>
    <w:rsid w:val="00A17874"/>
    <w:rsid w:val="00A17B39"/>
    <w:rsid w:val="00A27D70"/>
    <w:rsid w:val="00A41358"/>
    <w:rsid w:val="00A44CF0"/>
    <w:rsid w:val="00A462C6"/>
    <w:rsid w:val="00A463F9"/>
    <w:rsid w:val="00A469A1"/>
    <w:rsid w:val="00A52D22"/>
    <w:rsid w:val="00A53042"/>
    <w:rsid w:val="00A547F4"/>
    <w:rsid w:val="00A614BF"/>
    <w:rsid w:val="00A61D3F"/>
    <w:rsid w:val="00A620B1"/>
    <w:rsid w:val="00A6528B"/>
    <w:rsid w:val="00A82A04"/>
    <w:rsid w:val="00A839B6"/>
    <w:rsid w:val="00A84DA8"/>
    <w:rsid w:val="00A865E5"/>
    <w:rsid w:val="00A94EB5"/>
    <w:rsid w:val="00AA12F3"/>
    <w:rsid w:val="00AA21F5"/>
    <w:rsid w:val="00AA5424"/>
    <w:rsid w:val="00AA552D"/>
    <w:rsid w:val="00AA678A"/>
    <w:rsid w:val="00AB4826"/>
    <w:rsid w:val="00AC3192"/>
    <w:rsid w:val="00AC772B"/>
    <w:rsid w:val="00AD1B0E"/>
    <w:rsid w:val="00AD49B9"/>
    <w:rsid w:val="00AD4B1E"/>
    <w:rsid w:val="00AD546F"/>
    <w:rsid w:val="00AE17B5"/>
    <w:rsid w:val="00AE57ED"/>
    <w:rsid w:val="00AE73BB"/>
    <w:rsid w:val="00AF5552"/>
    <w:rsid w:val="00AF5A1B"/>
    <w:rsid w:val="00AF7C53"/>
    <w:rsid w:val="00B00263"/>
    <w:rsid w:val="00B0196E"/>
    <w:rsid w:val="00B036F7"/>
    <w:rsid w:val="00B101D8"/>
    <w:rsid w:val="00B163CD"/>
    <w:rsid w:val="00B21390"/>
    <w:rsid w:val="00B23F9A"/>
    <w:rsid w:val="00B257E2"/>
    <w:rsid w:val="00B30479"/>
    <w:rsid w:val="00B30A08"/>
    <w:rsid w:val="00B3154D"/>
    <w:rsid w:val="00B32F9C"/>
    <w:rsid w:val="00B34AE1"/>
    <w:rsid w:val="00B35816"/>
    <w:rsid w:val="00B439C5"/>
    <w:rsid w:val="00B43F4A"/>
    <w:rsid w:val="00B531EA"/>
    <w:rsid w:val="00B538E8"/>
    <w:rsid w:val="00B56B15"/>
    <w:rsid w:val="00B62268"/>
    <w:rsid w:val="00B75E4C"/>
    <w:rsid w:val="00B822C0"/>
    <w:rsid w:val="00B8638E"/>
    <w:rsid w:val="00B87237"/>
    <w:rsid w:val="00B925B8"/>
    <w:rsid w:val="00B928A1"/>
    <w:rsid w:val="00BA1FF4"/>
    <w:rsid w:val="00BA389D"/>
    <w:rsid w:val="00BA6357"/>
    <w:rsid w:val="00BA7BA7"/>
    <w:rsid w:val="00BC0219"/>
    <w:rsid w:val="00BC0F1D"/>
    <w:rsid w:val="00BC1308"/>
    <w:rsid w:val="00BC4016"/>
    <w:rsid w:val="00BC4349"/>
    <w:rsid w:val="00BC60B3"/>
    <w:rsid w:val="00BD1CEF"/>
    <w:rsid w:val="00BD2F4B"/>
    <w:rsid w:val="00BD502C"/>
    <w:rsid w:val="00BD6B1F"/>
    <w:rsid w:val="00BE0BC5"/>
    <w:rsid w:val="00BF3118"/>
    <w:rsid w:val="00BF3545"/>
    <w:rsid w:val="00BF4A3A"/>
    <w:rsid w:val="00BF7E69"/>
    <w:rsid w:val="00C032BE"/>
    <w:rsid w:val="00C0741D"/>
    <w:rsid w:val="00C14D24"/>
    <w:rsid w:val="00C15F23"/>
    <w:rsid w:val="00C20AD0"/>
    <w:rsid w:val="00C25F7C"/>
    <w:rsid w:val="00C31D78"/>
    <w:rsid w:val="00C32118"/>
    <w:rsid w:val="00C4219C"/>
    <w:rsid w:val="00C4397C"/>
    <w:rsid w:val="00C46321"/>
    <w:rsid w:val="00C50134"/>
    <w:rsid w:val="00C56D00"/>
    <w:rsid w:val="00C60DBD"/>
    <w:rsid w:val="00C6120B"/>
    <w:rsid w:val="00C6441B"/>
    <w:rsid w:val="00C70C3F"/>
    <w:rsid w:val="00C72475"/>
    <w:rsid w:val="00C84548"/>
    <w:rsid w:val="00C85E8A"/>
    <w:rsid w:val="00C868F7"/>
    <w:rsid w:val="00C924F5"/>
    <w:rsid w:val="00C9750A"/>
    <w:rsid w:val="00CA21A1"/>
    <w:rsid w:val="00CB0FB2"/>
    <w:rsid w:val="00CB4FF0"/>
    <w:rsid w:val="00CB5331"/>
    <w:rsid w:val="00CB724D"/>
    <w:rsid w:val="00CB7D82"/>
    <w:rsid w:val="00CC0295"/>
    <w:rsid w:val="00CC37CD"/>
    <w:rsid w:val="00CC47BE"/>
    <w:rsid w:val="00CC68D7"/>
    <w:rsid w:val="00CE200C"/>
    <w:rsid w:val="00CF63DE"/>
    <w:rsid w:val="00D00965"/>
    <w:rsid w:val="00D10162"/>
    <w:rsid w:val="00D1237B"/>
    <w:rsid w:val="00D1652B"/>
    <w:rsid w:val="00D16663"/>
    <w:rsid w:val="00D210CA"/>
    <w:rsid w:val="00D2303B"/>
    <w:rsid w:val="00D23D80"/>
    <w:rsid w:val="00D31A14"/>
    <w:rsid w:val="00D32CCD"/>
    <w:rsid w:val="00D3358F"/>
    <w:rsid w:val="00D335B1"/>
    <w:rsid w:val="00D401B8"/>
    <w:rsid w:val="00D5520A"/>
    <w:rsid w:val="00D64A01"/>
    <w:rsid w:val="00D73806"/>
    <w:rsid w:val="00D7561B"/>
    <w:rsid w:val="00D77E65"/>
    <w:rsid w:val="00D831D9"/>
    <w:rsid w:val="00D8738F"/>
    <w:rsid w:val="00D87428"/>
    <w:rsid w:val="00D92683"/>
    <w:rsid w:val="00DA5E8E"/>
    <w:rsid w:val="00DA7817"/>
    <w:rsid w:val="00DB1EAE"/>
    <w:rsid w:val="00DC6E57"/>
    <w:rsid w:val="00DC74FD"/>
    <w:rsid w:val="00DD110C"/>
    <w:rsid w:val="00DD5D0A"/>
    <w:rsid w:val="00DD658F"/>
    <w:rsid w:val="00DE75FF"/>
    <w:rsid w:val="00DF7B09"/>
    <w:rsid w:val="00E021D5"/>
    <w:rsid w:val="00E045C5"/>
    <w:rsid w:val="00E079CE"/>
    <w:rsid w:val="00E10798"/>
    <w:rsid w:val="00E203F8"/>
    <w:rsid w:val="00E24404"/>
    <w:rsid w:val="00E30433"/>
    <w:rsid w:val="00E313EB"/>
    <w:rsid w:val="00E319B1"/>
    <w:rsid w:val="00E3596F"/>
    <w:rsid w:val="00E36981"/>
    <w:rsid w:val="00E37790"/>
    <w:rsid w:val="00E40818"/>
    <w:rsid w:val="00E41401"/>
    <w:rsid w:val="00E42559"/>
    <w:rsid w:val="00E43D18"/>
    <w:rsid w:val="00E43E9B"/>
    <w:rsid w:val="00E46D09"/>
    <w:rsid w:val="00E47D33"/>
    <w:rsid w:val="00E517EB"/>
    <w:rsid w:val="00E543CB"/>
    <w:rsid w:val="00E62454"/>
    <w:rsid w:val="00E62DCB"/>
    <w:rsid w:val="00E84847"/>
    <w:rsid w:val="00E86FDB"/>
    <w:rsid w:val="00E914AA"/>
    <w:rsid w:val="00E924EA"/>
    <w:rsid w:val="00EA5C02"/>
    <w:rsid w:val="00EB0798"/>
    <w:rsid w:val="00EB1536"/>
    <w:rsid w:val="00EB33C2"/>
    <w:rsid w:val="00EB5543"/>
    <w:rsid w:val="00EC0E02"/>
    <w:rsid w:val="00EC2916"/>
    <w:rsid w:val="00EC5731"/>
    <w:rsid w:val="00EF0199"/>
    <w:rsid w:val="00EF082D"/>
    <w:rsid w:val="00EF0B1A"/>
    <w:rsid w:val="00EF494C"/>
    <w:rsid w:val="00F058B6"/>
    <w:rsid w:val="00F066AD"/>
    <w:rsid w:val="00F06D92"/>
    <w:rsid w:val="00F06E6B"/>
    <w:rsid w:val="00F07DCB"/>
    <w:rsid w:val="00F1262C"/>
    <w:rsid w:val="00F23E30"/>
    <w:rsid w:val="00F2609C"/>
    <w:rsid w:val="00F36F3A"/>
    <w:rsid w:val="00F40A58"/>
    <w:rsid w:val="00F41B29"/>
    <w:rsid w:val="00F46F77"/>
    <w:rsid w:val="00F561EC"/>
    <w:rsid w:val="00F577F8"/>
    <w:rsid w:val="00F60AE4"/>
    <w:rsid w:val="00F61BB8"/>
    <w:rsid w:val="00F61E80"/>
    <w:rsid w:val="00F6282C"/>
    <w:rsid w:val="00F62B9E"/>
    <w:rsid w:val="00F670DC"/>
    <w:rsid w:val="00F67CD8"/>
    <w:rsid w:val="00F72D89"/>
    <w:rsid w:val="00F8133E"/>
    <w:rsid w:val="00F82897"/>
    <w:rsid w:val="00F859D1"/>
    <w:rsid w:val="00F925F5"/>
    <w:rsid w:val="00F96024"/>
    <w:rsid w:val="00FA363E"/>
    <w:rsid w:val="00FA7ECA"/>
    <w:rsid w:val="00FB2E2D"/>
    <w:rsid w:val="00FC0A51"/>
    <w:rsid w:val="00FC236C"/>
    <w:rsid w:val="00FC259A"/>
    <w:rsid w:val="00FC2CBB"/>
    <w:rsid w:val="00FC4F1B"/>
    <w:rsid w:val="00FC66E9"/>
    <w:rsid w:val="00FC7625"/>
    <w:rsid w:val="00FD411D"/>
    <w:rsid w:val="00FE6424"/>
    <w:rsid w:val="00FF0EA5"/>
    <w:rsid w:val="00FF37C0"/>
    <w:rsid w:val="00FF477B"/>
    <w:rsid w:val="00FF5899"/>
    <w:rsid w:val="05D2EDCA"/>
    <w:rsid w:val="4E44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4EED"/>
  <w15:chartTrackingRefBased/>
  <w15:docId w15:val="{81A663E7-DBF3-4103-918A-40EB41D8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EA"/>
  </w:style>
  <w:style w:type="paragraph" w:styleId="Heading1">
    <w:name w:val="heading 1"/>
    <w:basedOn w:val="Normal"/>
    <w:next w:val="Normal"/>
    <w:link w:val="Heading1Char"/>
    <w:uiPriority w:val="9"/>
    <w:qFormat/>
    <w:rsid w:val="00984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4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4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84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4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4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84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A25"/>
    <w:rPr>
      <w:rFonts w:eastAsiaTheme="majorEastAsia" w:cstheme="majorBidi"/>
      <w:color w:val="272727" w:themeColor="text1" w:themeTint="D8"/>
    </w:rPr>
  </w:style>
  <w:style w:type="paragraph" w:styleId="Title">
    <w:name w:val="Title"/>
    <w:basedOn w:val="Normal"/>
    <w:next w:val="Normal"/>
    <w:link w:val="TitleChar"/>
    <w:uiPriority w:val="10"/>
    <w:qFormat/>
    <w:rsid w:val="00984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A25"/>
    <w:pPr>
      <w:spacing w:before="160"/>
      <w:jc w:val="center"/>
    </w:pPr>
    <w:rPr>
      <w:i/>
      <w:iCs/>
      <w:color w:val="404040" w:themeColor="text1" w:themeTint="BF"/>
    </w:rPr>
  </w:style>
  <w:style w:type="character" w:customStyle="1" w:styleId="QuoteChar">
    <w:name w:val="Quote Char"/>
    <w:basedOn w:val="DefaultParagraphFont"/>
    <w:link w:val="Quote"/>
    <w:uiPriority w:val="29"/>
    <w:rsid w:val="00984A25"/>
    <w:rPr>
      <w:i/>
      <w:iCs/>
      <w:color w:val="404040" w:themeColor="text1" w:themeTint="BF"/>
    </w:r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Bull,St"/>
    <w:basedOn w:val="Normal"/>
    <w:link w:val="ListParagraphChar"/>
    <w:uiPriority w:val="34"/>
    <w:qFormat/>
    <w:rsid w:val="00984A25"/>
    <w:pPr>
      <w:ind w:left="720"/>
      <w:contextualSpacing/>
    </w:pPr>
  </w:style>
  <w:style w:type="character" w:styleId="IntenseEmphasis">
    <w:name w:val="Intense Emphasis"/>
    <w:basedOn w:val="DefaultParagraphFont"/>
    <w:uiPriority w:val="21"/>
    <w:qFormat/>
    <w:rsid w:val="00984A25"/>
    <w:rPr>
      <w:i/>
      <w:iCs/>
      <w:color w:val="0F4761" w:themeColor="accent1" w:themeShade="BF"/>
    </w:rPr>
  </w:style>
  <w:style w:type="paragraph" w:styleId="IntenseQuote">
    <w:name w:val="Intense Quote"/>
    <w:basedOn w:val="Normal"/>
    <w:next w:val="Normal"/>
    <w:link w:val="IntenseQuoteChar"/>
    <w:uiPriority w:val="30"/>
    <w:qFormat/>
    <w:rsid w:val="00984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A25"/>
    <w:rPr>
      <w:i/>
      <w:iCs/>
      <w:color w:val="0F4761" w:themeColor="accent1" w:themeShade="BF"/>
    </w:rPr>
  </w:style>
  <w:style w:type="character" w:styleId="IntenseReference">
    <w:name w:val="Intense Reference"/>
    <w:basedOn w:val="DefaultParagraphFont"/>
    <w:uiPriority w:val="32"/>
    <w:qFormat/>
    <w:rsid w:val="00984A25"/>
    <w:rPr>
      <w:b/>
      <w:bCs/>
      <w:smallCaps/>
      <w:color w:val="0F4761" w:themeColor="accent1" w:themeShade="BF"/>
      <w:spacing w:val="5"/>
    </w:rPr>
  </w:style>
  <w:style w:type="table" w:styleId="TableGrid">
    <w:name w:val="Table Grid"/>
    <w:basedOn w:val="TableNormal"/>
    <w:uiPriority w:val="39"/>
    <w:rsid w:val="0077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basedOn w:val="DefaultParagraphFont"/>
    <w:link w:val="FootnotesymbolCarZchn"/>
    <w:uiPriority w:val="99"/>
    <w:unhideWhenUsed/>
    <w:qFormat/>
    <w:rsid w:val="00F925F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925F5"/>
    <w:pPr>
      <w:spacing w:line="240" w:lineRule="exact"/>
      <w:jc w:val="both"/>
    </w:pPr>
    <w:rPr>
      <w:vertAlign w:val="superscript"/>
    </w:rPr>
  </w:style>
  <w:style w:type="paragraph" w:styleId="CommentText">
    <w:name w:val="annotation text"/>
    <w:basedOn w:val="Normal"/>
    <w:link w:val="CommentTextChar"/>
    <w:uiPriority w:val="99"/>
    <w:unhideWhenUsed/>
    <w:rsid w:val="0024547E"/>
    <w:pPr>
      <w:spacing w:line="240" w:lineRule="auto"/>
    </w:pPr>
    <w:rPr>
      <w:sz w:val="20"/>
      <w:szCs w:val="20"/>
    </w:rPr>
  </w:style>
  <w:style w:type="character" w:customStyle="1" w:styleId="CommentTextChar">
    <w:name w:val="Comment Text Char"/>
    <w:basedOn w:val="DefaultParagraphFont"/>
    <w:link w:val="CommentText"/>
    <w:uiPriority w:val="99"/>
    <w:rsid w:val="0024547E"/>
    <w:rPr>
      <w:sz w:val="20"/>
      <w:szCs w:val="20"/>
    </w:rPr>
  </w:style>
  <w:style w:type="character" w:styleId="CommentReference">
    <w:name w:val="annotation reference"/>
    <w:uiPriority w:val="99"/>
    <w:rsid w:val="0024547E"/>
    <w:rPr>
      <w:sz w:val="16"/>
      <w:szCs w:val="16"/>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Bull Char"/>
    <w:link w:val="ListParagraph"/>
    <w:uiPriority w:val="34"/>
    <w:qFormat/>
    <w:locked/>
    <w:rsid w:val="00AA21F5"/>
  </w:style>
  <w:style w:type="paragraph" w:styleId="FootnoteText">
    <w:name w:val="footnote text"/>
    <w:basedOn w:val="Normal"/>
    <w:link w:val="FootnoteTextChar"/>
    <w:uiPriority w:val="99"/>
    <w:semiHidden/>
    <w:unhideWhenUsed/>
    <w:rsid w:val="000B6E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EE7"/>
    <w:rPr>
      <w:sz w:val="20"/>
      <w:szCs w:val="20"/>
    </w:rPr>
  </w:style>
  <w:style w:type="paragraph" w:customStyle="1" w:styleId="Headingsmall">
    <w:name w:val="Heading small"/>
    <w:basedOn w:val="ListBullet"/>
    <w:rsid w:val="001A3F1A"/>
    <w:pPr>
      <w:keepNext/>
      <w:numPr>
        <w:numId w:val="0"/>
      </w:numPr>
      <w:spacing w:before="240" w:after="120" w:line="259" w:lineRule="auto"/>
      <w:contextualSpacing w:val="0"/>
    </w:pPr>
    <w:rPr>
      <w:rFonts w:eastAsiaTheme="minorEastAsia"/>
      <w:b/>
      <w:bCs/>
      <w:i/>
      <w:iCs/>
      <w:kern w:val="0"/>
      <w:szCs w:val="22"/>
      <w:lang w:val="lv-LV" w:eastAsia="en-AU"/>
      <w14:ligatures w14:val="none"/>
    </w:rPr>
  </w:style>
  <w:style w:type="paragraph" w:styleId="ListBullet">
    <w:name w:val="List Bullet"/>
    <w:basedOn w:val="Normal"/>
    <w:uiPriority w:val="99"/>
    <w:unhideWhenUsed/>
    <w:rsid w:val="001A3F1A"/>
    <w:pPr>
      <w:numPr>
        <w:numId w:val="2"/>
      </w:numPr>
      <w:contextualSpacing/>
    </w:pPr>
  </w:style>
  <w:style w:type="paragraph" w:customStyle="1" w:styleId="buletsss">
    <w:name w:val="buletsss"/>
    <w:basedOn w:val="ListBullet"/>
    <w:link w:val="buletsssChar"/>
    <w:rsid w:val="00760727"/>
    <w:pPr>
      <w:numPr>
        <w:numId w:val="0"/>
      </w:numPr>
      <w:tabs>
        <w:tab w:val="num" w:pos="360"/>
      </w:tabs>
      <w:spacing w:before="120" w:after="120" w:line="259" w:lineRule="auto"/>
      <w:ind w:left="360" w:hanging="360"/>
      <w:contextualSpacing w:val="0"/>
      <w:jc w:val="both"/>
    </w:pPr>
    <w:rPr>
      <w:rFonts w:ascii="Arial" w:eastAsiaTheme="minorEastAsia" w:hAnsi="Arial"/>
      <w:kern w:val="0"/>
      <w:szCs w:val="18"/>
      <w:lang w:val="lv-LV" w:eastAsia="en-AU"/>
      <w14:ligatures w14:val="none"/>
    </w:rPr>
  </w:style>
  <w:style w:type="character" w:customStyle="1" w:styleId="buletsssChar">
    <w:name w:val="buletsss Char"/>
    <w:basedOn w:val="DefaultParagraphFont"/>
    <w:link w:val="buletsss"/>
    <w:rsid w:val="00760727"/>
    <w:rPr>
      <w:rFonts w:ascii="Arial" w:eastAsiaTheme="minorEastAsia" w:hAnsi="Arial"/>
      <w:kern w:val="0"/>
      <w:szCs w:val="18"/>
      <w:lang w:val="lv-LV" w:eastAsia="en-AU"/>
      <w14:ligatures w14:val="none"/>
    </w:rPr>
  </w:style>
  <w:style w:type="paragraph" w:styleId="NormalWeb">
    <w:name w:val="Normal (Web)"/>
    <w:basedOn w:val="Normal"/>
    <w:uiPriority w:val="99"/>
    <w:semiHidden/>
    <w:unhideWhenUsed/>
    <w:rsid w:val="001B7BB2"/>
    <w:rPr>
      <w:rFonts w:ascii="Times New Roman" w:hAnsi="Times New Roman" w:cs="Times New Roman"/>
    </w:rPr>
  </w:style>
  <w:style w:type="paragraph" w:styleId="Header">
    <w:name w:val="header"/>
    <w:basedOn w:val="Normal"/>
    <w:link w:val="HeaderChar"/>
    <w:uiPriority w:val="99"/>
    <w:rsid w:val="00F23E30"/>
    <w:pPr>
      <w:tabs>
        <w:tab w:val="center" w:pos="4153"/>
        <w:tab w:val="right" w:pos="8306"/>
      </w:tabs>
      <w:spacing w:line="259" w:lineRule="auto"/>
    </w:pPr>
    <w:rPr>
      <w:rFonts w:eastAsiaTheme="minorEastAsia"/>
      <w:kern w:val="0"/>
      <w:szCs w:val="22"/>
      <w:lang w:val="en-AU" w:eastAsia="en-AU"/>
      <w14:ligatures w14:val="none"/>
    </w:rPr>
  </w:style>
  <w:style w:type="character" w:customStyle="1" w:styleId="HeaderChar">
    <w:name w:val="Header Char"/>
    <w:basedOn w:val="DefaultParagraphFont"/>
    <w:link w:val="Header"/>
    <w:uiPriority w:val="99"/>
    <w:rsid w:val="00F23E30"/>
    <w:rPr>
      <w:rFonts w:eastAsiaTheme="minorEastAsia"/>
      <w:kern w:val="0"/>
      <w:szCs w:val="22"/>
      <w:lang w:val="en-AU" w:eastAsia="en-AU"/>
      <w14:ligatures w14:val="none"/>
    </w:rPr>
  </w:style>
  <w:style w:type="paragraph" w:styleId="Footer">
    <w:name w:val="footer"/>
    <w:basedOn w:val="Normal"/>
    <w:link w:val="FooterChar"/>
    <w:uiPriority w:val="99"/>
    <w:rsid w:val="00F23E30"/>
    <w:pPr>
      <w:tabs>
        <w:tab w:val="center" w:pos="4153"/>
        <w:tab w:val="right" w:pos="8306"/>
      </w:tabs>
      <w:spacing w:line="259" w:lineRule="auto"/>
    </w:pPr>
    <w:rPr>
      <w:rFonts w:eastAsiaTheme="minorEastAsia"/>
      <w:kern w:val="0"/>
      <w:szCs w:val="22"/>
      <w:lang w:val="en-AU" w:eastAsia="en-AU"/>
      <w14:ligatures w14:val="none"/>
    </w:rPr>
  </w:style>
  <w:style w:type="character" w:customStyle="1" w:styleId="FooterChar">
    <w:name w:val="Footer Char"/>
    <w:basedOn w:val="DefaultParagraphFont"/>
    <w:link w:val="Footer"/>
    <w:uiPriority w:val="99"/>
    <w:rsid w:val="00F23E30"/>
    <w:rPr>
      <w:rFonts w:eastAsiaTheme="minorEastAsia"/>
      <w:kern w:val="0"/>
      <w:szCs w:val="22"/>
      <w:lang w:val="en-AU" w:eastAsia="en-AU"/>
      <w14:ligatures w14:val="none"/>
    </w:rPr>
  </w:style>
  <w:style w:type="character" w:styleId="Hyperlink">
    <w:name w:val="Hyperlink"/>
    <w:uiPriority w:val="99"/>
    <w:rsid w:val="00140953"/>
    <w:rPr>
      <w:rFonts w:cs="Times New Roman"/>
      <w:color w:val="0000FF"/>
      <w:u w:val="single"/>
    </w:rPr>
  </w:style>
  <w:style w:type="table" w:customStyle="1" w:styleId="PwCTableText11331">
    <w:name w:val="PwC Table Text11331"/>
    <w:basedOn w:val="TableNormal"/>
    <w:uiPriority w:val="99"/>
    <w:rsid w:val="00E37790"/>
    <w:pPr>
      <w:spacing w:before="100" w:beforeAutospacing="1" w:after="100" w:afterAutospacing="1" w:line="240" w:lineRule="auto"/>
    </w:pPr>
    <w:rPr>
      <w:rFonts w:ascii="Arial" w:hAnsi="Arial"/>
      <w:kern w:val="0"/>
      <w:sz w:val="18"/>
      <w:szCs w:val="20"/>
      <w14:ligatures w14:val="none"/>
    </w:rPr>
    <w:tblPr>
      <w:tblBorders>
        <w:insideH w:val="dotted" w:sz="4" w:space="0" w:color="D04A02"/>
      </w:tblBorders>
      <w:tblCellMar>
        <w:top w:w="72" w:type="dxa"/>
        <w:left w:w="115" w:type="dxa"/>
        <w:bottom w:w="72" w:type="dxa"/>
        <w:right w:w="115" w:type="dxa"/>
      </w:tblCellMar>
    </w:tblPr>
    <w:tcPr>
      <w:vAlign w:val="center"/>
    </w:tcPr>
    <w:tblStylePr w:type="firstRow">
      <w:pPr>
        <w:jc w:val="left"/>
      </w:pPr>
      <w:rPr>
        <w:rFonts w:ascii="Arial" w:hAnsi="Arial"/>
        <w:b/>
        <w:color w:val="D04A02"/>
        <w:sz w:val="18"/>
      </w:rPr>
      <w:tblPr/>
      <w:tcPr>
        <w:tcBorders>
          <w:top w:val="single" w:sz="6" w:space="0" w:color="D04A02"/>
          <w:left w:val="nil"/>
          <w:bottom w:val="single" w:sz="6" w:space="0" w:color="D04A0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988">
      <w:bodyDiv w:val="1"/>
      <w:marLeft w:val="0"/>
      <w:marRight w:val="0"/>
      <w:marTop w:val="0"/>
      <w:marBottom w:val="0"/>
      <w:divBdr>
        <w:top w:val="none" w:sz="0" w:space="0" w:color="auto"/>
        <w:left w:val="none" w:sz="0" w:space="0" w:color="auto"/>
        <w:bottom w:val="none" w:sz="0" w:space="0" w:color="auto"/>
        <w:right w:val="none" w:sz="0" w:space="0" w:color="auto"/>
      </w:divBdr>
    </w:div>
    <w:div w:id="29841213">
      <w:bodyDiv w:val="1"/>
      <w:marLeft w:val="0"/>
      <w:marRight w:val="0"/>
      <w:marTop w:val="0"/>
      <w:marBottom w:val="0"/>
      <w:divBdr>
        <w:top w:val="none" w:sz="0" w:space="0" w:color="auto"/>
        <w:left w:val="none" w:sz="0" w:space="0" w:color="auto"/>
        <w:bottom w:val="none" w:sz="0" w:space="0" w:color="auto"/>
        <w:right w:val="none" w:sz="0" w:space="0" w:color="auto"/>
      </w:divBdr>
    </w:div>
    <w:div w:id="77675854">
      <w:bodyDiv w:val="1"/>
      <w:marLeft w:val="0"/>
      <w:marRight w:val="0"/>
      <w:marTop w:val="0"/>
      <w:marBottom w:val="0"/>
      <w:divBdr>
        <w:top w:val="none" w:sz="0" w:space="0" w:color="auto"/>
        <w:left w:val="none" w:sz="0" w:space="0" w:color="auto"/>
        <w:bottom w:val="none" w:sz="0" w:space="0" w:color="auto"/>
        <w:right w:val="none" w:sz="0" w:space="0" w:color="auto"/>
      </w:divBdr>
    </w:div>
    <w:div w:id="153380647">
      <w:bodyDiv w:val="1"/>
      <w:marLeft w:val="0"/>
      <w:marRight w:val="0"/>
      <w:marTop w:val="0"/>
      <w:marBottom w:val="0"/>
      <w:divBdr>
        <w:top w:val="none" w:sz="0" w:space="0" w:color="auto"/>
        <w:left w:val="none" w:sz="0" w:space="0" w:color="auto"/>
        <w:bottom w:val="none" w:sz="0" w:space="0" w:color="auto"/>
        <w:right w:val="none" w:sz="0" w:space="0" w:color="auto"/>
      </w:divBdr>
    </w:div>
    <w:div w:id="233858452">
      <w:bodyDiv w:val="1"/>
      <w:marLeft w:val="0"/>
      <w:marRight w:val="0"/>
      <w:marTop w:val="0"/>
      <w:marBottom w:val="0"/>
      <w:divBdr>
        <w:top w:val="none" w:sz="0" w:space="0" w:color="auto"/>
        <w:left w:val="none" w:sz="0" w:space="0" w:color="auto"/>
        <w:bottom w:val="none" w:sz="0" w:space="0" w:color="auto"/>
        <w:right w:val="none" w:sz="0" w:space="0" w:color="auto"/>
      </w:divBdr>
    </w:div>
    <w:div w:id="242642555">
      <w:bodyDiv w:val="1"/>
      <w:marLeft w:val="0"/>
      <w:marRight w:val="0"/>
      <w:marTop w:val="0"/>
      <w:marBottom w:val="0"/>
      <w:divBdr>
        <w:top w:val="none" w:sz="0" w:space="0" w:color="auto"/>
        <w:left w:val="none" w:sz="0" w:space="0" w:color="auto"/>
        <w:bottom w:val="none" w:sz="0" w:space="0" w:color="auto"/>
        <w:right w:val="none" w:sz="0" w:space="0" w:color="auto"/>
      </w:divBdr>
    </w:div>
    <w:div w:id="258148539">
      <w:bodyDiv w:val="1"/>
      <w:marLeft w:val="0"/>
      <w:marRight w:val="0"/>
      <w:marTop w:val="0"/>
      <w:marBottom w:val="0"/>
      <w:divBdr>
        <w:top w:val="none" w:sz="0" w:space="0" w:color="auto"/>
        <w:left w:val="none" w:sz="0" w:space="0" w:color="auto"/>
        <w:bottom w:val="none" w:sz="0" w:space="0" w:color="auto"/>
        <w:right w:val="none" w:sz="0" w:space="0" w:color="auto"/>
      </w:divBdr>
    </w:div>
    <w:div w:id="435833868">
      <w:bodyDiv w:val="1"/>
      <w:marLeft w:val="0"/>
      <w:marRight w:val="0"/>
      <w:marTop w:val="0"/>
      <w:marBottom w:val="0"/>
      <w:divBdr>
        <w:top w:val="none" w:sz="0" w:space="0" w:color="auto"/>
        <w:left w:val="none" w:sz="0" w:space="0" w:color="auto"/>
        <w:bottom w:val="none" w:sz="0" w:space="0" w:color="auto"/>
        <w:right w:val="none" w:sz="0" w:space="0" w:color="auto"/>
      </w:divBdr>
    </w:div>
    <w:div w:id="487671216">
      <w:bodyDiv w:val="1"/>
      <w:marLeft w:val="0"/>
      <w:marRight w:val="0"/>
      <w:marTop w:val="0"/>
      <w:marBottom w:val="0"/>
      <w:divBdr>
        <w:top w:val="none" w:sz="0" w:space="0" w:color="auto"/>
        <w:left w:val="none" w:sz="0" w:space="0" w:color="auto"/>
        <w:bottom w:val="none" w:sz="0" w:space="0" w:color="auto"/>
        <w:right w:val="none" w:sz="0" w:space="0" w:color="auto"/>
      </w:divBdr>
    </w:div>
    <w:div w:id="494077641">
      <w:bodyDiv w:val="1"/>
      <w:marLeft w:val="0"/>
      <w:marRight w:val="0"/>
      <w:marTop w:val="0"/>
      <w:marBottom w:val="0"/>
      <w:divBdr>
        <w:top w:val="none" w:sz="0" w:space="0" w:color="auto"/>
        <w:left w:val="none" w:sz="0" w:space="0" w:color="auto"/>
        <w:bottom w:val="none" w:sz="0" w:space="0" w:color="auto"/>
        <w:right w:val="none" w:sz="0" w:space="0" w:color="auto"/>
      </w:divBdr>
    </w:div>
    <w:div w:id="498472044">
      <w:bodyDiv w:val="1"/>
      <w:marLeft w:val="0"/>
      <w:marRight w:val="0"/>
      <w:marTop w:val="0"/>
      <w:marBottom w:val="0"/>
      <w:divBdr>
        <w:top w:val="none" w:sz="0" w:space="0" w:color="auto"/>
        <w:left w:val="none" w:sz="0" w:space="0" w:color="auto"/>
        <w:bottom w:val="none" w:sz="0" w:space="0" w:color="auto"/>
        <w:right w:val="none" w:sz="0" w:space="0" w:color="auto"/>
      </w:divBdr>
    </w:div>
    <w:div w:id="508299113">
      <w:bodyDiv w:val="1"/>
      <w:marLeft w:val="0"/>
      <w:marRight w:val="0"/>
      <w:marTop w:val="0"/>
      <w:marBottom w:val="0"/>
      <w:divBdr>
        <w:top w:val="none" w:sz="0" w:space="0" w:color="auto"/>
        <w:left w:val="none" w:sz="0" w:space="0" w:color="auto"/>
        <w:bottom w:val="none" w:sz="0" w:space="0" w:color="auto"/>
        <w:right w:val="none" w:sz="0" w:space="0" w:color="auto"/>
      </w:divBdr>
    </w:div>
    <w:div w:id="586307602">
      <w:bodyDiv w:val="1"/>
      <w:marLeft w:val="0"/>
      <w:marRight w:val="0"/>
      <w:marTop w:val="0"/>
      <w:marBottom w:val="0"/>
      <w:divBdr>
        <w:top w:val="none" w:sz="0" w:space="0" w:color="auto"/>
        <w:left w:val="none" w:sz="0" w:space="0" w:color="auto"/>
        <w:bottom w:val="none" w:sz="0" w:space="0" w:color="auto"/>
        <w:right w:val="none" w:sz="0" w:space="0" w:color="auto"/>
      </w:divBdr>
    </w:div>
    <w:div w:id="593906234">
      <w:bodyDiv w:val="1"/>
      <w:marLeft w:val="0"/>
      <w:marRight w:val="0"/>
      <w:marTop w:val="0"/>
      <w:marBottom w:val="0"/>
      <w:divBdr>
        <w:top w:val="none" w:sz="0" w:space="0" w:color="auto"/>
        <w:left w:val="none" w:sz="0" w:space="0" w:color="auto"/>
        <w:bottom w:val="none" w:sz="0" w:space="0" w:color="auto"/>
        <w:right w:val="none" w:sz="0" w:space="0" w:color="auto"/>
      </w:divBdr>
    </w:div>
    <w:div w:id="614213432">
      <w:bodyDiv w:val="1"/>
      <w:marLeft w:val="0"/>
      <w:marRight w:val="0"/>
      <w:marTop w:val="0"/>
      <w:marBottom w:val="0"/>
      <w:divBdr>
        <w:top w:val="none" w:sz="0" w:space="0" w:color="auto"/>
        <w:left w:val="none" w:sz="0" w:space="0" w:color="auto"/>
        <w:bottom w:val="none" w:sz="0" w:space="0" w:color="auto"/>
        <w:right w:val="none" w:sz="0" w:space="0" w:color="auto"/>
      </w:divBdr>
    </w:div>
    <w:div w:id="671491732">
      <w:bodyDiv w:val="1"/>
      <w:marLeft w:val="0"/>
      <w:marRight w:val="0"/>
      <w:marTop w:val="0"/>
      <w:marBottom w:val="0"/>
      <w:divBdr>
        <w:top w:val="none" w:sz="0" w:space="0" w:color="auto"/>
        <w:left w:val="none" w:sz="0" w:space="0" w:color="auto"/>
        <w:bottom w:val="none" w:sz="0" w:space="0" w:color="auto"/>
        <w:right w:val="none" w:sz="0" w:space="0" w:color="auto"/>
      </w:divBdr>
    </w:div>
    <w:div w:id="686374195">
      <w:bodyDiv w:val="1"/>
      <w:marLeft w:val="0"/>
      <w:marRight w:val="0"/>
      <w:marTop w:val="0"/>
      <w:marBottom w:val="0"/>
      <w:divBdr>
        <w:top w:val="none" w:sz="0" w:space="0" w:color="auto"/>
        <w:left w:val="none" w:sz="0" w:space="0" w:color="auto"/>
        <w:bottom w:val="none" w:sz="0" w:space="0" w:color="auto"/>
        <w:right w:val="none" w:sz="0" w:space="0" w:color="auto"/>
      </w:divBdr>
    </w:div>
    <w:div w:id="697509988">
      <w:bodyDiv w:val="1"/>
      <w:marLeft w:val="0"/>
      <w:marRight w:val="0"/>
      <w:marTop w:val="0"/>
      <w:marBottom w:val="0"/>
      <w:divBdr>
        <w:top w:val="none" w:sz="0" w:space="0" w:color="auto"/>
        <w:left w:val="none" w:sz="0" w:space="0" w:color="auto"/>
        <w:bottom w:val="none" w:sz="0" w:space="0" w:color="auto"/>
        <w:right w:val="none" w:sz="0" w:space="0" w:color="auto"/>
      </w:divBdr>
    </w:div>
    <w:div w:id="768090092">
      <w:bodyDiv w:val="1"/>
      <w:marLeft w:val="0"/>
      <w:marRight w:val="0"/>
      <w:marTop w:val="0"/>
      <w:marBottom w:val="0"/>
      <w:divBdr>
        <w:top w:val="none" w:sz="0" w:space="0" w:color="auto"/>
        <w:left w:val="none" w:sz="0" w:space="0" w:color="auto"/>
        <w:bottom w:val="none" w:sz="0" w:space="0" w:color="auto"/>
        <w:right w:val="none" w:sz="0" w:space="0" w:color="auto"/>
      </w:divBdr>
    </w:div>
    <w:div w:id="821507918">
      <w:bodyDiv w:val="1"/>
      <w:marLeft w:val="0"/>
      <w:marRight w:val="0"/>
      <w:marTop w:val="0"/>
      <w:marBottom w:val="0"/>
      <w:divBdr>
        <w:top w:val="none" w:sz="0" w:space="0" w:color="auto"/>
        <w:left w:val="none" w:sz="0" w:space="0" w:color="auto"/>
        <w:bottom w:val="none" w:sz="0" w:space="0" w:color="auto"/>
        <w:right w:val="none" w:sz="0" w:space="0" w:color="auto"/>
      </w:divBdr>
    </w:div>
    <w:div w:id="854657060">
      <w:bodyDiv w:val="1"/>
      <w:marLeft w:val="0"/>
      <w:marRight w:val="0"/>
      <w:marTop w:val="0"/>
      <w:marBottom w:val="0"/>
      <w:divBdr>
        <w:top w:val="none" w:sz="0" w:space="0" w:color="auto"/>
        <w:left w:val="none" w:sz="0" w:space="0" w:color="auto"/>
        <w:bottom w:val="none" w:sz="0" w:space="0" w:color="auto"/>
        <w:right w:val="none" w:sz="0" w:space="0" w:color="auto"/>
      </w:divBdr>
    </w:div>
    <w:div w:id="966933417">
      <w:bodyDiv w:val="1"/>
      <w:marLeft w:val="0"/>
      <w:marRight w:val="0"/>
      <w:marTop w:val="0"/>
      <w:marBottom w:val="0"/>
      <w:divBdr>
        <w:top w:val="none" w:sz="0" w:space="0" w:color="auto"/>
        <w:left w:val="none" w:sz="0" w:space="0" w:color="auto"/>
        <w:bottom w:val="none" w:sz="0" w:space="0" w:color="auto"/>
        <w:right w:val="none" w:sz="0" w:space="0" w:color="auto"/>
      </w:divBdr>
    </w:div>
    <w:div w:id="988363714">
      <w:bodyDiv w:val="1"/>
      <w:marLeft w:val="0"/>
      <w:marRight w:val="0"/>
      <w:marTop w:val="0"/>
      <w:marBottom w:val="0"/>
      <w:divBdr>
        <w:top w:val="none" w:sz="0" w:space="0" w:color="auto"/>
        <w:left w:val="none" w:sz="0" w:space="0" w:color="auto"/>
        <w:bottom w:val="none" w:sz="0" w:space="0" w:color="auto"/>
        <w:right w:val="none" w:sz="0" w:space="0" w:color="auto"/>
      </w:divBdr>
    </w:div>
    <w:div w:id="1007713249">
      <w:bodyDiv w:val="1"/>
      <w:marLeft w:val="0"/>
      <w:marRight w:val="0"/>
      <w:marTop w:val="0"/>
      <w:marBottom w:val="0"/>
      <w:divBdr>
        <w:top w:val="none" w:sz="0" w:space="0" w:color="auto"/>
        <w:left w:val="none" w:sz="0" w:space="0" w:color="auto"/>
        <w:bottom w:val="none" w:sz="0" w:space="0" w:color="auto"/>
        <w:right w:val="none" w:sz="0" w:space="0" w:color="auto"/>
      </w:divBdr>
    </w:div>
    <w:div w:id="1031107276">
      <w:bodyDiv w:val="1"/>
      <w:marLeft w:val="0"/>
      <w:marRight w:val="0"/>
      <w:marTop w:val="0"/>
      <w:marBottom w:val="0"/>
      <w:divBdr>
        <w:top w:val="none" w:sz="0" w:space="0" w:color="auto"/>
        <w:left w:val="none" w:sz="0" w:space="0" w:color="auto"/>
        <w:bottom w:val="none" w:sz="0" w:space="0" w:color="auto"/>
        <w:right w:val="none" w:sz="0" w:space="0" w:color="auto"/>
      </w:divBdr>
    </w:div>
    <w:div w:id="1064379493">
      <w:bodyDiv w:val="1"/>
      <w:marLeft w:val="0"/>
      <w:marRight w:val="0"/>
      <w:marTop w:val="0"/>
      <w:marBottom w:val="0"/>
      <w:divBdr>
        <w:top w:val="none" w:sz="0" w:space="0" w:color="auto"/>
        <w:left w:val="none" w:sz="0" w:space="0" w:color="auto"/>
        <w:bottom w:val="none" w:sz="0" w:space="0" w:color="auto"/>
        <w:right w:val="none" w:sz="0" w:space="0" w:color="auto"/>
      </w:divBdr>
    </w:div>
    <w:div w:id="1079522438">
      <w:bodyDiv w:val="1"/>
      <w:marLeft w:val="0"/>
      <w:marRight w:val="0"/>
      <w:marTop w:val="0"/>
      <w:marBottom w:val="0"/>
      <w:divBdr>
        <w:top w:val="none" w:sz="0" w:space="0" w:color="auto"/>
        <w:left w:val="none" w:sz="0" w:space="0" w:color="auto"/>
        <w:bottom w:val="none" w:sz="0" w:space="0" w:color="auto"/>
        <w:right w:val="none" w:sz="0" w:space="0" w:color="auto"/>
      </w:divBdr>
    </w:div>
    <w:div w:id="1080952532">
      <w:bodyDiv w:val="1"/>
      <w:marLeft w:val="0"/>
      <w:marRight w:val="0"/>
      <w:marTop w:val="0"/>
      <w:marBottom w:val="0"/>
      <w:divBdr>
        <w:top w:val="none" w:sz="0" w:space="0" w:color="auto"/>
        <w:left w:val="none" w:sz="0" w:space="0" w:color="auto"/>
        <w:bottom w:val="none" w:sz="0" w:space="0" w:color="auto"/>
        <w:right w:val="none" w:sz="0" w:space="0" w:color="auto"/>
      </w:divBdr>
    </w:div>
    <w:div w:id="1142574932">
      <w:bodyDiv w:val="1"/>
      <w:marLeft w:val="0"/>
      <w:marRight w:val="0"/>
      <w:marTop w:val="0"/>
      <w:marBottom w:val="0"/>
      <w:divBdr>
        <w:top w:val="none" w:sz="0" w:space="0" w:color="auto"/>
        <w:left w:val="none" w:sz="0" w:space="0" w:color="auto"/>
        <w:bottom w:val="none" w:sz="0" w:space="0" w:color="auto"/>
        <w:right w:val="none" w:sz="0" w:space="0" w:color="auto"/>
      </w:divBdr>
    </w:div>
    <w:div w:id="1151361853">
      <w:bodyDiv w:val="1"/>
      <w:marLeft w:val="0"/>
      <w:marRight w:val="0"/>
      <w:marTop w:val="0"/>
      <w:marBottom w:val="0"/>
      <w:divBdr>
        <w:top w:val="none" w:sz="0" w:space="0" w:color="auto"/>
        <w:left w:val="none" w:sz="0" w:space="0" w:color="auto"/>
        <w:bottom w:val="none" w:sz="0" w:space="0" w:color="auto"/>
        <w:right w:val="none" w:sz="0" w:space="0" w:color="auto"/>
      </w:divBdr>
    </w:div>
    <w:div w:id="1192694002">
      <w:bodyDiv w:val="1"/>
      <w:marLeft w:val="0"/>
      <w:marRight w:val="0"/>
      <w:marTop w:val="0"/>
      <w:marBottom w:val="0"/>
      <w:divBdr>
        <w:top w:val="none" w:sz="0" w:space="0" w:color="auto"/>
        <w:left w:val="none" w:sz="0" w:space="0" w:color="auto"/>
        <w:bottom w:val="none" w:sz="0" w:space="0" w:color="auto"/>
        <w:right w:val="none" w:sz="0" w:space="0" w:color="auto"/>
      </w:divBdr>
    </w:div>
    <w:div w:id="1205872676">
      <w:bodyDiv w:val="1"/>
      <w:marLeft w:val="0"/>
      <w:marRight w:val="0"/>
      <w:marTop w:val="0"/>
      <w:marBottom w:val="0"/>
      <w:divBdr>
        <w:top w:val="none" w:sz="0" w:space="0" w:color="auto"/>
        <w:left w:val="none" w:sz="0" w:space="0" w:color="auto"/>
        <w:bottom w:val="none" w:sz="0" w:space="0" w:color="auto"/>
        <w:right w:val="none" w:sz="0" w:space="0" w:color="auto"/>
      </w:divBdr>
    </w:div>
    <w:div w:id="1288392252">
      <w:bodyDiv w:val="1"/>
      <w:marLeft w:val="0"/>
      <w:marRight w:val="0"/>
      <w:marTop w:val="0"/>
      <w:marBottom w:val="0"/>
      <w:divBdr>
        <w:top w:val="none" w:sz="0" w:space="0" w:color="auto"/>
        <w:left w:val="none" w:sz="0" w:space="0" w:color="auto"/>
        <w:bottom w:val="none" w:sz="0" w:space="0" w:color="auto"/>
        <w:right w:val="none" w:sz="0" w:space="0" w:color="auto"/>
      </w:divBdr>
    </w:div>
    <w:div w:id="1367485761">
      <w:bodyDiv w:val="1"/>
      <w:marLeft w:val="0"/>
      <w:marRight w:val="0"/>
      <w:marTop w:val="0"/>
      <w:marBottom w:val="0"/>
      <w:divBdr>
        <w:top w:val="none" w:sz="0" w:space="0" w:color="auto"/>
        <w:left w:val="none" w:sz="0" w:space="0" w:color="auto"/>
        <w:bottom w:val="none" w:sz="0" w:space="0" w:color="auto"/>
        <w:right w:val="none" w:sz="0" w:space="0" w:color="auto"/>
      </w:divBdr>
    </w:div>
    <w:div w:id="1374116426">
      <w:bodyDiv w:val="1"/>
      <w:marLeft w:val="0"/>
      <w:marRight w:val="0"/>
      <w:marTop w:val="0"/>
      <w:marBottom w:val="0"/>
      <w:divBdr>
        <w:top w:val="none" w:sz="0" w:space="0" w:color="auto"/>
        <w:left w:val="none" w:sz="0" w:space="0" w:color="auto"/>
        <w:bottom w:val="none" w:sz="0" w:space="0" w:color="auto"/>
        <w:right w:val="none" w:sz="0" w:space="0" w:color="auto"/>
      </w:divBdr>
    </w:div>
    <w:div w:id="1426802464">
      <w:bodyDiv w:val="1"/>
      <w:marLeft w:val="0"/>
      <w:marRight w:val="0"/>
      <w:marTop w:val="0"/>
      <w:marBottom w:val="0"/>
      <w:divBdr>
        <w:top w:val="none" w:sz="0" w:space="0" w:color="auto"/>
        <w:left w:val="none" w:sz="0" w:space="0" w:color="auto"/>
        <w:bottom w:val="none" w:sz="0" w:space="0" w:color="auto"/>
        <w:right w:val="none" w:sz="0" w:space="0" w:color="auto"/>
      </w:divBdr>
    </w:div>
    <w:div w:id="1459568461">
      <w:bodyDiv w:val="1"/>
      <w:marLeft w:val="0"/>
      <w:marRight w:val="0"/>
      <w:marTop w:val="0"/>
      <w:marBottom w:val="0"/>
      <w:divBdr>
        <w:top w:val="none" w:sz="0" w:space="0" w:color="auto"/>
        <w:left w:val="none" w:sz="0" w:space="0" w:color="auto"/>
        <w:bottom w:val="none" w:sz="0" w:space="0" w:color="auto"/>
        <w:right w:val="none" w:sz="0" w:space="0" w:color="auto"/>
      </w:divBdr>
    </w:div>
    <w:div w:id="1468933353">
      <w:bodyDiv w:val="1"/>
      <w:marLeft w:val="0"/>
      <w:marRight w:val="0"/>
      <w:marTop w:val="0"/>
      <w:marBottom w:val="0"/>
      <w:divBdr>
        <w:top w:val="none" w:sz="0" w:space="0" w:color="auto"/>
        <w:left w:val="none" w:sz="0" w:space="0" w:color="auto"/>
        <w:bottom w:val="none" w:sz="0" w:space="0" w:color="auto"/>
        <w:right w:val="none" w:sz="0" w:space="0" w:color="auto"/>
      </w:divBdr>
    </w:div>
    <w:div w:id="1578633319">
      <w:bodyDiv w:val="1"/>
      <w:marLeft w:val="0"/>
      <w:marRight w:val="0"/>
      <w:marTop w:val="0"/>
      <w:marBottom w:val="0"/>
      <w:divBdr>
        <w:top w:val="none" w:sz="0" w:space="0" w:color="auto"/>
        <w:left w:val="none" w:sz="0" w:space="0" w:color="auto"/>
        <w:bottom w:val="none" w:sz="0" w:space="0" w:color="auto"/>
        <w:right w:val="none" w:sz="0" w:space="0" w:color="auto"/>
      </w:divBdr>
    </w:div>
    <w:div w:id="1605845361">
      <w:bodyDiv w:val="1"/>
      <w:marLeft w:val="0"/>
      <w:marRight w:val="0"/>
      <w:marTop w:val="0"/>
      <w:marBottom w:val="0"/>
      <w:divBdr>
        <w:top w:val="none" w:sz="0" w:space="0" w:color="auto"/>
        <w:left w:val="none" w:sz="0" w:space="0" w:color="auto"/>
        <w:bottom w:val="none" w:sz="0" w:space="0" w:color="auto"/>
        <w:right w:val="none" w:sz="0" w:space="0" w:color="auto"/>
      </w:divBdr>
    </w:div>
    <w:div w:id="1607731758">
      <w:bodyDiv w:val="1"/>
      <w:marLeft w:val="0"/>
      <w:marRight w:val="0"/>
      <w:marTop w:val="0"/>
      <w:marBottom w:val="0"/>
      <w:divBdr>
        <w:top w:val="none" w:sz="0" w:space="0" w:color="auto"/>
        <w:left w:val="none" w:sz="0" w:space="0" w:color="auto"/>
        <w:bottom w:val="none" w:sz="0" w:space="0" w:color="auto"/>
        <w:right w:val="none" w:sz="0" w:space="0" w:color="auto"/>
      </w:divBdr>
    </w:div>
    <w:div w:id="1625192776">
      <w:bodyDiv w:val="1"/>
      <w:marLeft w:val="0"/>
      <w:marRight w:val="0"/>
      <w:marTop w:val="0"/>
      <w:marBottom w:val="0"/>
      <w:divBdr>
        <w:top w:val="none" w:sz="0" w:space="0" w:color="auto"/>
        <w:left w:val="none" w:sz="0" w:space="0" w:color="auto"/>
        <w:bottom w:val="none" w:sz="0" w:space="0" w:color="auto"/>
        <w:right w:val="none" w:sz="0" w:space="0" w:color="auto"/>
      </w:divBdr>
    </w:div>
    <w:div w:id="1675373804">
      <w:bodyDiv w:val="1"/>
      <w:marLeft w:val="0"/>
      <w:marRight w:val="0"/>
      <w:marTop w:val="0"/>
      <w:marBottom w:val="0"/>
      <w:divBdr>
        <w:top w:val="none" w:sz="0" w:space="0" w:color="auto"/>
        <w:left w:val="none" w:sz="0" w:space="0" w:color="auto"/>
        <w:bottom w:val="none" w:sz="0" w:space="0" w:color="auto"/>
        <w:right w:val="none" w:sz="0" w:space="0" w:color="auto"/>
      </w:divBdr>
    </w:div>
    <w:div w:id="1745562836">
      <w:bodyDiv w:val="1"/>
      <w:marLeft w:val="0"/>
      <w:marRight w:val="0"/>
      <w:marTop w:val="0"/>
      <w:marBottom w:val="0"/>
      <w:divBdr>
        <w:top w:val="none" w:sz="0" w:space="0" w:color="auto"/>
        <w:left w:val="none" w:sz="0" w:space="0" w:color="auto"/>
        <w:bottom w:val="none" w:sz="0" w:space="0" w:color="auto"/>
        <w:right w:val="none" w:sz="0" w:space="0" w:color="auto"/>
      </w:divBdr>
    </w:div>
    <w:div w:id="1759400914">
      <w:bodyDiv w:val="1"/>
      <w:marLeft w:val="0"/>
      <w:marRight w:val="0"/>
      <w:marTop w:val="0"/>
      <w:marBottom w:val="0"/>
      <w:divBdr>
        <w:top w:val="none" w:sz="0" w:space="0" w:color="auto"/>
        <w:left w:val="none" w:sz="0" w:space="0" w:color="auto"/>
        <w:bottom w:val="none" w:sz="0" w:space="0" w:color="auto"/>
        <w:right w:val="none" w:sz="0" w:space="0" w:color="auto"/>
      </w:divBdr>
    </w:div>
    <w:div w:id="1775830176">
      <w:bodyDiv w:val="1"/>
      <w:marLeft w:val="0"/>
      <w:marRight w:val="0"/>
      <w:marTop w:val="0"/>
      <w:marBottom w:val="0"/>
      <w:divBdr>
        <w:top w:val="none" w:sz="0" w:space="0" w:color="auto"/>
        <w:left w:val="none" w:sz="0" w:space="0" w:color="auto"/>
        <w:bottom w:val="none" w:sz="0" w:space="0" w:color="auto"/>
        <w:right w:val="none" w:sz="0" w:space="0" w:color="auto"/>
      </w:divBdr>
    </w:div>
    <w:div w:id="1785416496">
      <w:bodyDiv w:val="1"/>
      <w:marLeft w:val="0"/>
      <w:marRight w:val="0"/>
      <w:marTop w:val="0"/>
      <w:marBottom w:val="0"/>
      <w:divBdr>
        <w:top w:val="none" w:sz="0" w:space="0" w:color="auto"/>
        <w:left w:val="none" w:sz="0" w:space="0" w:color="auto"/>
        <w:bottom w:val="none" w:sz="0" w:space="0" w:color="auto"/>
        <w:right w:val="none" w:sz="0" w:space="0" w:color="auto"/>
      </w:divBdr>
    </w:div>
    <w:div w:id="1847592098">
      <w:bodyDiv w:val="1"/>
      <w:marLeft w:val="0"/>
      <w:marRight w:val="0"/>
      <w:marTop w:val="0"/>
      <w:marBottom w:val="0"/>
      <w:divBdr>
        <w:top w:val="none" w:sz="0" w:space="0" w:color="auto"/>
        <w:left w:val="none" w:sz="0" w:space="0" w:color="auto"/>
        <w:bottom w:val="none" w:sz="0" w:space="0" w:color="auto"/>
        <w:right w:val="none" w:sz="0" w:space="0" w:color="auto"/>
      </w:divBdr>
    </w:div>
    <w:div w:id="1906989344">
      <w:bodyDiv w:val="1"/>
      <w:marLeft w:val="0"/>
      <w:marRight w:val="0"/>
      <w:marTop w:val="0"/>
      <w:marBottom w:val="0"/>
      <w:divBdr>
        <w:top w:val="none" w:sz="0" w:space="0" w:color="auto"/>
        <w:left w:val="none" w:sz="0" w:space="0" w:color="auto"/>
        <w:bottom w:val="none" w:sz="0" w:space="0" w:color="auto"/>
        <w:right w:val="none" w:sz="0" w:space="0" w:color="auto"/>
      </w:divBdr>
    </w:div>
    <w:div w:id="1940984931">
      <w:bodyDiv w:val="1"/>
      <w:marLeft w:val="0"/>
      <w:marRight w:val="0"/>
      <w:marTop w:val="0"/>
      <w:marBottom w:val="0"/>
      <w:divBdr>
        <w:top w:val="none" w:sz="0" w:space="0" w:color="auto"/>
        <w:left w:val="none" w:sz="0" w:space="0" w:color="auto"/>
        <w:bottom w:val="none" w:sz="0" w:space="0" w:color="auto"/>
        <w:right w:val="none" w:sz="0" w:space="0" w:color="auto"/>
      </w:divBdr>
    </w:div>
    <w:div w:id="1946694619">
      <w:bodyDiv w:val="1"/>
      <w:marLeft w:val="0"/>
      <w:marRight w:val="0"/>
      <w:marTop w:val="0"/>
      <w:marBottom w:val="0"/>
      <w:divBdr>
        <w:top w:val="none" w:sz="0" w:space="0" w:color="auto"/>
        <w:left w:val="none" w:sz="0" w:space="0" w:color="auto"/>
        <w:bottom w:val="none" w:sz="0" w:space="0" w:color="auto"/>
        <w:right w:val="none" w:sz="0" w:space="0" w:color="auto"/>
      </w:divBdr>
    </w:div>
    <w:div w:id="1967195964">
      <w:bodyDiv w:val="1"/>
      <w:marLeft w:val="0"/>
      <w:marRight w:val="0"/>
      <w:marTop w:val="0"/>
      <w:marBottom w:val="0"/>
      <w:divBdr>
        <w:top w:val="none" w:sz="0" w:space="0" w:color="auto"/>
        <w:left w:val="none" w:sz="0" w:space="0" w:color="auto"/>
        <w:bottom w:val="none" w:sz="0" w:space="0" w:color="auto"/>
        <w:right w:val="none" w:sz="0" w:space="0" w:color="auto"/>
      </w:divBdr>
    </w:div>
    <w:div w:id="1999574547">
      <w:bodyDiv w:val="1"/>
      <w:marLeft w:val="0"/>
      <w:marRight w:val="0"/>
      <w:marTop w:val="0"/>
      <w:marBottom w:val="0"/>
      <w:divBdr>
        <w:top w:val="none" w:sz="0" w:space="0" w:color="auto"/>
        <w:left w:val="none" w:sz="0" w:space="0" w:color="auto"/>
        <w:bottom w:val="none" w:sz="0" w:space="0" w:color="auto"/>
        <w:right w:val="none" w:sz="0" w:space="0" w:color="auto"/>
      </w:divBdr>
    </w:div>
    <w:div w:id="2010206386">
      <w:bodyDiv w:val="1"/>
      <w:marLeft w:val="0"/>
      <w:marRight w:val="0"/>
      <w:marTop w:val="0"/>
      <w:marBottom w:val="0"/>
      <w:divBdr>
        <w:top w:val="none" w:sz="0" w:space="0" w:color="auto"/>
        <w:left w:val="none" w:sz="0" w:space="0" w:color="auto"/>
        <w:bottom w:val="none" w:sz="0" w:space="0" w:color="auto"/>
        <w:right w:val="none" w:sz="0" w:space="0" w:color="auto"/>
      </w:divBdr>
    </w:div>
    <w:div w:id="2012489331">
      <w:bodyDiv w:val="1"/>
      <w:marLeft w:val="0"/>
      <w:marRight w:val="0"/>
      <w:marTop w:val="0"/>
      <w:marBottom w:val="0"/>
      <w:divBdr>
        <w:top w:val="none" w:sz="0" w:space="0" w:color="auto"/>
        <w:left w:val="none" w:sz="0" w:space="0" w:color="auto"/>
        <w:bottom w:val="none" w:sz="0" w:space="0" w:color="auto"/>
        <w:right w:val="none" w:sz="0" w:space="0" w:color="auto"/>
      </w:divBdr>
    </w:div>
    <w:div w:id="2112776975">
      <w:bodyDiv w:val="1"/>
      <w:marLeft w:val="0"/>
      <w:marRight w:val="0"/>
      <w:marTop w:val="0"/>
      <w:marBottom w:val="0"/>
      <w:divBdr>
        <w:top w:val="none" w:sz="0" w:space="0" w:color="auto"/>
        <w:left w:val="none" w:sz="0" w:space="0" w:color="auto"/>
        <w:bottom w:val="none" w:sz="0" w:space="0" w:color="auto"/>
        <w:right w:val="none" w:sz="0" w:space="0" w:color="auto"/>
      </w:divBdr>
    </w:div>
    <w:div w:id="21286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vs.lv/lv/products/13357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ur-lex.europa.eu/legal-content/EN-LV/TXT/?uri=CELEX:32016L2102&amp;from=EN" TargetMode="Externa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w3.org/TR/WCA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fecedd9-1417-4993-a597-7e6b02c0b2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F7FC54DF663B47BB2D23488409AAD5" ma:contentTypeVersion="18" ma:contentTypeDescription="Create a new document." ma:contentTypeScope="" ma:versionID="b793a1a131b9510cb23f7712ff8acd6a">
  <xsd:schema xmlns:xsd="http://www.w3.org/2001/XMLSchema" xmlns:xs="http://www.w3.org/2001/XMLSchema" xmlns:p="http://schemas.microsoft.com/office/2006/metadata/properties" xmlns:ns3="3fecedd9-1417-4993-a597-7e6b02c0b245" xmlns:ns4="6c21d48e-d5ce-4cba-9e67-0ad9dbb1a6fb" targetNamespace="http://schemas.microsoft.com/office/2006/metadata/properties" ma:root="true" ma:fieldsID="2030e82305fe4dc85c5b53d515a5c9b8" ns3:_="" ns4:_="">
    <xsd:import namespace="3fecedd9-1417-4993-a597-7e6b02c0b245"/>
    <xsd:import namespace="6c21d48e-d5ce-4cba-9e67-0ad9dbb1a6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cedd9-1417-4993-a597-7e6b02c0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1d48e-d5ce-4cba-9e67-0ad9dbb1a6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F1C9E-F4D5-44FE-94D8-694CBE72892F}">
  <ds:schemaRefs>
    <ds:schemaRef ds:uri="http://schemas.openxmlformats.org/officeDocument/2006/bibliography"/>
  </ds:schemaRefs>
</ds:datastoreItem>
</file>

<file path=customXml/itemProps2.xml><?xml version="1.0" encoding="utf-8"?>
<ds:datastoreItem xmlns:ds="http://schemas.openxmlformats.org/officeDocument/2006/customXml" ds:itemID="{1CF6E59D-668F-4894-A32D-09373E076E46}">
  <ds:schemaRefs>
    <ds:schemaRef ds:uri="http://schemas.microsoft.com/office/2006/documentManagement/types"/>
    <ds:schemaRef ds:uri="3fecedd9-1417-4993-a597-7e6b02c0b245"/>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6c21d48e-d5ce-4cba-9e67-0ad9dbb1a6f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19BF773-A194-4782-BC3B-3CC4E9CF7CC4}">
  <ds:schemaRefs>
    <ds:schemaRef ds:uri="http://schemas.microsoft.com/sharepoint/v3/contenttype/forms"/>
  </ds:schemaRefs>
</ds:datastoreItem>
</file>

<file path=customXml/itemProps4.xml><?xml version="1.0" encoding="utf-8"?>
<ds:datastoreItem xmlns:ds="http://schemas.openxmlformats.org/officeDocument/2006/customXml" ds:itemID="{23F369A4-D8C0-47BD-9046-3420D54DE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cedd9-1417-4993-a597-7e6b02c0b245"/>
    <ds:schemaRef ds:uri="6c21d48e-d5ce-4cba-9e67-0ad9dbb1a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5702</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38131</CharactersWithSpaces>
  <SharedDoc>false</SharedDoc>
  <HLinks>
    <vt:vector size="18" baseType="variant">
      <vt:variant>
        <vt:i4>1835026</vt:i4>
      </vt:variant>
      <vt:variant>
        <vt:i4>6</vt:i4>
      </vt:variant>
      <vt:variant>
        <vt:i4>0</vt:i4>
      </vt:variant>
      <vt:variant>
        <vt:i4>5</vt:i4>
      </vt:variant>
      <vt:variant>
        <vt:lpwstr>https://www.w3.org/TR/WCAG20/</vt:lpwstr>
      </vt:variant>
      <vt:variant>
        <vt:lpwstr/>
      </vt:variant>
      <vt:variant>
        <vt:i4>1441885</vt:i4>
      </vt:variant>
      <vt:variant>
        <vt:i4>3</vt:i4>
      </vt:variant>
      <vt:variant>
        <vt:i4>0</vt:i4>
      </vt:variant>
      <vt:variant>
        <vt:i4>5</vt:i4>
      </vt:variant>
      <vt:variant>
        <vt:lpwstr>https://www.lvs.lv/lv/products/133571</vt:lpwstr>
      </vt:variant>
      <vt:variant>
        <vt:lpwstr/>
      </vt:variant>
      <vt:variant>
        <vt:i4>2949154</vt:i4>
      </vt:variant>
      <vt:variant>
        <vt:i4>0</vt:i4>
      </vt:variant>
      <vt:variant>
        <vt:i4>0</vt:i4>
      </vt:variant>
      <vt:variant>
        <vt:i4>5</vt:i4>
      </vt:variant>
      <vt:variant>
        <vt:lpwstr>http://eur-lex.europa.eu/legal-content/EN-LV/TXT/?uri=CELEX:32016L2102&amp;from=EN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Pirta</dc:creator>
  <cp:keywords/>
  <dc:description/>
  <cp:lastModifiedBy>Rūta Pirta</cp:lastModifiedBy>
  <cp:revision>2</cp:revision>
  <dcterms:created xsi:type="dcterms:W3CDTF">2024-12-30T13:22:00Z</dcterms:created>
  <dcterms:modified xsi:type="dcterms:W3CDTF">2024-12-30T13:22:00Z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0x010100A1F7FC54DF663B47BB2D23488409AAD5</vt:lpwstr>
  </property>
</Properties>
</file>