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0C0B" w14:textId="77777777" w:rsidR="0003594B" w:rsidRPr="008A4270" w:rsidRDefault="0003594B" w:rsidP="0003594B">
      <w:pPr>
        <w:jc w:val="center"/>
        <w:rPr>
          <w:rFonts w:ascii="Times New Roman Bold" w:hAnsi="Times New Roman Bold"/>
          <w:b/>
          <w:caps/>
          <w:noProof/>
          <w:szCs w:val="24"/>
        </w:rPr>
      </w:pPr>
    </w:p>
    <w:p w14:paraId="08D5C150" w14:textId="77777777" w:rsidR="0003594B" w:rsidRPr="008A4270" w:rsidRDefault="0003594B" w:rsidP="0003594B">
      <w:pPr>
        <w:jc w:val="center"/>
        <w:rPr>
          <w:rFonts w:ascii="Times New Roman Bold" w:hAnsi="Times New Roman Bold"/>
          <w:b/>
          <w:caps/>
          <w:noProof/>
          <w:szCs w:val="24"/>
        </w:rPr>
      </w:pPr>
      <w:r w:rsidRPr="008A4270">
        <w:rPr>
          <w:rFonts w:ascii="Times New Roman Bold" w:hAnsi="Times New Roman Bold"/>
          <w:b/>
          <w:caps/>
          <w:noProof/>
          <w:szCs w:val="24"/>
          <w:lang w:val="en-GB" w:eastAsia="en-GB"/>
        </w:rPr>
        <w:drawing>
          <wp:inline distT="0" distB="0" distL="0" distR="0" wp14:anchorId="58227045" wp14:editId="3C39F7FC">
            <wp:extent cx="5761355" cy="1213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1213485"/>
                    </a:xfrm>
                    <a:prstGeom prst="rect">
                      <a:avLst/>
                    </a:prstGeom>
                    <a:noFill/>
                  </pic:spPr>
                </pic:pic>
              </a:graphicData>
            </a:graphic>
          </wp:inline>
        </w:drawing>
      </w:r>
    </w:p>
    <w:p w14:paraId="0B65E033" w14:textId="77777777" w:rsidR="0003594B" w:rsidRPr="008A4270" w:rsidRDefault="0003594B" w:rsidP="0003594B">
      <w:pPr>
        <w:jc w:val="center"/>
        <w:rPr>
          <w:rFonts w:ascii="Times New Roman Bold" w:hAnsi="Times New Roman Bold"/>
          <w:b/>
          <w:caps/>
          <w:noProof/>
          <w:szCs w:val="24"/>
        </w:rPr>
      </w:pPr>
    </w:p>
    <w:p w14:paraId="5E56B89A" w14:textId="77777777" w:rsidR="0003594B" w:rsidRPr="008A4270" w:rsidRDefault="0003594B" w:rsidP="0003594B">
      <w:pPr>
        <w:jc w:val="center"/>
        <w:rPr>
          <w:rFonts w:ascii="Times New Roman Bold" w:hAnsi="Times New Roman Bold"/>
          <w:b/>
          <w:caps/>
          <w:noProof/>
          <w:szCs w:val="24"/>
        </w:rPr>
      </w:pPr>
    </w:p>
    <w:p w14:paraId="3FF4CF00" w14:textId="77777777" w:rsidR="0003594B" w:rsidRDefault="0003594B" w:rsidP="0003594B">
      <w:pPr>
        <w:jc w:val="center"/>
        <w:rPr>
          <w:rFonts w:ascii="Times New Roman Bold" w:hAnsi="Times New Roman Bold"/>
          <w:b/>
          <w:caps/>
          <w:szCs w:val="24"/>
        </w:rPr>
      </w:pPr>
    </w:p>
    <w:p w14:paraId="2DB611C9" w14:textId="77777777" w:rsidR="0003594B" w:rsidRPr="008A4270" w:rsidRDefault="0003594B" w:rsidP="0003594B">
      <w:pPr>
        <w:jc w:val="center"/>
        <w:rPr>
          <w:rFonts w:ascii="Times New Roman Bold" w:hAnsi="Times New Roman Bold"/>
          <w:b/>
          <w:caps/>
          <w:szCs w:val="24"/>
        </w:rPr>
      </w:pPr>
      <w:r w:rsidRPr="008A4270">
        <w:rPr>
          <w:rFonts w:ascii="Times New Roman Bold" w:hAnsi="Times New Roman Bold"/>
          <w:b/>
          <w:caps/>
          <w:szCs w:val="24"/>
        </w:rPr>
        <w:t>Vides aizsardzības un r</w:t>
      </w:r>
      <w:r>
        <w:rPr>
          <w:rFonts w:ascii="Times New Roman Bold" w:hAnsi="Times New Roman Bold"/>
          <w:b/>
          <w:caps/>
          <w:szCs w:val="24"/>
        </w:rPr>
        <w:t>eģionālās attīstības ministrijas</w:t>
      </w:r>
      <w:r w:rsidRPr="008A4270">
        <w:rPr>
          <w:rFonts w:ascii="Times New Roman Bold" w:hAnsi="Times New Roman Bold"/>
          <w:b/>
          <w:caps/>
          <w:szCs w:val="24"/>
        </w:rPr>
        <w:t xml:space="preserve"> </w:t>
      </w:r>
    </w:p>
    <w:p w14:paraId="3CD51D3E" w14:textId="77777777" w:rsidR="0003594B" w:rsidRPr="008A4270" w:rsidRDefault="0003594B" w:rsidP="0003594B">
      <w:pPr>
        <w:spacing w:before="120"/>
        <w:jc w:val="center"/>
        <w:rPr>
          <w:rFonts w:ascii="Times New Roman Bold" w:hAnsi="Times New Roman Bold"/>
          <w:b/>
          <w:caps/>
          <w:szCs w:val="24"/>
        </w:rPr>
      </w:pPr>
      <w:r w:rsidRPr="008A4270">
        <w:rPr>
          <w:rFonts w:ascii="Times New Roman Bold" w:hAnsi="Times New Roman Bold"/>
          <w:b/>
          <w:caps/>
          <w:szCs w:val="24"/>
        </w:rPr>
        <w:t xml:space="preserve">analīzes kopsavilkums </w:t>
      </w:r>
    </w:p>
    <w:p w14:paraId="56CFA977" w14:textId="77777777" w:rsidR="0003594B" w:rsidRDefault="0003594B" w:rsidP="0003594B">
      <w:pPr>
        <w:jc w:val="center"/>
        <w:rPr>
          <w:rFonts w:ascii="Times New Roman Bold" w:hAnsi="Times New Roman Bold"/>
          <w:b/>
          <w:caps/>
          <w:szCs w:val="24"/>
        </w:rPr>
      </w:pPr>
      <w:r w:rsidRPr="008A4270">
        <w:rPr>
          <w:rFonts w:ascii="Times New Roman Bold" w:hAnsi="Times New Roman Bold"/>
          <w:b/>
          <w:caps/>
          <w:szCs w:val="24"/>
        </w:rPr>
        <w:t xml:space="preserve">par Eiropas Savienības fondu ieguldījumu horizontālā principa “Ilgtspējīga attīstība” ieviešanā </w:t>
      </w:r>
    </w:p>
    <w:p w14:paraId="77A5212E" w14:textId="77777777" w:rsidR="0003594B" w:rsidRPr="008A4270" w:rsidRDefault="0003594B" w:rsidP="0003594B">
      <w:pPr>
        <w:jc w:val="center"/>
        <w:rPr>
          <w:rFonts w:ascii="Times New Roman Bold" w:hAnsi="Times New Roman Bold"/>
          <w:b/>
          <w:caps/>
          <w:szCs w:val="24"/>
        </w:rPr>
      </w:pPr>
      <w:r w:rsidRPr="008A4270">
        <w:rPr>
          <w:rFonts w:ascii="Times New Roman Bold" w:hAnsi="Times New Roman Bold"/>
          <w:b/>
          <w:caps/>
          <w:szCs w:val="24"/>
        </w:rPr>
        <w:t>2014.-2020. gada plānošanas periodā</w:t>
      </w:r>
    </w:p>
    <w:p w14:paraId="14F6D195" w14:textId="77777777" w:rsidR="0003594B" w:rsidRDefault="0003594B" w:rsidP="0003594B">
      <w:pPr>
        <w:spacing w:before="120"/>
        <w:jc w:val="center"/>
        <w:rPr>
          <w:b/>
          <w:szCs w:val="24"/>
        </w:rPr>
      </w:pPr>
      <w:r w:rsidRPr="008A4270">
        <w:rPr>
          <w:b/>
          <w:szCs w:val="24"/>
        </w:rPr>
        <w:t>par pārskata periodu no 01.01.2014.-30.12.20</w:t>
      </w:r>
      <w:r>
        <w:rPr>
          <w:b/>
          <w:szCs w:val="24"/>
        </w:rPr>
        <w:t>22</w:t>
      </w:r>
      <w:r w:rsidRPr="008A4270">
        <w:rPr>
          <w:b/>
          <w:szCs w:val="24"/>
        </w:rPr>
        <w:t>.</w:t>
      </w:r>
    </w:p>
    <w:p w14:paraId="5BD2FBF2" w14:textId="77777777" w:rsidR="0003594B" w:rsidRDefault="0003594B" w:rsidP="0003594B">
      <w:pPr>
        <w:jc w:val="both"/>
        <w:rPr>
          <w:szCs w:val="24"/>
        </w:rPr>
      </w:pPr>
    </w:p>
    <w:p w14:paraId="4818634E" w14:textId="77777777" w:rsidR="0003594B" w:rsidRDefault="0003594B" w:rsidP="0003594B">
      <w:pPr>
        <w:jc w:val="both"/>
        <w:rPr>
          <w:szCs w:val="24"/>
        </w:rPr>
      </w:pPr>
    </w:p>
    <w:p w14:paraId="6AA692DB" w14:textId="77777777" w:rsidR="0003594B" w:rsidRDefault="0003594B" w:rsidP="0003594B">
      <w:pPr>
        <w:jc w:val="center"/>
        <w:rPr>
          <w:b/>
        </w:rPr>
      </w:pPr>
      <w:r w:rsidRPr="00FD7609">
        <w:rPr>
          <w:b/>
        </w:rPr>
        <w:t>Satura rādītāj</w:t>
      </w:r>
      <w:r>
        <w:rPr>
          <w:b/>
        </w:rPr>
        <w:t>s</w:t>
      </w:r>
    </w:p>
    <w:sdt>
      <w:sdtPr>
        <w:rPr>
          <w:rFonts w:ascii="Times New Roman" w:eastAsia="Calibri" w:hAnsi="Times New Roman" w:cs="Times New Roman"/>
          <w:color w:val="auto"/>
          <w:sz w:val="24"/>
          <w:szCs w:val="22"/>
          <w:lang w:val="lv-LV"/>
        </w:rPr>
        <w:id w:val="1153261763"/>
        <w:docPartObj>
          <w:docPartGallery w:val="Table of Contents"/>
          <w:docPartUnique/>
        </w:docPartObj>
      </w:sdtPr>
      <w:sdtEndPr>
        <w:rPr>
          <w:b/>
          <w:bCs/>
          <w:noProof/>
        </w:rPr>
      </w:sdtEndPr>
      <w:sdtContent>
        <w:p w14:paraId="135CCE80" w14:textId="77777777" w:rsidR="0003594B" w:rsidRDefault="0003594B" w:rsidP="0003594B">
          <w:pPr>
            <w:pStyle w:val="TOCHeading"/>
          </w:pPr>
        </w:p>
        <w:p w14:paraId="1FCD6936" w14:textId="5A559BE9" w:rsidR="00B433E4" w:rsidRDefault="0003594B">
          <w:pPr>
            <w:pStyle w:val="TOC1"/>
            <w:tabs>
              <w:tab w:val="right" w:leader="dot" w:pos="9395"/>
            </w:tabs>
            <w:rPr>
              <w:rFonts w:asciiTheme="minorHAnsi" w:eastAsiaTheme="minorEastAsia" w:hAnsiTheme="minorHAnsi" w:cstheme="minorBidi"/>
              <w:noProof/>
              <w:sz w:val="22"/>
              <w:lang w:val="en-GB" w:eastAsia="en-GB"/>
            </w:rPr>
          </w:pPr>
          <w:r>
            <w:fldChar w:fldCharType="begin"/>
          </w:r>
          <w:r>
            <w:instrText xml:space="preserve"> TOC \o "1-3" \h \z \u </w:instrText>
          </w:r>
          <w:r>
            <w:fldChar w:fldCharType="separate"/>
          </w:r>
          <w:hyperlink w:anchor="_Toc132198340" w:history="1">
            <w:r w:rsidR="00B433E4" w:rsidRPr="004A6AA3">
              <w:rPr>
                <w:rStyle w:val="Hyperlink"/>
                <w:b/>
                <w:noProof/>
              </w:rPr>
              <w:t>1. Informācija par Eiropas Savienības fondu ieguldījumu atbilstību horizontālajam principam “Ilgtspējīga attīstība”</w:t>
            </w:r>
            <w:r w:rsidR="00B433E4">
              <w:rPr>
                <w:noProof/>
                <w:webHidden/>
              </w:rPr>
              <w:tab/>
            </w:r>
            <w:r w:rsidR="00B433E4">
              <w:rPr>
                <w:noProof/>
                <w:webHidden/>
              </w:rPr>
              <w:fldChar w:fldCharType="begin"/>
            </w:r>
            <w:r w:rsidR="00B433E4">
              <w:rPr>
                <w:noProof/>
                <w:webHidden/>
              </w:rPr>
              <w:instrText xml:space="preserve"> PAGEREF _Toc132198340 \h </w:instrText>
            </w:r>
            <w:r w:rsidR="00B433E4">
              <w:rPr>
                <w:noProof/>
                <w:webHidden/>
              </w:rPr>
            </w:r>
            <w:r w:rsidR="00B433E4">
              <w:rPr>
                <w:noProof/>
                <w:webHidden/>
              </w:rPr>
              <w:fldChar w:fldCharType="separate"/>
            </w:r>
            <w:r w:rsidR="00B433E4">
              <w:rPr>
                <w:noProof/>
                <w:webHidden/>
              </w:rPr>
              <w:t>2</w:t>
            </w:r>
            <w:r w:rsidR="00B433E4">
              <w:rPr>
                <w:noProof/>
                <w:webHidden/>
              </w:rPr>
              <w:fldChar w:fldCharType="end"/>
            </w:r>
          </w:hyperlink>
        </w:p>
        <w:p w14:paraId="264A036D" w14:textId="030B3B18" w:rsidR="00B433E4" w:rsidRDefault="00000000">
          <w:pPr>
            <w:pStyle w:val="TOC1"/>
            <w:tabs>
              <w:tab w:val="right" w:leader="dot" w:pos="9395"/>
            </w:tabs>
            <w:rPr>
              <w:rFonts w:asciiTheme="minorHAnsi" w:eastAsiaTheme="minorEastAsia" w:hAnsiTheme="minorHAnsi" w:cstheme="minorBidi"/>
              <w:noProof/>
              <w:sz w:val="22"/>
              <w:lang w:val="en-GB" w:eastAsia="en-GB"/>
            </w:rPr>
          </w:pPr>
          <w:hyperlink w:anchor="_Toc132198341" w:history="1">
            <w:r w:rsidR="00B433E4" w:rsidRPr="004A6AA3">
              <w:rPr>
                <w:rStyle w:val="Hyperlink"/>
                <w:b/>
                <w:bCs/>
                <w:noProof/>
              </w:rPr>
              <w:t>2. HP IA principa ievērošana DP</w:t>
            </w:r>
            <w:r w:rsidR="00B433E4">
              <w:rPr>
                <w:noProof/>
                <w:webHidden/>
              </w:rPr>
              <w:tab/>
            </w:r>
            <w:r w:rsidR="00B433E4">
              <w:rPr>
                <w:noProof/>
                <w:webHidden/>
              </w:rPr>
              <w:fldChar w:fldCharType="begin"/>
            </w:r>
            <w:r w:rsidR="00B433E4">
              <w:rPr>
                <w:noProof/>
                <w:webHidden/>
              </w:rPr>
              <w:instrText xml:space="preserve"> PAGEREF _Toc132198341 \h </w:instrText>
            </w:r>
            <w:r w:rsidR="00B433E4">
              <w:rPr>
                <w:noProof/>
                <w:webHidden/>
              </w:rPr>
            </w:r>
            <w:r w:rsidR="00B433E4">
              <w:rPr>
                <w:noProof/>
                <w:webHidden/>
              </w:rPr>
              <w:fldChar w:fldCharType="separate"/>
            </w:r>
            <w:r w:rsidR="00B433E4">
              <w:rPr>
                <w:noProof/>
                <w:webHidden/>
              </w:rPr>
              <w:t>3</w:t>
            </w:r>
            <w:r w:rsidR="00B433E4">
              <w:rPr>
                <w:noProof/>
                <w:webHidden/>
              </w:rPr>
              <w:fldChar w:fldCharType="end"/>
            </w:r>
          </w:hyperlink>
        </w:p>
        <w:p w14:paraId="00723907" w14:textId="59B35E58" w:rsidR="00B433E4" w:rsidRDefault="00000000">
          <w:pPr>
            <w:pStyle w:val="TOC2"/>
            <w:tabs>
              <w:tab w:val="left" w:pos="880"/>
              <w:tab w:val="right" w:leader="dot" w:pos="9395"/>
            </w:tabs>
            <w:rPr>
              <w:rFonts w:asciiTheme="minorHAnsi" w:eastAsiaTheme="minorEastAsia" w:hAnsiTheme="minorHAnsi" w:cstheme="minorBidi"/>
              <w:noProof/>
              <w:sz w:val="22"/>
              <w:lang w:val="en-GB" w:eastAsia="en-GB"/>
            </w:rPr>
          </w:pPr>
          <w:hyperlink w:anchor="_Toc132198342" w:history="1">
            <w:r w:rsidR="00B433E4" w:rsidRPr="004A6AA3">
              <w:rPr>
                <w:rStyle w:val="Hyperlink"/>
                <w:b/>
                <w:bCs/>
                <w:noProof/>
              </w:rPr>
              <w:t>2.1.</w:t>
            </w:r>
            <w:r w:rsidR="00B433E4">
              <w:rPr>
                <w:rFonts w:asciiTheme="minorHAnsi" w:eastAsiaTheme="minorEastAsia" w:hAnsiTheme="minorHAnsi" w:cstheme="minorBidi"/>
                <w:noProof/>
                <w:sz w:val="22"/>
                <w:lang w:val="en-GB" w:eastAsia="en-GB"/>
              </w:rPr>
              <w:tab/>
            </w:r>
            <w:r w:rsidR="00B433E4" w:rsidRPr="004A6AA3">
              <w:rPr>
                <w:rStyle w:val="Hyperlink"/>
                <w:b/>
                <w:bCs/>
                <w:noProof/>
              </w:rPr>
              <w:t>Ieguldījumi vides aizsardzībā</w:t>
            </w:r>
            <w:r w:rsidR="00B433E4">
              <w:rPr>
                <w:noProof/>
                <w:webHidden/>
              </w:rPr>
              <w:tab/>
            </w:r>
            <w:r w:rsidR="00B433E4">
              <w:rPr>
                <w:noProof/>
                <w:webHidden/>
              </w:rPr>
              <w:fldChar w:fldCharType="begin"/>
            </w:r>
            <w:r w:rsidR="00B433E4">
              <w:rPr>
                <w:noProof/>
                <w:webHidden/>
              </w:rPr>
              <w:instrText xml:space="preserve"> PAGEREF _Toc132198342 \h </w:instrText>
            </w:r>
            <w:r w:rsidR="00B433E4">
              <w:rPr>
                <w:noProof/>
                <w:webHidden/>
              </w:rPr>
            </w:r>
            <w:r w:rsidR="00B433E4">
              <w:rPr>
                <w:noProof/>
                <w:webHidden/>
              </w:rPr>
              <w:fldChar w:fldCharType="separate"/>
            </w:r>
            <w:r w:rsidR="00B433E4">
              <w:rPr>
                <w:noProof/>
                <w:webHidden/>
              </w:rPr>
              <w:t>3</w:t>
            </w:r>
            <w:r w:rsidR="00B433E4">
              <w:rPr>
                <w:noProof/>
                <w:webHidden/>
              </w:rPr>
              <w:fldChar w:fldCharType="end"/>
            </w:r>
          </w:hyperlink>
        </w:p>
        <w:p w14:paraId="39027F82" w14:textId="3C6A4EED" w:rsidR="00B433E4" w:rsidRDefault="00000000">
          <w:pPr>
            <w:pStyle w:val="TOC3"/>
            <w:tabs>
              <w:tab w:val="right" w:leader="dot" w:pos="9395"/>
            </w:tabs>
            <w:rPr>
              <w:rFonts w:asciiTheme="minorHAnsi" w:eastAsiaTheme="minorEastAsia" w:hAnsiTheme="minorHAnsi" w:cstheme="minorBidi"/>
              <w:noProof/>
              <w:sz w:val="22"/>
              <w:lang w:val="en-GB" w:eastAsia="en-GB"/>
            </w:rPr>
          </w:pPr>
          <w:hyperlink w:anchor="_Toc132198343" w:history="1">
            <w:r w:rsidR="00B433E4" w:rsidRPr="004A6AA3">
              <w:rPr>
                <w:rStyle w:val="Hyperlink"/>
                <w:b/>
                <w:bCs/>
                <w:noProof/>
              </w:rPr>
              <w:t>2.1.1. Prioritārā virziena “Vides aizsardzība un resursu izmantošanas efektivitāte” īstenošanā sasniegtie rādītāji</w:t>
            </w:r>
            <w:r w:rsidR="00B433E4">
              <w:rPr>
                <w:noProof/>
                <w:webHidden/>
              </w:rPr>
              <w:tab/>
            </w:r>
            <w:r w:rsidR="00B433E4">
              <w:rPr>
                <w:noProof/>
                <w:webHidden/>
              </w:rPr>
              <w:fldChar w:fldCharType="begin"/>
            </w:r>
            <w:r w:rsidR="00B433E4">
              <w:rPr>
                <w:noProof/>
                <w:webHidden/>
              </w:rPr>
              <w:instrText xml:space="preserve"> PAGEREF _Toc132198343 \h </w:instrText>
            </w:r>
            <w:r w:rsidR="00B433E4">
              <w:rPr>
                <w:noProof/>
                <w:webHidden/>
              </w:rPr>
            </w:r>
            <w:r w:rsidR="00B433E4">
              <w:rPr>
                <w:noProof/>
                <w:webHidden/>
              </w:rPr>
              <w:fldChar w:fldCharType="separate"/>
            </w:r>
            <w:r w:rsidR="00B433E4">
              <w:rPr>
                <w:noProof/>
                <w:webHidden/>
              </w:rPr>
              <w:t>4</w:t>
            </w:r>
            <w:r w:rsidR="00B433E4">
              <w:rPr>
                <w:noProof/>
                <w:webHidden/>
              </w:rPr>
              <w:fldChar w:fldCharType="end"/>
            </w:r>
          </w:hyperlink>
        </w:p>
        <w:p w14:paraId="2FE28063" w14:textId="087ED19B" w:rsidR="00B433E4" w:rsidRDefault="00000000">
          <w:pPr>
            <w:pStyle w:val="TOC2"/>
            <w:tabs>
              <w:tab w:val="left" w:pos="880"/>
              <w:tab w:val="right" w:leader="dot" w:pos="9395"/>
            </w:tabs>
            <w:rPr>
              <w:rFonts w:asciiTheme="minorHAnsi" w:eastAsiaTheme="minorEastAsia" w:hAnsiTheme="minorHAnsi" w:cstheme="minorBidi"/>
              <w:noProof/>
              <w:sz w:val="22"/>
              <w:lang w:val="en-GB" w:eastAsia="en-GB"/>
            </w:rPr>
          </w:pPr>
          <w:hyperlink w:anchor="_Toc132198344" w:history="1">
            <w:r w:rsidR="00B433E4" w:rsidRPr="004A6AA3">
              <w:rPr>
                <w:rStyle w:val="Hyperlink"/>
                <w:b/>
                <w:bCs/>
                <w:noProof/>
              </w:rPr>
              <w:t>2.2.</w:t>
            </w:r>
            <w:r w:rsidR="00B433E4">
              <w:rPr>
                <w:rFonts w:asciiTheme="minorHAnsi" w:eastAsiaTheme="minorEastAsia" w:hAnsiTheme="minorHAnsi" w:cstheme="minorBidi"/>
                <w:noProof/>
                <w:sz w:val="22"/>
                <w:lang w:val="en-GB" w:eastAsia="en-GB"/>
              </w:rPr>
              <w:tab/>
            </w:r>
            <w:r w:rsidR="00B433E4" w:rsidRPr="004A6AA3">
              <w:rPr>
                <w:rStyle w:val="Hyperlink"/>
                <w:b/>
                <w:bCs/>
                <w:noProof/>
              </w:rPr>
              <w:t>Ieguldījumi klimata mērķu sasniegšanas veicināšanai</w:t>
            </w:r>
            <w:r w:rsidR="00B433E4">
              <w:rPr>
                <w:noProof/>
                <w:webHidden/>
              </w:rPr>
              <w:tab/>
            </w:r>
            <w:r w:rsidR="00B433E4">
              <w:rPr>
                <w:noProof/>
                <w:webHidden/>
              </w:rPr>
              <w:fldChar w:fldCharType="begin"/>
            </w:r>
            <w:r w:rsidR="00B433E4">
              <w:rPr>
                <w:noProof/>
                <w:webHidden/>
              </w:rPr>
              <w:instrText xml:space="preserve"> PAGEREF _Toc132198344 \h </w:instrText>
            </w:r>
            <w:r w:rsidR="00B433E4">
              <w:rPr>
                <w:noProof/>
                <w:webHidden/>
              </w:rPr>
            </w:r>
            <w:r w:rsidR="00B433E4">
              <w:rPr>
                <w:noProof/>
                <w:webHidden/>
              </w:rPr>
              <w:fldChar w:fldCharType="separate"/>
            </w:r>
            <w:r w:rsidR="00B433E4">
              <w:rPr>
                <w:noProof/>
                <w:webHidden/>
              </w:rPr>
              <w:t>6</w:t>
            </w:r>
            <w:r w:rsidR="00B433E4">
              <w:rPr>
                <w:noProof/>
                <w:webHidden/>
              </w:rPr>
              <w:fldChar w:fldCharType="end"/>
            </w:r>
          </w:hyperlink>
        </w:p>
        <w:p w14:paraId="1F6412F5" w14:textId="2AC7D881" w:rsidR="00B433E4" w:rsidRDefault="00000000">
          <w:pPr>
            <w:pStyle w:val="TOC3"/>
            <w:tabs>
              <w:tab w:val="left" w:pos="1320"/>
              <w:tab w:val="right" w:leader="dot" w:pos="9395"/>
            </w:tabs>
            <w:rPr>
              <w:rFonts w:asciiTheme="minorHAnsi" w:eastAsiaTheme="minorEastAsia" w:hAnsiTheme="minorHAnsi" w:cstheme="minorBidi"/>
              <w:noProof/>
              <w:sz w:val="22"/>
              <w:lang w:val="en-GB" w:eastAsia="en-GB"/>
            </w:rPr>
          </w:pPr>
          <w:hyperlink w:anchor="_Toc132198345" w:history="1">
            <w:r w:rsidR="00B433E4" w:rsidRPr="004A6AA3">
              <w:rPr>
                <w:rStyle w:val="Hyperlink"/>
                <w:b/>
                <w:bCs/>
                <w:noProof/>
              </w:rPr>
              <w:t>2.2.1.</w:t>
            </w:r>
            <w:r w:rsidR="00B433E4">
              <w:rPr>
                <w:rFonts w:asciiTheme="minorHAnsi" w:eastAsiaTheme="minorEastAsia" w:hAnsiTheme="minorHAnsi" w:cstheme="minorBidi"/>
                <w:noProof/>
                <w:sz w:val="22"/>
                <w:lang w:val="en-GB" w:eastAsia="en-GB"/>
              </w:rPr>
              <w:tab/>
            </w:r>
            <w:r w:rsidR="00B433E4" w:rsidRPr="004A6AA3">
              <w:rPr>
                <w:rStyle w:val="Hyperlink"/>
                <w:b/>
                <w:bCs/>
                <w:noProof/>
              </w:rPr>
              <w:t>Prioritārā virziena “Pāreja uz ekonomiku ar zemu oglekļa emisiju līmeni visās nozarēs” un prioritārā virziena “Ilgtspējīga transporta sistēma” īstenošanā sasniegtie rādītāji</w:t>
            </w:r>
            <w:r w:rsidR="00B433E4">
              <w:rPr>
                <w:noProof/>
                <w:webHidden/>
              </w:rPr>
              <w:tab/>
            </w:r>
            <w:r w:rsidR="00B433E4">
              <w:rPr>
                <w:noProof/>
                <w:webHidden/>
              </w:rPr>
              <w:fldChar w:fldCharType="begin"/>
            </w:r>
            <w:r w:rsidR="00B433E4">
              <w:rPr>
                <w:noProof/>
                <w:webHidden/>
              </w:rPr>
              <w:instrText xml:space="preserve"> PAGEREF _Toc132198345 \h </w:instrText>
            </w:r>
            <w:r w:rsidR="00B433E4">
              <w:rPr>
                <w:noProof/>
                <w:webHidden/>
              </w:rPr>
            </w:r>
            <w:r w:rsidR="00B433E4">
              <w:rPr>
                <w:noProof/>
                <w:webHidden/>
              </w:rPr>
              <w:fldChar w:fldCharType="separate"/>
            </w:r>
            <w:r w:rsidR="00B433E4">
              <w:rPr>
                <w:noProof/>
                <w:webHidden/>
              </w:rPr>
              <w:t>7</w:t>
            </w:r>
            <w:r w:rsidR="00B433E4">
              <w:rPr>
                <w:noProof/>
                <w:webHidden/>
              </w:rPr>
              <w:fldChar w:fldCharType="end"/>
            </w:r>
          </w:hyperlink>
        </w:p>
        <w:p w14:paraId="5D38154C" w14:textId="04F7EFA7" w:rsidR="00B433E4" w:rsidRDefault="00000000">
          <w:pPr>
            <w:pStyle w:val="TOC2"/>
            <w:tabs>
              <w:tab w:val="left" w:pos="880"/>
              <w:tab w:val="right" w:leader="dot" w:pos="9395"/>
            </w:tabs>
            <w:rPr>
              <w:rFonts w:asciiTheme="minorHAnsi" w:eastAsiaTheme="minorEastAsia" w:hAnsiTheme="minorHAnsi" w:cstheme="minorBidi"/>
              <w:noProof/>
              <w:sz w:val="22"/>
              <w:lang w:val="en-GB" w:eastAsia="en-GB"/>
            </w:rPr>
          </w:pPr>
          <w:hyperlink w:anchor="_Toc132198346" w:history="1">
            <w:r w:rsidR="00B433E4" w:rsidRPr="004A6AA3">
              <w:rPr>
                <w:rStyle w:val="Hyperlink"/>
                <w:b/>
                <w:bCs/>
                <w:noProof/>
              </w:rPr>
              <w:t>2.3.</w:t>
            </w:r>
            <w:r w:rsidR="00B433E4">
              <w:rPr>
                <w:rFonts w:asciiTheme="minorHAnsi" w:eastAsiaTheme="minorEastAsia" w:hAnsiTheme="minorHAnsi" w:cstheme="minorBidi"/>
                <w:noProof/>
                <w:sz w:val="22"/>
                <w:lang w:val="en-GB" w:eastAsia="en-GB"/>
              </w:rPr>
              <w:tab/>
            </w:r>
            <w:r w:rsidR="00B433E4" w:rsidRPr="004A6AA3">
              <w:rPr>
                <w:rStyle w:val="Hyperlink"/>
                <w:b/>
                <w:bCs/>
                <w:noProof/>
              </w:rPr>
              <w:t>SAM/SAMP ar netiešu ietekmi uz HP IA un SAM/SAMP, kuru īstenošana neietekmē, HP IA īstenošanas analīze</w:t>
            </w:r>
            <w:r w:rsidR="00B433E4">
              <w:rPr>
                <w:noProof/>
                <w:webHidden/>
              </w:rPr>
              <w:tab/>
            </w:r>
            <w:r w:rsidR="00B433E4">
              <w:rPr>
                <w:noProof/>
                <w:webHidden/>
              </w:rPr>
              <w:fldChar w:fldCharType="begin"/>
            </w:r>
            <w:r w:rsidR="00B433E4">
              <w:rPr>
                <w:noProof/>
                <w:webHidden/>
              </w:rPr>
              <w:instrText xml:space="preserve"> PAGEREF _Toc132198346 \h </w:instrText>
            </w:r>
            <w:r w:rsidR="00B433E4">
              <w:rPr>
                <w:noProof/>
                <w:webHidden/>
              </w:rPr>
            </w:r>
            <w:r w:rsidR="00B433E4">
              <w:rPr>
                <w:noProof/>
                <w:webHidden/>
              </w:rPr>
              <w:fldChar w:fldCharType="separate"/>
            </w:r>
            <w:r w:rsidR="00B433E4">
              <w:rPr>
                <w:noProof/>
                <w:webHidden/>
              </w:rPr>
              <w:t>8</w:t>
            </w:r>
            <w:r w:rsidR="00B433E4">
              <w:rPr>
                <w:noProof/>
                <w:webHidden/>
              </w:rPr>
              <w:fldChar w:fldCharType="end"/>
            </w:r>
          </w:hyperlink>
        </w:p>
        <w:p w14:paraId="4B95EBB6" w14:textId="4A80A23E" w:rsidR="00B433E4" w:rsidRDefault="00000000">
          <w:pPr>
            <w:pStyle w:val="TOC1"/>
            <w:tabs>
              <w:tab w:val="right" w:leader="dot" w:pos="9395"/>
            </w:tabs>
            <w:rPr>
              <w:rFonts w:asciiTheme="minorHAnsi" w:eastAsiaTheme="minorEastAsia" w:hAnsiTheme="minorHAnsi" w:cstheme="minorBidi"/>
              <w:noProof/>
              <w:sz w:val="22"/>
              <w:lang w:val="en-GB" w:eastAsia="en-GB"/>
            </w:rPr>
          </w:pPr>
          <w:hyperlink w:anchor="_Toc132198347" w:history="1">
            <w:r w:rsidR="00B433E4" w:rsidRPr="004A6AA3">
              <w:rPr>
                <w:rStyle w:val="Hyperlink"/>
                <w:b/>
                <w:bCs/>
                <w:noProof/>
              </w:rPr>
              <w:t>Kopsavilkums</w:t>
            </w:r>
            <w:r w:rsidR="00B433E4">
              <w:rPr>
                <w:noProof/>
                <w:webHidden/>
              </w:rPr>
              <w:tab/>
            </w:r>
            <w:r w:rsidR="00B433E4">
              <w:rPr>
                <w:noProof/>
                <w:webHidden/>
              </w:rPr>
              <w:fldChar w:fldCharType="begin"/>
            </w:r>
            <w:r w:rsidR="00B433E4">
              <w:rPr>
                <w:noProof/>
                <w:webHidden/>
              </w:rPr>
              <w:instrText xml:space="preserve"> PAGEREF _Toc132198347 \h </w:instrText>
            </w:r>
            <w:r w:rsidR="00B433E4">
              <w:rPr>
                <w:noProof/>
                <w:webHidden/>
              </w:rPr>
            </w:r>
            <w:r w:rsidR="00B433E4">
              <w:rPr>
                <w:noProof/>
                <w:webHidden/>
              </w:rPr>
              <w:fldChar w:fldCharType="separate"/>
            </w:r>
            <w:r w:rsidR="00B433E4">
              <w:rPr>
                <w:noProof/>
                <w:webHidden/>
              </w:rPr>
              <w:t>11</w:t>
            </w:r>
            <w:r w:rsidR="00B433E4">
              <w:rPr>
                <w:noProof/>
                <w:webHidden/>
              </w:rPr>
              <w:fldChar w:fldCharType="end"/>
            </w:r>
          </w:hyperlink>
        </w:p>
        <w:p w14:paraId="289CEA9E" w14:textId="2CCBC190" w:rsidR="0003594B" w:rsidRDefault="0003594B" w:rsidP="0003594B">
          <w:r>
            <w:rPr>
              <w:b/>
              <w:bCs/>
              <w:noProof/>
            </w:rPr>
            <w:fldChar w:fldCharType="end"/>
          </w:r>
        </w:p>
      </w:sdtContent>
    </w:sdt>
    <w:p w14:paraId="26E1669F" w14:textId="77777777" w:rsidR="0003594B" w:rsidRDefault="0003594B" w:rsidP="0003594B">
      <w:pPr>
        <w:jc w:val="center"/>
        <w:rPr>
          <w:b/>
        </w:rPr>
      </w:pPr>
    </w:p>
    <w:p w14:paraId="302AB695" w14:textId="77777777" w:rsidR="0003594B" w:rsidRDefault="0003594B" w:rsidP="0003594B">
      <w:pPr>
        <w:rPr>
          <w:b/>
        </w:rPr>
      </w:pPr>
    </w:p>
    <w:p w14:paraId="71AB3D47" w14:textId="77777777" w:rsidR="0003594B" w:rsidRPr="009C7AFB" w:rsidRDefault="0003594B" w:rsidP="007D7A77">
      <w:pPr>
        <w:pStyle w:val="Heading1"/>
        <w:spacing w:before="120" w:after="120"/>
        <w:rPr>
          <w:rFonts w:ascii="Times New Roman" w:hAnsi="Times New Roman" w:cs="Times New Roman"/>
          <w:b/>
          <w:color w:val="auto"/>
          <w:sz w:val="28"/>
          <w:szCs w:val="28"/>
        </w:rPr>
      </w:pPr>
      <w:bookmarkStart w:id="0" w:name="_Toc3891302"/>
      <w:bookmarkStart w:id="1" w:name="_Toc125102634"/>
      <w:bookmarkStart w:id="2" w:name="_Toc132198340"/>
      <w:r w:rsidRPr="009C7AFB">
        <w:rPr>
          <w:rFonts w:ascii="Times New Roman" w:hAnsi="Times New Roman" w:cs="Times New Roman"/>
          <w:b/>
          <w:color w:val="auto"/>
          <w:sz w:val="28"/>
          <w:szCs w:val="28"/>
        </w:rPr>
        <w:lastRenderedPageBreak/>
        <w:t>1. Informācija par Eiropas Savienības fondu ieguldījumu atbilstību horizontālajam principam “Ilgtspējīga attīstība”</w:t>
      </w:r>
      <w:bookmarkEnd w:id="0"/>
      <w:bookmarkEnd w:id="1"/>
      <w:bookmarkEnd w:id="2"/>
    </w:p>
    <w:p w14:paraId="515AD41D" w14:textId="77777777" w:rsidR="0003594B" w:rsidRPr="00BE3BF2" w:rsidRDefault="0003594B" w:rsidP="007D7A77">
      <w:pPr>
        <w:spacing w:before="120" w:after="120"/>
        <w:jc w:val="both"/>
        <w:rPr>
          <w:szCs w:val="24"/>
        </w:rPr>
      </w:pPr>
      <w:r>
        <w:rPr>
          <w:szCs w:val="24"/>
        </w:rPr>
        <w:t xml:space="preserve">Atbilstoši </w:t>
      </w:r>
      <w:r w:rsidRPr="00134AAB">
        <w:rPr>
          <w:szCs w:val="24"/>
        </w:rPr>
        <w:t>izstrādāt</w:t>
      </w:r>
      <w:r>
        <w:rPr>
          <w:szCs w:val="24"/>
        </w:rPr>
        <w:t>ajiem</w:t>
      </w:r>
      <w:r w:rsidRPr="00134AAB">
        <w:rPr>
          <w:szCs w:val="24"/>
        </w:rPr>
        <w:t xml:space="preserve"> </w:t>
      </w:r>
      <w:r>
        <w:rPr>
          <w:szCs w:val="24"/>
        </w:rPr>
        <w:t>p</w:t>
      </w:r>
      <w:r w:rsidRPr="00134AAB">
        <w:rPr>
          <w:szCs w:val="24"/>
        </w:rPr>
        <w:t>amatprincipi</w:t>
      </w:r>
      <w:r>
        <w:rPr>
          <w:szCs w:val="24"/>
        </w:rPr>
        <w:t>em</w:t>
      </w:r>
      <w:r w:rsidRPr="00134AAB">
        <w:rPr>
          <w:szCs w:val="24"/>
        </w:rPr>
        <w:t xml:space="preserve"> Partnerības līguma</w:t>
      </w:r>
      <w:r>
        <w:rPr>
          <w:rStyle w:val="FootnoteReference"/>
          <w:szCs w:val="24"/>
        </w:rPr>
        <w:footnoteReference w:id="1"/>
      </w:r>
      <w:r w:rsidRPr="00134AAB">
        <w:rPr>
          <w:szCs w:val="24"/>
        </w:rPr>
        <w:t xml:space="preserve"> rīcības programmu pasākumu ietekmes</w:t>
      </w:r>
      <w:r>
        <w:rPr>
          <w:szCs w:val="24"/>
        </w:rPr>
        <w:t xml:space="preserve"> uz</w:t>
      </w:r>
      <w:r w:rsidRPr="00134AAB">
        <w:rPr>
          <w:szCs w:val="24"/>
        </w:rPr>
        <w:t xml:space="preserve"> </w:t>
      </w:r>
      <w:r>
        <w:rPr>
          <w:szCs w:val="24"/>
        </w:rPr>
        <w:t>h</w:t>
      </w:r>
      <w:r w:rsidRPr="000A3117">
        <w:rPr>
          <w:szCs w:val="24"/>
        </w:rPr>
        <w:t>orizontāl</w:t>
      </w:r>
      <w:r>
        <w:rPr>
          <w:szCs w:val="24"/>
        </w:rPr>
        <w:t>o</w:t>
      </w:r>
      <w:r w:rsidRPr="000A3117">
        <w:rPr>
          <w:szCs w:val="24"/>
        </w:rPr>
        <w:t xml:space="preserve"> princip</w:t>
      </w:r>
      <w:r>
        <w:rPr>
          <w:szCs w:val="24"/>
        </w:rPr>
        <w:t>u</w:t>
      </w:r>
      <w:r w:rsidRPr="000A3117">
        <w:rPr>
          <w:szCs w:val="24"/>
        </w:rPr>
        <w:t xml:space="preserve"> „Ilgtspējīga attīstība”</w:t>
      </w:r>
      <w:r>
        <w:rPr>
          <w:szCs w:val="24"/>
        </w:rPr>
        <w:t xml:space="preserve"> </w:t>
      </w:r>
      <w:r w:rsidRPr="00134AAB">
        <w:rPr>
          <w:szCs w:val="24"/>
        </w:rPr>
        <w:t>noteikšanai un uzraudzībai</w:t>
      </w:r>
      <w:r w:rsidRPr="00134AAB">
        <w:rPr>
          <w:szCs w:val="24"/>
          <w:vertAlign w:val="superscript"/>
        </w:rPr>
        <w:footnoteReference w:id="2"/>
      </w:r>
      <w:r>
        <w:rPr>
          <w:szCs w:val="24"/>
        </w:rPr>
        <w:t xml:space="preserve"> h</w:t>
      </w:r>
      <w:r w:rsidRPr="00134AAB">
        <w:rPr>
          <w:szCs w:val="24"/>
        </w:rPr>
        <w:t>orizontāl</w:t>
      </w:r>
      <w:r>
        <w:rPr>
          <w:szCs w:val="24"/>
        </w:rPr>
        <w:t>ais</w:t>
      </w:r>
      <w:r w:rsidRPr="00134AAB">
        <w:rPr>
          <w:szCs w:val="24"/>
        </w:rPr>
        <w:t xml:space="preserve"> princip</w:t>
      </w:r>
      <w:r>
        <w:rPr>
          <w:szCs w:val="24"/>
        </w:rPr>
        <w:t>s</w:t>
      </w:r>
      <w:r w:rsidRPr="00134AAB">
        <w:rPr>
          <w:szCs w:val="24"/>
        </w:rPr>
        <w:t xml:space="preserve"> „Ilgtspējīga attīstība” (turpmāk </w:t>
      </w:r>
      <w:bookmarkStart w:id="3" w:name="_Hlk129094346"/>
      <w:r w:rsidRPr="00134AAB">
        <w:rPr>
          <w:szCs w:val="24"/>
        </w:rPr>
        <w:t>–</w:t>
      </w:r>
      <w:bookmarkEnd w:id="3"/>
      <w:r w:rsidRPr="00134AAB">
        <w:rPr>
          <w:szCs w:val="24"/>
        </w:rPr>
        <w:t xml:space="preserve"> HP IA) </w:t>
      </w:r>
      <w:r>
        <w:rPr>
          <w:szCs w:val="24"/>
        </w:rPr>
        <w:t>tika īstenots</w:t>
      </w:r>
      <w:r w:rsidRPr="00BE3BF2">
        <w:rPr>
          <w:szCs w:val="24"/>
        </w:rPr>
        <w:t>:</w:t>
      </w:r>
    </w:p>
    <w:p w14:paraId="2488382D" w14:textId="77777777" w:rsidR="0003594B" w:rsidRPr="00BE3BF2" w:rsidRDefault="0003594B" w:rsidP="0003594B">
      <w:pPr>
        <w:pStyle w:val="ListParagraph"/>
        <w:numPr>
          <w:ilvl w:val="0"/>
          <w:numId w:val="1"/>
        </w:numPr>
        <w:ind w:left="426" w:hanging="426"/>
        <w:jc w:val="both"/>
        <w:rPr>
          <w:szCs w:val="24"/>
        </w:rPr>
      </w:pPr>
      <w:r w:rsidRPr="00BE3BF2">
        <w:rPr>
          <w:szCs w:val="24"/>
        </w:rPr>
        <w:t xml:space="preserve">veicot tiešus ieguldījumus vides aizsardzībā, t.sk. vides </w:t>
      </w:r>
      <w:proofErr w:type="spellStart"/>
      <w:r w:rsidRPr="00BE3BF2">
        <w:rPr>
          <w:i/>
          <w:szCs w:val="24"/>
        </w:rPr>
        <w:t>acquis</w:t>
      </w:r>
      <w:proofErr w:type="spellEnd"/>
      <w:r w:rsidRPr="00BE3BF2">
        <w:rPr>
          <w:szCs w:val="24"/>
        </w:rPr>
        <w:t xml:space="preserve"> ieviešanai</w:t>
      </w:r>
      <w:r>
        <w:rPr>
          <w:szCs w:val="24"/>
        </w:rPr>
        <w:t xml:space="preserve"> un klimata mērķu sasniegšanā</w:t>
      </w:r>
      <w:r w:rsidRPr="00BE3BF2">
        <w:rPr>
          <w:szCs w:val="24"/>
        </w:rPr>
        <w:t xml:space="preserve">; </w:t>
      </w:r>
    </w:p>
    <w:p w14:paraId="18DFCF72" w14:textId="77777777" w:rsidR="0003594B" w:rsidRDefault="0003594B" w:rsidP="0003594B">
      <w:pPr>
        <w:pStyle w:val="ListParagraph"/>
        <w:numPr>
          <w:ilvl w:val="0"/>
          <w:numId w:val="1"/>
        </w:numPr>
        <w:spacing w:before="120"/>
        <w:ind w:left="426" w:hanging="426"/>
        <w:jc w:val="both"/>
        <w:rPr>
          <w:szCs w:val="24"/>
        </w:rPr>
      </w:pPr>
      <w:r w:rsidRPr="00BE3BF2">
        <w:rPr>
          <w:szCs w:val="24"/>
        </w:rPr>
        <w:t xml:space="preserve">iekļaujot HP IA kritērijus projektu iesniegumu atlases kritēriju </w:t>
      </w:r>
      <w:r>
        <w:rPr>
          <w:szCs w:val="24"/>
        </w:rPr>
        <w:t>grupās,</w:t>
      </w:r>
    </w:p>
    <w:p w14:paraId="5D260BA0" w14:textId="77777777" w:rsidR="0003594B" w:rsidRDefault="0003594B" w:rsidP="0003594B">
      <w:pPr>
        <w:pStyle w:val="ListParagraph"/>
        <w:numPr>
          <w:ilvl w:val="0"/>
          <w:numId w:val="1"/>
        </w:numPr>
        <w:spacing w:before="120"/>
        <w:ind w:left="426" w:hanging="426"/>
        <w:jc w:val="both"/>
        <w:rPr>
          <w:szCs w:val="24"/>
        </w:rPr>
      </w:pPr>
      <w:r w:rsidRPr="00BE3BF2">
        <w:rPr>
          <w:szCs w:val="24"/>
        </w:rPr>
        <w:t>integrējot vides aizsardzības jautājumus normatīvajā regulējumā par pasākumu īstenošanu</w:t>
      </w:r>
      <w:r>
        <w:rPr>
          <w:szCs w:val="24"/>
        </w:rPr>
        <w:t xml:space="preserve"> </w:t>
      </w:r>
      <w:r w:rsidRPr="00BE3BF2">
        <w:rPr>
          <w:szCs w:val="24"/>
        </w:rPr>
        <w:t>– nosacījumos atbalsta saņemšanai, atbalstāmajās darbībās</w:t>
      </w:r>
      <w:r>
        <w:rPr>
          <w:szCs w:val="24"/>
        </w:rPr>
        <w:t xml:space="preserve"> (</w:t>
      </w:r>
      <w:r w:rsidRPr="00BE3BF2">
        <w:rPr>
          <w:szCs w:val="24"/>
        </w:rPr>
        <w:t>darbībās vides kvalitātes saglabāšanai un negatīvās ietekmes uz vidi un klimata pārmaiņām samazināšanai</w:t>
      </w:r>
      <w:r>
        <w:rPr>
          <w:szCs w:val="24"/>
        </w:rPr>
        <w:t>)</w:t>
      </w:r>
      <w:r w:rsidRPr="00BE3BF2">
        <w:rPr>
          <w:szCs w:val="24"/>
        </w:rPr>
        <w:t xml:space="preserve">, kā arī </w:t>
      </w:r>
      <w:r>
        <w:rPr>
          <w:szCs w:val="24"/>
        </w:rPr>
        <w:t xml:space="preserve">atbalstāmo darbību </w:t>
      </w:r>
      <w:r w:rsidRPr="00BE3BF2">
        <w:rPr>
          <w:szCs w:val="24"/>
        </w:rPr>
        <w:t>attiecinām</w:t>
      </w:r>
      <w:r>
        <w:rPr>
          <w:szCs w:val="24"/>
        </w:rPr>
        <w:t>ajās</w:t>
      </w:r>
      <w:r w:rsidRPr="00BE3BF2">
        <w:rPr>
          <w:szCs w:val="24"/>
        </w:rPr>
        <w:t xml:space="preserve"> izmaks</w:t>
      </w:r>
      <w:r>
        <w:rPr>
          <w:szCs w:val="24"/>
        </w:rPr>
        <w:t>ās.</w:t>
      </w:r>
    </w:p>
    <w:p w14:paraId="1798D058" w14:textId="77777777" w:rsidR="0003594B" w:rsidRDefault="0003594B" w:rsidP="0003594B">
      <w:pPr>
        <w:spacing w:before="120"/>
        <w:jc w:val="both"/>
        <w:rPr>
          <w:szCs w:val="24"/>
        </w:rPr>
      </w:pPr>
      <w:r w:rsidRPr="00213A98">
        <w:rPr>
          <w:szCs w:val="24"/>
        </w:rPr>
        <w:t xml:space="preserve">HP IA ievērošanai </w:t>
      </w:r>
      <w:r>
        <w:rPr>
          <w:szCs w:val="24"/>
        </w:rPr>
        <w:t xml:space="preserve">darbības programmā (turpmāk – DP) “Izaugsme un nodarbinātība” </w:t>
      </w:r>
      <w:r w:rsidRPr="00213A98">
        <w:rPr>
          <w:szCs w:val="24"/>
        </w:rPr>
        <w:t>iekļauti gan SAM/SAMP ar tiešu pozitīvu ietekmi uz HP IA, gan SAM/SAMP ar netiešu pozitīvu ietekmi uz HP IA, kur atsevišķos projektos tiek īstenotas darbības ar tiešu vai netiešu pozitīvu ietekmi uz HP IA, kā arī SAM\SAMP, kuriem nav ietekmes uz HP IA.</w:t>
      </w:r>
      <w:r>
        <w:rPr>
          <w:szCs w:val="24"/>
        </w:rPr>
        <w:t xml:space="preserve"> Finansējuma sadalījums starp šiem SAM/SAMP salīdzinājumā ar sākotnēji DP plānoto gadu gaitā ir nedaudz izmainījies atbilstoši aktuālākajām nepieciešamībām un, diemžēl, ne par labu SAM/SAMP ar tiešu pozitīvu ietekmi uz HP IA </w:t>
      </w:r>
      <w:r w:rsidRPr="005571E6">
        <w:rPr>
          <w:szCs w:val="24"/>
        </w:rPr>
        <w:t>–</w:t>
      </w:r>
      <w:r>
        <w:rPr>
          <w:szCs w:val="24"/>
        </w:rPr>
        <w:t xml:space="preserve"> lai gan pēc 2020. gada ir neliels pieejamā finansējuma pieaugums, tas tomēr nesasniedz sākotnēji DP plānoto (</w:t>
      </w:r>
      <w:r w:rsidRPr="00B14914">
        <w:rPr>
          <w:i/>
          <w:iCs/>
          <w:szCs w:val="24"/>
        </w:rPr>
        <w:t>1</w:t>
      </w:r>
      <w:r>
        <w:rPr>
          <w:i/>
          <w:iCs/>
          <w:szCs w:val="24"/>
        </w:rPr>
        <w:t>. </w:t>
      </w:r>
      <w:r w:rsidRPr="00B14914">
        <w:rPr>
          <w:i/>
          <w:iCs/>
          <w:szCs w:val="24"/>
        </w:rPr>
        <w:t xml:space="preserve"> attēls</w:t>
      </w:r>
      <w:r>
        <w:rPr>
          <w:szCs w:val="24"/>
        </w:rPr>
        <w:t>).</w:t>
      </w:r>
    </w:p>
    <w:p w14:paraId="5C7D83ED" w14:textId="77777777" w:rsidR="0003594B" w:rsidRPr="00213A98" w:rsidRDefault="0003594B" w:rsidP="0003594B">
      <w:pPr>
        <w:spacing w:before="120"/>
        <w:jc w:val="both"/>
        <w:rPr>
          <w:szCs w:val="24"/>
        </w:rPr>
      </w:pPr>
      <w:r>
        <w:rPr>
          <w:noProof/>
          <w:szCs w:val="24"/>
        </w:rPr>
        <w:drawing>
          <wp:inline distT="0" distB="0" distL="0" distR="0" wp14:anchorId="16EB4E20" wp14:editId="5C20D15A">
            <wp:extent cx="6296025" cy="2150269"/>
            <wp:effectExtent l="0" t="0" r="0" b="2540"/>
            <wp:docPr id="820604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40282" cy="2165384"/>
                    </a:xfrm>
                    <a:prstGeom prst="rect">
                      <a:avLst/>
                    </a:prstGeom>
                    <a:noFill/>
                  </pic:spPr>
                </pic:pic>
              </a:graphicData>
            </a:graphic>
          </wp:inline>
        </w:drawing>
      </w:r>
    </w:p>
    <w:p w14:paraId="563B11A2" w14:textId="77777777" w:rsidR="0003594B" w:rsidRPr="00B032E8" w:rsidRDefault="0003594B" w:rsidP="0003594B">
      <w:pPr>
        <w:pStyle w:val="ListParagraph"/>
        <w:numPr>
          <w:ilvl w:val="0"/>
          <w:numId w:val="3"/>
        </w:numPr>
        <w:ind w:left="426"/>
        <w:jc w:val="both"/>
        <w:rPr>
          <w:rFonts w:eastAsia="Times New Roman"/>
          <w:b/>
          <w:bCs/>
          <w:i/>
          <w:color w:val="000000"/>
          <w:sz w:val="28"/>
          <w:szCs w:val="28"/>
          <w:lang w:eastAsia="lv-LV"/>
        </w:rPr>
      </w:pPr>
      <w:r w:rsidRPr="00B032E8">
        <w:rPr>
          <w:b/>
          <w:i/>
          <w:iCs/>
          <w:noProof/>
        </w:rPr>
        <w:t>attēls.</w:t>
      </w:r>
      <w:r w:rsidRPr="00B032E8">
        <w:rPr>
          <w:b/>
          <w:bCs/>
          <w:i/>
          <w:color w:val="000000"/>
          <w:sz w:val="28"/>
          <w:szCs w:val="28"/>
        </w:rPr>
        <w:t xml:space="preserve"> </w:t>
      </w:r>
      <w:r w:rsidRPr="00B032E8">
        <w:rPr>
          <w:rFonts w:eastAsia="Times New Roman"/>
          <w:b/>
          <w:i/>
          <w:color w:val="000000"/>
          <w:szCs w:val="24"/>
          <w:lang w:eastAsia="lv-LV"/>
        </w:rPr>
        <w:t>ES finansējuma sadalījums atbilstoši SAM/SAMP ietekmei uz HP IA, %</w:t>
      </w:r>
    </w:p>
    <w:p w14:paraId="49A8B447" w14:textId="77777777" w:rsidR="007D7A77" w:rsidRDefault="007D7A77" w:rsidP="0003594B">
      <w:pPr>
        <w:spacing w:before="120"/>
        <w:jc w:val="both"/>
        <w:rPr>
          <w:szCs w:val="24"/>
        </w:rPr>
      </w:pPr>
    </w:p>
    <w:p w14:paraId="33205B54" w14:textId="6C0652F0" w:rsidR="0003594B" w:rsidRDefault="0003594B" w:rsidP="0003594B">
      <w:pPr>
        <w:spacing w:before="120"/>
        <w:jc w:val="both"/>
        <w:rPr>
          <w:szCs w:val="24"/>
        </w:rPr>
      </w:pPr>
      <w:r>
        <w:rPr>
          <w:szCs w:val="24"/>
        </w:rPr>
        <w:t>SAM/SAMP ar tiešu ietekmi uz HP IA finansējuma procentos samazinājumu salīdzinājumā ar DP sākotnēji plānoto, galvenokārt, var izskaidrot ar finansiāli ietilpīgā 6.2.1.1. SAMP “</w:t>
      </w:r>
      <w:r w:rsidRPr="00C975E0">
        <w:rPr>
          <w:szCs w:val="24"/>
        </w:rPr>
        <w:t>Latvijas dzelzceļa tīkla elektrifikācija</w:t>
      </w:r>
      <w:r>
        <w:rPr>
          <w:szCs w:val="24"/>
        </w:rPr>
        <w:t>” apturēšanu un šī finansējuma pārdali, prioritāri nenovirzot finansējumu SAM/SAMP ar tiešu pozitīvu ietekmi uz HP IA.</w:t>
      </w:r>
    </w:p>
    <w:p w14:paraId="7B5C796F" w14:textId="77777777" w:rsidR="0003594B" w:rsidRDefault="0003594B" w:rsidP="0003594B">
      <w:pPr>
        <w:spacing w:before="120"/>
        <w:jc w:val="both"/>
        <w:rPr>
          <w:szCs w:val="24"/>
        </w:rPr>
      </w:pPr>
      <w:r w:rsidRPr="008D426A">
        <w:rPr>
          <w:szCs w:val="24"/>
        </w:rPr>
        <w:t xml:space="preserve">Tieša pozitīva ietekme uz HP IA ir DP 4. prioritārā virziena “Pāreja uz ekonomiku ar zemu oglekļa emisiju līmeni visās nozarēs” (turpmāk – 4. prioritārais virziens), 5. prioritārā virziena “Vides aizsardzība un resursu izmantošanas efektivitāte” (turpmāk – 5. prioritārais virziens), kā arī daļai </w:t>
      </w:r>
      <w:r w:rsidRPr="008D426A">
        <w:rPr>
          <w:szCs w:val="24"/>
        </w:rPr>
        <w:lastRenderedPageBreak/>
        <w:t>no 6. prioritārā virziena “Ilgtspējīga transporta sistēma” (turpmāk – 6. prioritārais virziens) SAM/SAMP.</w:t>
      </w:r>
    </w:p>
    <w:p w14:paraId="25AB81F3" w14:textId="77777777" w:rsidR="0003594B" w:rsidRDefault="0003594B" w:rsidP="0003594B">
      <w:pPr>
        <w:spacing w:before="120"/>
        <w:jc w:val="both"/>
        <w:rPr>
          <w:szCs w:val="24"/>
        </w:rPr>
      </w:pPr>
      <w:r>
        <w:rPr>
          <w:szCs w:val="24"/>
        </w:rPr>
        <w:t>Analizējot SAM/SAMP ar tiešu pozitīvu ietekmi uz HP IA finansiālo sadalījumu atbilstoši DP prioritārajiem virzieniem, vislielākās investīcijas bija plānotas un arī ir ieguldītas 4. prioritārā virziena SAM/SAMP ~70</w:t>
      </w:r>
      <w:r w:rsidRPr="006741D5">
        <w:rPr>
          <w:szCs w:val="24"/>
        </w:rPr>
        <w:t>3</w:t>
      </w:r>
      <w:r>
        <w:rPr>
          <w:szCs w:val="24"/>
        </w:rPr>
        <w:t>,</w:t>
      </w:r>
      <w:r w:rsidRPr="006741D5">
        <w:rPr>
          <w:szCs w:val="24"/>
        </w:rPr>
        <w:t>9</w:t>
      </w:r>
      <w:r>
        <w:rPr>
          <w:szCs w:val="24"/>
        </w:rPr>
        <w:t xml:space="preserve">8 milj. euro, t.i., 63%, bet vismazākās – 11% vai </w:t>
      </w:r>
      <w:r w:rsidRPr="006741D5">
        <w:rPr>
          <w:szCs w:val="24"/>
        </w:rPr>
        <w:t>~</w:t>
      </w:r>
      <w:r w:rsidRPr="006741D5">
        <w:rPr>
          <w:rFonts w:eastAsia="Times New Roman"/>
          <w:color w:val="000000"/>
          <w:sz w:val="22"/>
          <w:lang w:eastAsia="lv-LV"/>
        </w:rPr>
        <w:t>122</w:t>
      </w:r>
      <w:r>
        <w:rPr>
          <w:rFonts w:eastAsia="Times New Roman"/>
          <w:color w:val="000000"/>
          <w:sz w:val="22"/>
          <w:lang w:eastAsia="lv-LV"/>
        </w:rPr>
        <w:t>,</w:t>
      </w:r>
      <w:r w:rsidRPr="006741D5">
        <w:rPr>
          <w:rFonts w:eastAsia="Times New Roman"/>
          <w:color w:val="000000"/>
          <w:sz w:val="22"/>
          <w:lang w:eastAsia="lv-LV"/>
        </w:rPr>
        <w:t xml:space="preserve"> 5</w:t>
      </w:r>
      <w:r>
        <w:rPr>
          <w:rFonts w:eastAsia="Times New Roman"/>
          <w:color w:val="000000"/>
          <w:sz w:val="22"/>
          <w:lang w:eastAsia="lv-LV"/>
        </w:rPr>
        <w:t>6 milj. euro</w:t>
      </w:r>
      <w:r>
        <w:rPr>
          <w:szCs w:val="24"/>
        </w:rPr>
        <w:t xml:space="preserve"> 6. prioritārā virziena ietvaros. 5. prioritārā virziena SAM/SAMP ieguldīti </w:t>
      </w:r>
      <w:r w:rsidRPr="00D1796A">
        <w:rPr>
          <w:szCs w:val="24"/>
        </w:rPr>
        <w:t>~295</w:t>
      </w:r>
      <w:r>
        <w:rPr>
          <w:szCs w:val="24"/>
        </w:rPr>
        <w:t>,</w:t>
      </w:r>
      <w:r w:rsidRPr="00D1796A">
        <w:rPr>
          <w:szCs w:val="24"/>
        </w:rPr>
        <w:t>88</w:t>
      </w:r>
      <w:r>
        <w:rPr>
          <w:szCs w:val="24"/>
        </w:rPr>
        <w:t xml:space="preserve"> milj. euro</w:t>
      </w:r>
      <w:r w:rsidRPr="00D1796A">
        <w:rPr>
          <w:szCs w:val="24"/>
        </w:rPr>
        <w:t xml:space="preserve"> </w:t>
      </w:r>
      <w:r>
        <w:rPr>
          <w:szCs w:val="24"/>
        </w:rPr>
        <w:t xml:space="preserve"> jeb 26% no SAM/SAMP ar tiešu pozitīvu ietekmi uz HP IA</w:t>
      </w:r>
      <w:r>
        <w:rPr>
          <w:rStyle w:val="FootnoteReference"/>
          <w:szCs w:val="24"/>
        </w:rPr>
        <w:footnoteReference w:id="3"/>
      </w:r>
      <w:r>
        <w:rPr>
          <w:szCs w:val="24"/>
        </w:rPr>
        <w:t xml:space="preserve"> (</w:t>
      </w:r>
      <w:r w:rsidRPr="008D426A">
        <w:rPr>
          <w:i/>
          <w:iCs/>
          <w:szCs w:val="24"/>
        </w:rPr>
        <w:t>2. attēls</w:t>
      </w:r>
      <w:r>
        <w:rPr>
          <w:szCs w:val="24"/>
        </w:rPr>
        <w:t>).</w:t>
      </w:r>
    </w:p>
    <w:p w14:paraId="3FA50D09" w14:textId="77777777" w:rsidR="0003594B" w:rsidRDefault="0003594B" w:rsidP="0003594B">
      <w:pPr>
        <w:spacing w:before="120"/>
        <w:jc w:val="center"/>
        <w:rPr>
          <w:szCs w:val="24"/>
        </w:rPr>
      </w:pPr>
      <w:r>
        <w:rPr>
          <w:noProof/>
          <w:szCs w:val="24"/>
        </w:rPr>
        <w:drawing>
          <wp:inline distT="0" distB="0" distL="0" distR="0" wp14:anchorId="720C5E95" wp14:editId="5F9561C1">
            <wp:extent cx="5783785" cy="1577340"/>
            <wp:effectExtent l="0" t="0" r="7620" b="3810"/>
            <wp:docPr id="6621991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8906" cy="1589645"/>
                    </a:xfrm>
                    <a:prstGeom prst="rect">
                      <a:avLst/>
                    </a:prstGeom>
                    <a:noFill/>
                  </pic:spPr>
                </pic:pic>
              </a:graphicData>
            </a:graphic>
          </wp:inline>
        </w:drawing>
      </w:r>
    </w:p>
    <w:p w14:paraId="39F1F03B" w14:textId="3376E176" w:rsidR="0003594B" w:rsidRPr="00B032E8" w:rsidRDefault="0003594B" w:rsidP="007D7A77">
      <w:pPr>
        <w:pStyle w:val="ListParagraph"/>
        <w:numPr>
          <w:ilvl w:val="0"/>
          <w:numId w:val="2"/>
        </w:numPr>
        <w:spacing w:before="120" w:after="120"/>
        <w:rPr>
          <w:b/>
          <w:i/>
        </w:rPr>
      </w:pPr>
      <w:r w:rsidRPr="00B032E8">
        <w:rPr>
          <w:b/>
          <w:i/>
          <w:iCs/>
        </w:rPr>
        <w:t>attēls.</w:t>
      </w:r>
      <w:r w:rsidRPr="00B032E8">
        <w:rPr>
          <w:b/>
          <w:i/>
        </w:rPr>
        <w:t xml:space="preserve"> ES finansējuma sadalījums atbilstoši SAM/SAMP ietekmei uz HP IA, %</w:t>
      </w:r>
    </w:p>
    <w:p w14:paraId="097C70E8" w14:textId="45E75EB7" w:rsidR="007D7A77" w:rsidRDefault="007D7A77" w:rsidP="007D7A77">
      <w:pPr>
        <w:pStyle w:val="Heading1"/>
        <w:spacing w:before="120" w:after="120"/>
        <w:ind w:left="420"/>
        <w:rPr>
          <w:rFonts w:ascii="Times New Roman" w:hAnsi="Times New Roman" w:cs="Times New Roman"/>
          <w:b/>
          <w:bCs/>
          <w:color w:val="auto"/>
          <w:sz w:val="28"/>
          <w:szCs w:val="28"/>
        </w:rPr>
      </w:pPr>
      <w:bookmarkStart w:id="4" w:name="_Toc3891304"/>
      <w:bookmarkStart w:id="5" w:name="_Toc125102635"/>
    </w:p>
    <w:p w14:paraId="1199D8BC" w14:textId="4D113CCC" w:rsidR="0003594B" w:rsidRDefault="007D7A77" w:rsidP="007D7A77">
      <w:pPr>
        <w:pStyle w:val="Heading1"/>
        <w:spacing w:before="120" w:after="120"/>
        <w:ind w:left="420"/>
        <w:rPr>
          <w:rFonts w:ascii="Times New Roman" w:hAnsi="Times New Roman" w:cs="Times New Roman"/>
          <w:b/>
          <w:bCs/>
          <w:color w:val="auto"/>
          <w:sz w:val="28"/>
          <w:szCs w:val="28"/>
        </w:rPr>
      </w:pPr>
      <w:bookmarkStart w:id="6" w:name="_Toc132198341"/>
      <w:r>
        <w:rPr>
          <w:rFonts w:ascii="Times New Roman" w:hAnsi="Times New Roman" w:cs="Times New Roman"/>
          <w:b/>
          <w:bCs/>
          <w:color w:val="auto"/>
          <w:sz w:val="28"/>
          <w:szCs w:val="28"/>
        </w:rPr>
        <w:t xml:space="preserve">2. </w:t>
      </w:r>
      <w:r w:rsidR="0003594B" w:rsidRPr="00F31352">
        <w:rPr>
          <w:rFonts w:ascii="Times New Roman" w:hAnsi="Times New Roman" w:cs="Times New Roman"/>
          <w:b/>
          <w:bCs/>
          <w:color w:val="auto"/>
          <w:sz w:val="28"/>
          <w:szCs w:val="28"/>
        </w:rPr>
        <w:t>HP IA principa ievērošana DP</w:t>
      </w:r>
      <w:bookmarkEnd w:id="4"/>
      <w:bookmarkEnd w:id="5"/>
      <w:bookmarkEnd w:id="6"/>
      <w:r w:rsidR="0003594B" w:rsidRPr="00F31352">
        <w:rPr>
          <w:rFonts w:ascii="Times New Roman" w:hAnsi="Times New Roman" w:cs="Times New Roman"/>
          <w:b/>
          <w:bCs/>
          <w:color w:val="auto"/>
          <w:sz w:val="28"/>
          <w:szCs w:val="28"/>
        </w:rPr>
        <w:t xml:space="preserve"> </w:t>
      </w:r>
    </w:p>
    <w:p w14:paraId="29563A46" w14:textId="77777777" w:rsidR="007D7A77" w:rsidRPr="007D7A77" w:rsidRDefault="007D7A77" w:rsidP="007D7A77"/>
    <w:p w14:paraId="561C5AD8" w14:textId="77777777" w:rsidR="0003594B" w:rsidRPr="00F31352" w:rsidRDefault="0003594B" w:rsidP="0003594B">
      <w:pPr>
        <w:pStyle w:val="Heading2"/>
        <w:numPr>
          <w:ilvl w:val="1"/>
          <w:numId w:val="2"/>
        </w:numPr>
        <w:spacing w:before="120"/>
        <w:ind w:left="357" w:hanging="357"/>
        <w:rPr>
          <w:rFonts w:ascii="Times New Roman" w:hAnsi="Times New Roman" w:cs="Times New Roman"/>
          <w:b/>
          <w:bCs/>
          <w:color w:val="auto"/>
          <w:sz w:val="24"/>
          <w:szCs w:val="24"/>
        </w:rPr>
      </w:pPr>
      <w:bookmarkStart w:id="7" w:name="_Toc125102636"/>
      <w:bookmarkStart w:id="8" w:name="_Toc132198342"/>
      <w:r w:rsidRPr="00F31352">
        <w:rPr>
          <w:rFonts w:ascii="Times New Roman" w:hAnsi="Times New Roman" w:cs="Times New Roman"/>
          <w:b/>
          <w:bCs/>
          <w:color w:val="auto"/>
          <w:sz w:val="24"/>
          <w:szCs w:val="24"/>
        </w:rPr>
        <w:t>Ieguldījumi vides aizsardzībā</w:t>
      </w:r>
      <w:bookmarkEnd w:id="7"/>
      <w:bookmarkEnd w:id="8"/>
    </w:p>
    <w:p w14:paraId="18D5F34D" w14:textId="77777777" w:rsidR="0003594B" w:rsidRDefault="0003594B" w:rsidP="0003594B">
      <w:pPr>
        <w:spacing w:before="120"/>
        <w:jc w:val="both"/>
      </w:pPr>
      <w:r w:rsidRPr="00B42E15">
        <w:t xml:space="preserve">5. prioritārā virziena ietvaros </w:t>
      </w:r>
      <w:r>
        <w:t>ieguldītas</w:t>
      </w:r>
      <w:r w:rsidRPr="00B42E15">
        <w:t xml:space="preserve"> investīcijas </w:t>
      </w:r>
      <w:r>
        <w:t>notekūdeņu</w:t>
      </w:r>
      <w:r w:rsidRPr="00B42E15">
        <w:t xml:space="preserve"> un atkritumu apsaimniekošanas infrastruktūras attīstībai, bioloģiskās daudzveidības saglabāšanai, vēsturiski piesārņoto vietu sanācijai, plūdu risku mazināšanai, kā arī vides monitoringa un kontroles sistēmas attīstībai. Šajos pasākumos kopumā ieguldīt</w:t>
      </w:r>
      <w:r>
        <w:t>i</w:t>
      </w:r>
      <w:r w:rsidRPr="00B42E15">
        <w:t xml:space="preserve"> 2</w:t>
      </w:r>
      <w:r>
        <w:t>95</w:t>
      </w:r>
      <w:r w:rsidRPr="00B42E15">
        <w:t>,</w:t>
      </w:r>
      <w:r>
        <w:t>88</w:t>
      </w:r>
      <w:r w:rsidRPr="00B42E15">
        <w:t xml:space="preserve"> milj. euro. Saskaņā ar aktualizēto informāciju</w:t>
      </w:r>
      <w:r>
        <w:rPr>
          <w:rStyle w:val="FootnoteReference"/>
        </w:rPr>
        <w:footnoteReference w:id="4"/>
      </w:r>
      <w:r w:rsidRPr="00B42E15">
        <w:t xml:space="preserve"> DP ietvaros </w:t>
      </w:r>
      <w:r>
        <w:t>notek</w:t>
      </w:r>
      <w:r w:rsidRPr="00B42E15">
        <w:t>ūde</w:t>
      </w:r>
      <w:r>
        <w:t>ņu</w:t>
      </w:r>
      <w:r w:rsidRPr="00B42E15">
        <w:t xml:space="preserve"> apsaimniekošan</w:t>
      </w:r>
      <w:r>
        <w:t xml:space="preserve">ā </w:t>
      </w:r>
      <w:r w:rsidRPr="00B42E15">
        <w:t>invest</w:t>
      </w:r>
      <w:r>
        <w:t>ēti</w:t>
      </w:r>
      <w:r w:rsidRPr="00B42E15">
        <w:t xml:space="preserve"> </w:t>
      </w:r>
      <w:r w:rsidRPr="00F31352">
        <w:t>~102</w:t>
      </w:r>
      <w:r>
        <w:t>,</w:t>
      </w:r>
      <w:r w:rsidRPr="00F31352">
        <w:t>1</w:t>
      </w:r>
      <w:r>
        <w:t xml:space="preserve">8 </w:t>
      </w:r>
      <w:r w:rsidRPr="00B42E15">
        <w:t xml:space="preserve">milj. euro jeb </w:t>
      </w:r>
      <w:r>
        <w:t>34,5</w:t>
      </w:r>
      <w:r w:rsidRPr="00B42E15">
        <w:t>% no vides investīcijām, atkritumu apsaimniekošan</w:t>
      </w:r>
      <w:r>
        <w:t>ā</w:t>
      </w:r>
      <w:r w:rsidRPr="00B42E15">
        <w:t xml:space="preserve"> </w:t>
      </w:r>
      <w:r w:rsidRPr="006514D0">
        <w:t>~</w:t>
      </w:r>
      <w:r>
        <w:t>72,27</w:t>
      </w:r>
      <w:r w:rsidRPr="00B42E15">
        <w:t xml:space="preserve"> milj. euro jeb </w:t>
      </w:r>
      <w:r>
        <w:t>24,4</w:t>
      </w:r>
      <w:r w:rsidRPr="00B42E15">
        <w:t xml:space="preserve">%, bioloģiskās daudzveidības saglabāšanai </w:t>
      </w:r>
      <w:r w:rsidRPr="006514D0">
        <w:t>~</w:t>
      </w:r>
      <w:r w:rsidRPr="00592808">
        <w:t>1</w:t>
      </w:r>
      <w:r>
        <w:t xml:space="preserve">8,10 </w:t>
      </w:r>
      <w:r w:rsidRPr="00B42E15">
        <w:t xml:space="preserve">milj. jeb </w:t>
      </w:r>
      <w:r>
        <w:t>6,1</w:t>
      </w:r>
      <w:r w:rsidRPr="00B42E15">
        <w:t xml:space="preserve">%, vēsturiski piesārņoto vietu sanācijai </w:t>
      </w:r>
      <w:r w:rsidRPr="006514D0">
        <w:t>~24</w:t>
      </w:r>
      <w:r>
        <w:t>,</w:t>
      </w:r>
      <w:r w:rsidRPr="006514D0">
        <w:t>8</w:t>
      </w:r>
      <w:r>
        <w:t>7</w:t>
      </w:r>
      <w:r w:rsidRPr="00B42E15">
        <w:t xml:space="preserve">milj. jeb </w:t>
      </w:r>
      <w:r>
        <w:t>8,4</w:t>
      </w:r>
      <w:r w:rsidRPr="00B42E15">
        <w:t>%, plūdu risku mazināšanai, tostarp novēršot piesārņojuma draudus – 6</w:t>
      </w:r>
      <w:r>
        <w:t xml:space="preserve">0,96 </w:t>
      </w:r>
      <w:r w:rsidRPr="00B42E15">
        <w:t>milj. jeb 2</w:t>
      </w:r>
      <w:r>
        <w:t>0,6</w:t>
      </w:r>
      <w:r w:rsidRPr="00B42E15">
        <w:t>% un vides monitoringa un kontroles sistēmas attīstībai – 1</w:t>
      </w:r>
      <w:r>
        <w:t xml:space="preserve">7,49 </w:t>
      </w:r>
      <w:r w:rsidRPr="00B42E15">
        <w:t xml:space="preserve">milj. euro jeb </w:t>
      </w:r>
      <w:r>
        <w:t>5,9</w:t>
      </w:r>
      <w:r w:rsidRPr="00B42E15">
        <w:t>%, no vides investīcijām (</w:t>
      </w:r>
      <w:r>
        <w:rPr>
          <w:i/>
          <w:iCs/>
        </w:rPr>
        <w:t>3</w:t>
      </w:r>
      <w:r w:rsidRPr="00B14914">
        <w:rPr>
          <w:i/>
          <w:iCs/>
        </w:rPr>
        <w:t>. attēls</w:t>
      </w:r>
      <w:r w:rsidRPr="00B42E15">
        <w:t>).</w:t>
      </w:r>
    </w:p>
    <w:p w14:paraId="50B87AC8" w14:textId="77777777" w:rsidR="0003594B" w:rsidRDefault="0003594B" w:rsidP="0003594B">
      <w:pPr>
        <w:jc w:val="center"/>
      </w:pPr>
      <w:r>
        <w:rPr>
          <w:noProof/>
        </w:rPr>
        <w:lastRenderedPageBreak/>
        <w:drawing>
          <wp:inline distT="0" distB="0" distL="0" distR="0" wp14:anchorId="00D40B0C" wp14:editId="61B88E58">
            <wp:extent cx="5475605" cy="2042160"/>
            <wp:effectExtent l="0" t="0" r="0" b="0"/>
            <wp:docPr id="18970907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7478" cy="2072695"/>
                    </a:xfrm>
                    <a:prstGeom prst="rect">
                      <a:avLst/>
                    </a:prstGeom>
                    <a:noFill/>
                  </pic:spPr>
                </pic:pic>
              </a:graphicData>
            </a:graphic>
          </wp:inline>
        </w:drawing>
      </w:r>
    </w:p>
    <w:p w14:paraId="504B1F79" w14:textId="77777777" w:rsidR="0003594B" w:rsidRDefault="0003594B" w:rsidP="0003594B">
      <w:pPr>
        <w:jc w:val="both"/>
      </w:pPr>
    </w:p>
    <w:p w14:paraId="6D035679" w14:textId="77777777" w:rsidR="0003594B" w:rsidRPr="00B032E8" w:rsidRDefault="0003594B" w:rsidP="0003594B">
      <w:pPr>
        <w:spacing w:after="160" w:line="259" w:lineRule="auto"/>
        <w:rPr>
          <w:b/>
          <w:i/>
        </w:rPr>
      </w:pPr>
      <w:r w:rsidRPr="00B032E8">
        <w:rPr>
          <w:b/>
          <w:i/>
          <w:iCs/>
        </w:rPr>
        <w:t>3. attēls.</w:t>
      </w:r>
      <w:r w:rsidRPr="00B032E8">
        <w:rPr>
          <w:b/>
          <w:i/>
        </w:rPr>
        <w:t xml:space="preserve"> ES finansējuma sadalījums atbilstoši vides aizsardzības jomai DP 5. prioritārā virziena ietvaros, %</w:t>
      </w:r>
    </w:p>
    <w:p w14:paraId="341940EA" w14:textId="77777777" w:rsidR="0003594B" w:rsidRPr="006514D0" w:rsidRDefault="0003594B" w:rsidP="0003594B">
      <w:pPr>
        <w:spacing w:after="160" w:line="259" w:lineRule="auto"/>
      </w:pPr>
      <w:r w:rsidRPr="009E634D">
        <w:t xml:space="preserve">Analizējot investīciju apguvi </w:t>
      </w:r>
      <w:r>
        <w:t>vides aizsardzībā</w:t>
      </w:r>
      <w:r w:rsidRPr="009E634D">
        <w:t>, projektos līdz 2023. gadam ES fondu finansējums apstiprināt</w:t>
      </w:r>
      <w:r>
        <w:t>s</w:t>
      </w:r>
      <w:r w:rsidRPr="009E634D">
        <w:t xml:space="preserve"> 9</w:t>
      </w:r>
      <w:r>
        <w:t>9,5</w:t>
      </w:r>
      <w:r w:rsidRPr="009E634D">
        <w:t>% no plānotā finansējum</w:t>
      </w:r>
      <w:r>
        <w:t>a.</w:t>
      </w:r>
    </w:p>
    <w:p w14:paraId="47DC2CA5" w14:textId="77777777" w:rsidR="0003594B" w:rsidRPr="008D6B50" w:rsidRDefault="0003594B" w:rsidP="0003594B">
      <w:pPr>
        <w:pStyle w:val="Heading3"/>
        <w:rPr>
          <w:rFonts w:ascii="Times New Roman" w:hAnsi="Times New Roman" w:cs="Times New Roman"/>
          <w:b/>
          <w:bCs/>
          <w:color w:val="auto"/>
        </w:rPr>
      </w:pPr>
      <w:bookmarkStart w:id="9" w:name="_Toc125102637"/>
      <w:bookmarkStart w:id="10" w:name="_Toc132198343"/>
      <w:r w:rsidRPr="008D6B50">
        <w:rPr>
          <w:rFonts w:ascii="Times New Roman" w:hAnsi="Times New Roman" w:cs="Times New Roman"/>
          <w:b/>
          <w:bCs/>
          <w:color w:val="auto"/>
        </w:rPr>
        <w:t>2.1.1. Prioritārā virziena “Vides aizsardzība un resursu izmantošanas efektivitāte” īstenošanā sasniegtie rādītāji</w:t>
      </w:r>
      <w:bookmarkEnd w:id="9"/>
      <w:bookmarkEnd w:id="10"/>
    </w:p>
    <w:p w14:paraId="64A99566" w14:textId="77777777" w:rsidR="0003594B" w:rsidRDefault="0003594B" w:rsidP="0003594B">
      <w:pPr>
        <w:jc w:val="both"/>
      </w:pPr>
    </w:p>
    <w:p w14:paraId="58D553A1" w14:textId="77777777" w:rsidR="0003594B" w:rsidRPr="00B032E8" w:rsidRDefault="0003594B" w:rsidP="0003594B">
      <w:pPr>
        <w:pStyle w:val="ListParagraph"/>
        <w:ind w:left="0"/>
        <w:jc w:val="both"/>
        <w:rPr>
          <w:b/>
          <w:i/>
        </w:rPr>
      </w:pPr>
      <w:bookmarkStart w:id="11" w:name="_Hlk128989296"/>
      <w:r w:rsidRPr="00B032E8">
        <w:rPr>
          <w:b/>
          <w:i/>
          <w:iCs/>
        </w:rPr>
        <w:t xml:space="preserve">1. tabula. </w:t>
      </w:r>
      <w:r w:rsidRPr="00B032E8">
        <w:rPr>
          <w:b/>
          <w:i/>
        </w:rPr>
        <w:t>Vides aizsardzības pasākumu īstenošanā sasniegto iznākuma rādītāju izpilde</w:t>
      </w:r>
    </w:p>
    <w:tbl>
      <w:tblPr>
        <w:tblStyle w:val="ListTable3-Accent6"/>
        <w:tblW w:w="9639" w:type="dxa"/>
        <w:tblLayout w:type="fixed"/>
        <w:tblLook w:val="0000" w:firstRow="0" w:lastRow="0" w:firstColumn="0" w:lastColumn="0" w:noHBand="0" w:noVBand="0"/>
      </w:tblPr>
      <w:tblGrid>
        <w:gridCol w:w="5950"/>
        <w:gridCol w:w="1275"/>
        <w:gridCol w:w="1275"/>
        <w:gridCol w:w="1139"/>
      </w:tblGrid>
      <w:tr w:rsidR="004646D1" w14:paraId="25BE440B" w14:textId="77777777" w:rsidTr="004646D1">
        <w:trPr>
          <w:cnfStyle w:val="000000100000" w:firstRow="0" w:lastRow="0" w:firstColumn="0" w:lastColumn="0" w:oddVBand="0" w:evenVBand="0" w:oddHBand="1" w:evenHBand="0" w:firstRowFirstColumn="0" w:firstRowLastColumn="0" w:lastRowFirstColumn="0" w:lastRowLastColumn="0"/>
          <w:trHeight w:val="414"/>
        </w:trPr>
        <w:tc>
          <w:tcPr>
            <w:cnfStyle w:val="000010000000" w:firstRow="0" w:lastRow="0" w:firstColumn="0" w:lastColumn="0" w:oddVBand="1" w:evenVBand="0" w:oddHBand="0" w:evenHBand="0" w:firstRowFirstColumn="0" w:firstRowLastColumn="0" w:lastRowFirstColumn="0" w:lastRowLastColumn="0"/>
            <w:tcW w:w="5950" w:type="dxa"/>
            <w:shd w:val="clear" w:color="auto" w:fill="70AD47" w:themeFill="accent6"/>
          </w:tcPr>
          <w:bookmarkEnd w:id="11"/>
          <w:p w14:paraId="1F04C9B7" w14:textId="220354D6" w:rsidR="004646D1" w:rsidRPr="00D56BAD" w:rsidRDefault="004646D1" w:rsidP="004646D1">
            <w:pPr>
              <w:autoSpaceDE w:val="0"/>
              <w:autoSpaceDN w:val="0"/>
              <w:adjustRightInd w:val="0"/>
              <w:rPr>
                <w:rFonts w:eastAsiaTheme="minorHAnsi"/>
                <w:b/>
                <w:bCs/>
                <w:color w:val="FFFFFF" w:themeColor="background1"/>
                <w:sz w:val="20"/>
                <w:szCs w:val="20"/>
              </w:rPr>
            </w:pPr>
            <w:r w:rsidRPr="00F8155B">
              <w:rPr>
                <w:b/>
                <w:bCs/>
                <w:color w:val="FFFFFF" w:themeColor="background1"/>
                <w:sz w:val="20"/>
              </w:rPr>
              <w:t>SAM/SAMP ar tiešu pozitīvu ietekmi uz HP IA iznākuma rādītāji</w:t>
            </w:r>
          </w:p>
        </w:tc>
        <w:tc>
          <w:tcPr>
            <w:tcW w:w="1275" w:type="dxa"/>
            <w:shd w:val="clear" w:color="auto" w:fill="70AD47" w:themeFill="accent6"/>
          </w:tcPr>
          <w:p w14:paraId="15BB41A8" w14:textId="76E407BE" w:rsidR="004646D1" w:rsidRPr="00D56BAD" w:rsidRDefault="004646D1" w:rsidP="004646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b/>
                <w:bCs/>
                <w:color w:val="FFFFFF" w:themeColor="background1"/>
                <w:sz w:val="20"/>
                <w:szCs w:val="20"/>
              </w:rPr>
            </w:pPr>
            <w:r w:rsidRPr="00F8155B">
              <w:rPr>
                <w:color w:val="FFFFFF" w:themeColor="background1"/>
                <w:sz w:val="20"/>
              </w:rPr>
              <w:t>Plānotais</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70AD47" w:themeFill="accent6"/>
          </w:tcPr>
          <w:p w14:paraId="6730DE5C" w14:textId="0C39F7DB" w:rsidR="004646D1" w:rsidRPr="00D56BAD" w:rsidRDefault="004646D1" w:rsidP="004646D1">
            <w:pPr>
              <w:autoSpaceDE w:val="0"/>
              <w:autoSpaceDN w:val="0"/>
              <w:adjustRightInd w:val="0"/>
              <w:jc w:val="center"/>
              <w:rPr>
                <w:rFonts w:eastAsiaTheme="minorHAnsi"/>
                <w:b/>
                <w:bCs/>
                <w:color w:val="FFFFFF" w:themeColor="background1"/>
                <w:sz w:val="20"/>
                <w:szCs w:val="20"/>
              </w:rPr>
            </w:pPr>
            <w:r w:rsidRPr="00F8155B">
              <w:rPr>
                <w:color w:val="FFFFFF" w:themeColor="background1"/>
                <w:sz w:val="20"/>
              </w:rPr>
              <w:t>Sasniegtais</w:t>
            </w:r>
          </w:p>
        </w:tc>
        <w:tc>
          <w:tcPr>
            <w:tcW w:w="1139" w:type="dxa"/>
            <w:shd w:val="clear" w:color="auto" w:fill="70AD47" w:themeFill="accent6"/>
          </w:tcPr>
          <w:p w14:paraId="58CF5A0B" w14:textId="6A5E8900" w:rsidR="004646D1" w:rsidRPr="00D56BAD" w:rsidRDefault="004646D1" w:rsidP="004646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b/>
                <w:bCs/>
                <w:color w:val="FFFFFF" w:themeColor="background1"/>
                <w:sz w:val="20"/>
                <w:szCs w:val="20"/>
              </w:rPr>
            </w:pPr>
            <w:r w:rsidRPr="00F8155B">
              <w:rPr>
                <w:color w:val="FFFFFF" w:themeColor="background1"/>
                <w:sz w:val="20"/>
              </w:rPr>
              <w:t>Izpilde</w:t>
            </w:r>
          </w:p>
        </w:tc>
      </w:tr>
      <w:tr w:rsidR="004646D1" w14:paraId="6991A241" w14:textId="77777777" w:rsidTr="004646D1">
        <w:trPr>
          <w:trHeight w:val="290"/>
        </w:trPr>
        <w:tc>
          <w:tcPr>
            <w:cnfStyle w:val="000010000000" w:firstRow="0" w:lastRow="0" w:firstColumn="0" w:lastColumn="0" w:oddVBand="1" w:evenVBand="0" w:oddHBand="0" w:evenHBand="0" w:firstRowFirstColumn="0" w:firstRowLastColumn="0" w:lastRowFirstColumn="0" w:lastRowLastColumn="0"/>
            <w:tcW w:w="5950" w:type="dxa"/>
          </w:tcPr>
          <w:p w14:paraId="0F4530FE" w14:textId="77777777" w:rsidR="0003594B" w:rsidRDefault="0003594B" w:rsidP="00B32973">
            <w:pPr>
              <w:autoSpaceDE w:val="0"/>
              <w:autoSpaceDN w:val="0"/>
              <w:adjustRightInd w:val="0"/>
              <w:rPr>
                <w:rFonts w:eastAsiaTheme="minorHAnsi"/>
                <w:color w:val="000000"/>
                <w:sz w:val="20"/>
                <w:szCs w:val="20"/>
              </w:rPr>
            </w:pPr>
            <w:r>
              <w:rPr>
                <w:rFonts w:eastAsiaTheme="minorHAnsi"/>
                <w:color w:val="000000"/>
                <w:sz w:val="20"/>
                <w:szCs w:val="20"/>
              </w:rPr>
              <w:t xml:space="preserve">Iedzīvotāji, kuri gūst labumu no </w:t>
            </w:r>
            <w:proofErr w:type="spellStart"/>
            <w:r>
              <w:rPr>
                <w:rFonts w:eastAsiaTheme="minorHAnsi"/>
                <w:color w:val="000000"/>
                <w:sz w:val="20"/>
                <w:szCs w:val="20"/>
              </w:rPr>
              <w:t>pretplūdu</w:t>
            </w:r>
            <w:proofErr w:type="spellEnd"/>
            <w:r>
              <w:rPr>
                <w:rFonts w:eastAsiaTheme="minorHAnsi"/>
                <w:color w:val="000000"/>
                <w:sz w:val="20"/>
                <w:szCs w:val="20"/>
              </w:rPr>
              <w:t xml:space="preserve"> pasākumiem</w:t>
            </w:r>
          </w:p>
        </w:tc>
        <w:tc>
          <w:tcPr>
            <w:tcW w:w="1275" w:type="dxa"/>
          </w:tcPr>
          <w:p w14:paraId="6C752F53" w14:textId="77777777" w:rsidR="0003594B" w:rsidRDefault="0003594B" w:rsidP="004646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174 188</w:t>
            </w:r>
          </w:p>
        </w:tc>
        <w:tc>
          <w:tcPr>
            <w:cnfStyle w:val="000010000000" w:firstRow="0" w:lastRow="0" w:firstColumn="0" w:lastColumn="0" w:oddVBand="1" w:evenVBand="0" w:oddHBand="0" w:evenHBand="0" w:firstRowFirstColumn="0" w:firstRowLastColumn="0" w:lastRowFirstColumn="0" w:lastRowLastColumn="0"/>
            <w:tcW w:w="1275" w:type="dxa"/>
          </w:tcPr>
          <w:p w14:paraId="66A5860D" w14:textId="77777777" w:rsidR="0003594B" w:rsidRDefault="0003594B" w:rsidP="004646D1">
            <w:pPr>
              <w:autoSpaceDE w:val="0"/>
              <w:autoSpaceDN w:val="0"/>
              <w:adjustRightInd w:val="0"/>
              <w:jc w:val="center"/>
              <w:rPr>
                <w:rFonts w:eastAsiaTheme="minorHAnsi"/>
                <w:color w:val="000000"/>
                <w:sz w:val="20"/>
                <w:szCs w:val="20"/>
              </w:rPr>
            </w:pPr>
            <w:r>
              <w:rPr>
                <w:rFonts w:eastAsiaTheme="minorHAnsi"/>
                <w:color w:val="000000"/>
                <w:sz w:val="20"/>
                <w:szCs w:val="20"/>
              </w:rPr>
              <w:t>87 200</w:t>
            </w:r>
          </w:p>
        </w:tc>
        <w:tc>
          <w:tcPr>
            <w:tcW w:w="1139" w:type="dxa"/>
          </w:tcPr>
          <w:p w14:paraId="77148726" w14:textId="77777777" w:rsidR="0003594B" w:rsidRDefault="0003594B" w:rsidP="004646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50%</w:t>
            </w:r>
          </w:p>
        </w:tc>
      </w:tr>
      <w:tr w:rsidR="004646D1" w14:paraId="3017C8FF" w14:textId="77777777" w:rsidTr="004646D1">
        <w:trPr>
          <w:cnfStyle w:val="000000100000" w:firstRow="0" w:lastRow="0" w:firstColumn="0" w:lastColumn="0" w:oddVBand="0" w:evenVBand="0" w:oddHBand="1" w:evenHBand="0" w:firstRowFirstColumn="0" w:firstRowLastColumn="0" w:lastRowFirstColumn="0" w:lastRowLastColumn="0"/>
          <w:trHeight w:val="797"/>
        </w:trPr>
        <w:tc>
          <w:tcPr>
            <w:cnfStyle w:val="000010000000" w:firstRow="0" w:lastRow="0" w:firstColumn="0" w:lastColumn="0" w:oddVBand="1" w:evenVBand="0" w:oddHBand="0" w:evenHBand="0" w:firstRowFirstColumn="0" w:firstRowLastColumn="0" w:lastRowFirstColumn="0" w:lastRowLastColumn="0"/>
            <w:tcW w:w="5950" w:type="dxa"/>
          </w:tcPr>
          <w:p w14:paraId="130A95B8" w14:textId="77777777" w:rsidR="0003594B" w:rsidRDefault="0003594B" w:rsidP="00B32973">
            <w:pPr>
              <w:autoSpaceDE w:val="0"/>
              <w:autoSpaceDN w:val="0"/>
              <w:adjustRightInd w:val="0"/>
              <w:rPr>
                <w:rFonts w:eastAsiaTheme="minorHAnsi"/>
                <w:color w:val="000000"/>
                <w:sz w:val="20"/>
                <w:szCs w:val="20"/>
              </w:rPr>
            </w:pPr>
            <w:r>
              <w:rPr>
                <w:rFonts w:eastAsiaTheme="minorHAnsi"/>
                <w:color w:val="000000"/>
                <w:sz w:val="20"/>
                <w:szCs w:val="20"/>
              </w:rPr>
              <w:t>Dažādu veidu piesārņoto vietu un piesārņojumu emitējošo objektu skaits, kuros samazināts vides un sociālekonomisko zaudējumu risks, kas rastos šo vietu applūšanas gadījumā</w:t>
            </w:r>
          </w:p>
        </w:tc>
        <w:tc>
          <w:tcPr>
            <w:tcW w:w="1275" w:type="dxa"/>
          </w:tcPr>
          <w:p w14:paraId="181E8239" w14:textId="77777777" w:rsidR="0003594B" w:rsidRDefault="0003594B" w:rsidP="004646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45</w:t>
            </w:r>
          </w:p>
        </w:tc>
        <w:tc>
          <w:tcPr>
            <w:cnfStyle w:val="000010000000" w:firstRow="0" w:lastRow="0" w:firstColumn="0" w:lastColumn="0" w:oddVBand="1" w:evenVBand="0" w:oddHBand="0" w:evenHBand="0" w:firstRowFirstColumn="0" w:firstRowLastColumn="0" w:lastRowFirstColumn="0" w:lastRowLastColumn="0"/>
            <w:tcW w:w="1275" w:type="dxa"/>
          </w:tcPr>
          <w:p w14:paraId="65767808" w14:textId="77777777" w:rsidR="0003594B" w:rsidRDefault="0003594B" w:rsidP="004646D1">
            <w:pPr>
              <w:autoSpaceDE w:val="0"/>
              <w:autoSpaceDN w:val="0"/>
              <w:adjustRightInd w:val="0"/>
              <w:jc w:val="center"/>
              <w:rPr>
                <w:rFonts w:eastAsiaTheme="minorHAnsi"/>
                <w:color w:val="000000"/>
                <w:sz w:val="20"/>
                <w:szCs w:val="20"/>
              </w:rPr>
            </w:pPr>
            <w:r>
              <w:rPr>
                <w:rFonts w:eastAsiaTheme="minorHAnsi"/>
                <w:color w:val="000000"/>
                <w:sz w:val="20"/>
                <w:szCs w:val="20"/>
              </w:rPr>
              <w:t>33</w:t>
            </w:r>
          </w:p>
        </w:tc>
        <w:tc>
          <w:tcPr>
            <w:tcW w:w="1139" w:type="dxa"/>
          </w:tcPr>
          <w:p w14:paraId="0CE7B502" w14:textId="77777777" w:rsidR="0003594B" w:rsidRDefault="0003594B" w:rsidP="004646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73%</w:t>
            </w:r>
          </w:p>
        </w:tc>
      </w:tr>
      <w:tr w:rsidR="004646D1" w14:paraId="441F306A" w14:textId="77777777" w:rsidTr="004646D1">
        <w:trPr>
          <w:trHeight w:val="290"/>
        </w:trPr>
        <w:tc>
          <w:tcPr>
            <w:cnfStyle w:val="000010000000" w:firstRow="0" w:lastRow="0" w:firstColumn="0" w:lastColumn="0" w:oddVBand="1" w:evenVBand="0" w:oddHBand="0" w:evenHBand="0" w:firstRowFirstColumn="0" w:firstRowLastColumn="0" w:lastRowFirstColumn="0" w:lastRowLastColumn="0"/>
            <w:tcW w:w="5950" w:type="dxa"/>
          </w:tcPr>
          <w:p w14:paraId="1B86AC1D" w14:textId="77777777" w:rsidR="0003594B" w:rsidRDefault="0003594B" w:rsidP="00B32973">
            <w:pPr>
              <w:autoSpaceDE w:val="0"/>
              <w:autoSpaceDN w:val="0"/>
              <w:adjustRightInd w:val="0"/>
              <w:rPr>
                <w:rFonts w:eastAsiaTheme="minorHAnsi"/>
                <w:color w:val="000000"/>
                <w:sz w:val="20"/>
                <w:szCs w:val="20"/>
              </w:rPr>
            </w:pPr>
            <w:r>
              <w:rPr>
                <w:rFonts w:eastAsiaTheme="minorHAnsi"/>
                <w:color w:val="000000"/>
                <w:sz w:val="20"/>
                <w:szCs w:val="20"/>
              </w:rPr>
              <w:t xml:space="preserve">Atjaunoto hidrobūvju skaits </w:t>
            </w:r>
          </w:p>
        </w:tc>
        <w:tc>
          <w:tcPr>
            <w:tcW w:w="1275" w:type="dxa"/>
          </w:tcPr>
          <w:p w14:paraId="1885A755" w14:textId="77777777" w:rsidR="0003594B" w:rsidRDefault="0003594B" w:rsidP="004646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29</w:t>
            </w:r>
          </w:p>
        </w:tc>
        <w:tc>
          <w:tcPr>
            <w:cnfStyle w:val="000010000000" w:firstRow="0" w:lastRow="0" w:firstColumn="0" w:lastColumn="0" w:oddVBand="1" w:evenVBand="0" w:oddHBand="0" w:evenHBand="0" w:firstRowFirstColumn="0" w:firstRowLastColumn="0" w:lastRowFirstColumn="0" w:lastRowLastColumn="0"/>
            <w:tcW w:w="1275" w:type="dxa"/>
          </w:tcPr>
          <w:p w14:paraId="5A7136B4" w14:textId="77777777" w:rsidR="0003594B" w:rsidRDefault="0003594B" w:rsidP="004646D1">
            <w:pPr>
              <w:autoSpaceDE w:val="0"/>
              <w:autoSpaceDN w:val="0"/>
              <w:adjustRightInd w:val="0"/>
              <w:jc w:val="center"/>
              <w:rPr>
                <w:rFonts w:eastAsiaTheme="minorHAnsi"/>
                <w:color w:val="000000"/>
                <w:sz w:val="20"/>
                <w:szCs w:val="20"/>
              </w:rPr>
            </w:pPr>
            <w:r>
              <w:rPr>
                <w:rFonts w:eastAsiaTheme="minorHAnsi"/>
                <w:color w:val="000000"/>
                <w:sz w:val="20"/>
                <w:szCs w:val="20"/>
              </w:rPr>
              <w:t>14</w:t>
            </w:r>
          </w:p>
        </w:tc>
        <w:tc>
          <w:tcPr>
            <w:tcW w:w="1139" w:type="dxa"/>
          </w:tcPr>
          <w:p w14:paraId="444C7487" w14:textId="77777777" w:rsidR="0003594B" w:rsidRDefault="0003594B" w:rsidP="004646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48%</w:t>
            </w:r>
          </w:p>
        </w:tc>
      </w:tr>
      <w:tr w:rsidR="004646D1" w14:paraId="72820DCD" w14:textId="77777777" w:rsidTr="004646D1">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5950" w:type="dxa"/>
          </w:tcPr>
          <w:p w14:paraId="7B913662" w14:textId="77777777" w:rsidR="0003594B" w:rsidRDefault="0003594B" w:rsidP="00B32973">
            <w:pPr>
              <w:autoSpaceDE w:val="0"/>
              <w:autoSpaceDN w:val="0"/>
              <w:adjustRightInd w:val="0"/>
              <w:rPr>
                <w:rFonts w:eastAsiaTheme="minorHAnsi"/>
                <w:color w:val="000000"/>
                <w:sz w:val="20"/>
                <w:szCs w:val="20"/>
              </w:rPr>
            </w:pPr>
            <w:r>
              <w:rPr>
                <w:rFonts w:eastAsiaTheme="minorHAnsi"/>
                <w:color w:val="000000"/>
                <w:sz w:val="20"/>
                <w:szCs w:val="20"/>
              </w:rPr>
              <w:t xml:space="preserve">Atjaunoto vai pārbūvēto valsts nozīmes ūdensnoteku garums, km </w:t>
            </w:r>
          </w:p>
        </w:tc>
        <w:tc>
          <w:tcPr>
            <w:tcW w:w="1275" w:type="dxa"/>
          </w:tcPr>
          <w:p w14:paraId="0CE052AD" w14:textId="77777777" w:rsidR="0003594B" w:rsidRDefault="0003594B" w:rsidP="004646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207</w:t>
            </w:r>
          </w:p>
        </w:tc>
        <w:tc>
          <w:tcPr>
            <w:cnfStyle w:val="000010000000" w:firstRow="0" w:lastRow="0" w:firstColumn="0" w:lastColumn="0" w:oddVBand="1" w:evenVBand="0" w:oddHBand="0" w:evenHBand="0" w:firstRowFirstColumn="0" w:firstRowLastColumn="0" w:lastRowFirstColumn="0" w:lastRowLastColumn="0"/>
            <w:tcW w:w="1275" w:type="dxa"/>
          </w:tcPr>
          <w:p w14:paraId="14D0811B" w14:textId="77777777" w:rsidR="0003594B" w:rsidRDefault="0003594B" w:rsidP="004646D1">
            <w:pPr>
              <w:autoSpaceDE w:val="0"/>
              <w:autoSpaceDN w:val="0"/>
              <w:adjustRightInd w:val="0"/>
              <w:jc w:val="center"/>
              <w:rPr>
                <w:rFonts w:eastAsiaTheme="minorHAnsi"/>
                <w:color w:val="000000"/>
                <w:sz w:val="20"/>
                <w:szCs w:val="20"/>
              </w:rPr>
            </w:pPr>
            <w:r>
              <w:rPr>
                <w:rFonts w:eastAsiaTheme="minorHAnsi"/>
                <w:color w:val="000000"/>
                <w:sz w:val="20"/>
                <w:szCs w:val="20"/>
              </w:rPr>
              <w:t>204</w:t>
            </w:r>
          </w:p>
        </w:tc>
        <w:tc>
          <w:tcPr>
            <w:tcW w:w="1139" w:type="dxa"/>
          </w:tcPr>
          <w:p w14:paraId="1DF59C83" w14:textId="77777777" w:rsidR="0003594B" w:rsidRDefault="0003594B" w:rsidP="004646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99%</w:t>
            </w:r>
          </w:p>
        </w:tc>
      </w:tr>
      <w:tr w:rsidR="004646D1" w14:paraId="7A685422" w14:textId="77777777" w:rsidTr="004646D1">
        <w:trPr>
          <w:trHeight w:val="290"/>
        </w:trPr>
        <w:tc>
          <w:tcPr>
            <w:cnfStyle w:val="000010000000" w:firstRow="0" w:lastRow="0" w:firstColumn="0" w:lastColumn="0" w:oddVBand="1" w:evenVBand="0" w:oddHBand="0" w:evenHBand="0" w:firstRowFirstColumn="0" w:firstRowLastColumn="0" w:lastRowFirstColumn="0" w:lastRowLastColumn="0"/>
            <w:tcW w:w="5950" w:type="dxa"/>
          </w:tcPr>
          <w:p w14:paraId="025864DE" w14:textId="77777777" w:rsidR="0003594B" w:rsidRDefault="0003594B" w:rsidP="00B32973">
            <w:pPr>
              <w:autoSpaceDE w:val="0"/>
              <w:autoSpaceDN w:val="0"/>
              <w:adjustRightInd w:val="0"/>
              <w:rPr>
                <w:rFonts w:eastAsiaTheme="minorHAnsi"/>
                <w:color w:val="000000"/>
                <w:sz w:val="20"/>
                <w:szCs w:val="20"/>
              </w:rPr>
            </w:pPr>
            <w:r>
              <w:rPr>
                <w:rFonts w:eastAsiaTheme="minorHAnsi"/>
                <w:color w:val="000000"/>
                <w:sz w:val="20"/>
                <w:szCs w:val="20"/>
              </w:rPr>
              <w:t>Šķiroto atkritumu apjoma palielinājums, t/gadā</w:t>
            </w:r>
          </w:p>
        </w:tc>
        <w:tc>
          <w:tcPr>
            <w:tcW w:w="1275" w:type="dxa"/>
          </w:tcPr>
          <w:p w14:paraId="142241A3" w14:textId="77777777" w:rsidR="0003594B" w:rsidRDefault="0003594B" w:rsidP="004646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1 859</w:t>
            </w:r>
          </w:p>
        </w:tc>
        <w:tc>
          <w:tcPr>
            <w:cnfStyle w:val="000010000000" w:firstRow="0" w:lastRow="0" w:firstColumn="0" w:lastColumn="0" w:oddVBand="1" w:evenVBand="0" w:oddHBand="0" w:evenHBand="0" w:firstRowFirstColumn="0" w:firstRowLastColumn="0" w:lastRowFirstColumn="0" w:lastRowLastColumn="0"/>
            <w:tcW w:w="1275" w:type="dxa"/>
          </w:tcPr>
          <w:p w14:paraId="013CCB69" w14:textId="77777777" w:rsidR="0003594B" w:rsidRDefault="0003594B" w:rsidP="004646D1">
            <w:pPr>
              <w:autoSpaceDE w:val="0"/>
              <w:autoSpaceDN w:val="0"/>
              <w:adjustRightInd w:val="0"/>
              <w:jc w:val="center"/>
              <w:rPr>
                <w:rFonts w:eastAsiaTheme="minorHAnsi"/>
                <w:color w:val="000000"/>
                <w:sz w:val="20"/>
                <w:szCs w:val="20"/>
              </w:rPr>
            </w:pPr>
            <w:r>
              <w:rPr>
                <w:rFonts w:eastAsiaTheme="minorHAnsi"/>
                <w:color w:val="000000"/>
                <w:sz w:val="20"/>
                <w:szCs w:val="20"/>
              </w:rPr>
              <w:t>2712*</w:t>
            </w:r>
          </w:p>
        </w:tc>
        <w:tc>
          <w:tcPr>
            <w:tcW w:w="1139" w:type="dxa"/>
          </w:tcPr>
          <w:p w14:paraId="14542050" w14:textId="77777777" w:rsidR="0003594B" w:rsidRDefault="0003594B" w:rsidP="004646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146%</w:t>
            </w:r>
          </w:p>
        </w:tc>
      </w:tr>
      <w:tr w:rsidR="004646D1" w14:paraId="6123B383" w14:textId="77777777" w:rsidTr="004646D1">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5950" w:type="dxa"/>
          </w:tcPr>
          <w:p w14:paraId="0F70951A" w14:textId="77777777" w:rsidR="0003594B" w:rsidRDefault="0003594B" w:rsidP="00B32973">
            <w:pPr>
              <w:autoSpaceDE w:val="0"/>
              <w:autoSpaceDN w:val="0"/>
              <w:adjustRightInd w:val="0"/>
              <w:rPr>
                <w:rFonts w:eastAsiaTheme="minorHAnsi"/>
                <w:color w:val="000000"/>
                <w:sz w:val="20"/>
                <w:szCs w:val="20"/>
              </w:rPr>
            </w:pPr>
            <w:r>
              <w:rPr>
                <w:rFonts w:eastAsiaTheme="minorHAnsi"/>
                <w:color w:val="000000"/>
                <w:sz w:val="20"/>
                <w:szCs w:val="20"/>
              </w:rPr>
              <w:t xml:space="preserve">Atkritumu pārstrādes jaudu pieaugums, t/gadā t </w:t>
            </w:r>
          </w:p>
        </w:tc>
        <w:tc>
          <w:tcPr>
            <w:tcW w:w="1275" w:type="dxa"/>
          </w:tcPr>
          <w:p w14:paraId="6D14C229" w14:textId="77777777" w:rsidR="0003594B" w:rsidRDefault="0003594B" w:rsidP="004646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141 696,0</w:t>
            </w:r>
          </w:p>
        </w:tc>
        <w:tc>
          <w:tcPr>
            <w:cnfStyle w:val="000010000000" w:firstRow="0" w:lastRow="0" w:firstColumn="0" w:lastColumn="0" w:oddVBand="1" w:evenVBand="0" w:oddHBand="0" w:evenHBand="0" w:firstRowFirstColumn="0" w:firstRowLastColumn="0" w:lastRowFirstColumn="0" w:lastRowLastColumn="0"/>
            <w:tcW w:w="1275" w:type="dxa"/>
          </w:tcPr>
          <w:p w14:paraId="5069962E" w14:textId="77777777" w:rsidR="0003594B" w:rsidRDefault="0003594B" w:rsidP="004646D1">
            <w:pPr>
              <w:autoSpaceDE w:val="0"/>
              <w:autoSpaceDN w:val="0"/>
              <w:adjustRightInd w:val="0"/>
              <w:jc w:val="center"/>
              <w:rPr>
                <w:rFonts w:eastAsiaTheme="minorHAnsi"/>
                <w:color w:val="000000"/>
                <w:sz w:val="20"/>
                <w:szCs w:val="20"/>
              </w:rPr>
            </w:pPr>
            <w:r>
              <w:rPr>
                <w:rFonts w:eastAsiaTheme="minorHAnsi"/>
                <w:color w:val="000000"/>
                <w:sz w:val="20"/>
                <w:szCs w:val="20"/>
              </w:rPr>
              <w:t>101 340,0</w:t>
            </w:r>
          </w:p>
        </w:tc>
        <w:tc>
          <w:tcPr>
            <w:tcW w:w="1139" w:type="dxa"/>
          </w:tcPr>
          <w:p w14:paraId="7DB34324" w14:textId="77777777" w:rsidR="0003594B" w:rsidRDefault="0003594B" w:rsidP="004646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72%</w:t>
            </w:r>
          </w:p>
        </w:tc>
      </w:tr>
      <w:tr w:rsidR="004646D1" w14:paraId="412E1E37" w14:textId="77777777" w:rsidTr="004646D1">
        <w:trPr>
          <w:trHeight w:val="530"/>
        </w:trPr>
        <w:tc>
          <w:tcPr>
            <w:cnfStyle w:val="000010000000" w:firstRow="0" w:lastRow="0" w:firstColumn="0" w:lastColumn="0" w:oddVBand="1" w:evenVBand="0" w:oddHBand="0" w:evenHBand="0" w:firstRowFirstColumn="0" w:firstRowLastColumn="0" w:lastRowFirstColumn="0" w:lastRowLastColumn="0"/>
            <w:tcW w:w="5950" w:type="dxa"/>
          </w:tcPr>
          <w:p w14:paraId="31AA971C" w14:textId="77777777" w:rsidR="0003594B" w:rsidRDefault="0003594B" w:rsidP="00B32973">
            <w:pPr>
              <w:autoSpaceDE w:val="0"/>
              <w:autoSpaceDN w:val="0"/>
              <w:adjustRightInd w:val="0"/>
              <w:rPr>
                <w:rFonts w:eastAsiaTheme="minorHAnsi"/>
                <w:color w:val="000000"/>
                <w:sz w:val="20"/>
                <w:szCs w:val="20"/>
              </w:rPr>
            </w:pPr>
            <w:r>
              <w:rPr>
                <w:rFonts w:eastAsiaTheme="minorHAnsi"/>
                <w:color w:val="000000"/>
                <w:sz w:val="20"/>
                <w:szCs w:val="20"/>
              </w:rPr>
              <w:t xml:space="preserve">Uzlaboto notekūdeņu attīrīšanas sistēmu apkalpoto iedzīvotāju skaita pieaugums </w:t>
            </w:r>
          </w:p>
        </w:tc>
        <w:tc>
          <w:tcPr>
            <w:tcW w:w="1275" w:type="dxa"/>
          </w:tcPr>
          <w:p w14:paraId="7873E3F0" w14:textId="77777777" w:rsidR="0003594B" w:rsidRDefault="0003594B" w:rsidP="004646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32 782</w:t>
            </w:r>
          </w:p>
        </w:tc>
        <w:tc>
          <w:tcPr>
            <w:cnfStyle w:val="000010000000" w:firstRow="0" w:lastRow="0" w:firstColumn="0" w:lastColumn="0" w:oddVBand="1" w:evenVBand="0" w:oddHBand="0" w:evenHBand="0" w:firstRowFirstColumn="0" w:firstRowLastColumn="0" w:lastRowFirstColumn="0" w:lastRowLastColumn="0"/>
            <w:tcW w:w="1275" w:type="dxa"/>
          </w:tcPr>
          <w:p w14:paraId="10FC5511" w14:textId="77777777" w:rsidR="0003594B" w:rsidRDefault="0003594B" w:rsidP="004646D1">
            <w:pPr>
              <w:autoSpaceDE w:val="0"/>
              <w:autoSpaceDN w:val="0"/>
              <w:adjustRightInd w:val="0"/>
              <w:jc w:val="center"/>
              <w:rPr>
                <w:rFonts w:eastAsiaTheme="minorHAnsi"/>
                <w:color w:val="000000"/>
                <w:sz w:val="20"/>
                <w:szCs w:val="20"/>
              </w:rPr>
            </w:pPr>
            <w:r>
              <w:rPr>
                <w:rFonts w:eastAsiaTheme="minorHAnsi"/>
                <w:color w:val="000000"/>
                <w:sz w:val="20"/>
                <w:szCs w:val="20"/>
              </w:rPr>
              <w:t>22 566</w:t>
            </w:r>
          </w:p>
        </w:tc>
        <w:tc>
          <w:tcPr>
            <w:tcW w:w="1139" w:type="dxa"/>
          </w:tcPr>
          <w:p w14:paraId="3B582FCA" w14:textId="77777777" w:rsidR="0003594B" w:rsidRDefault="0003594B" w:rsidP="004646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69%</w:t>
            </w:r>
          </w:p>
        </w:tc>
      </w:tr>
      <w:tr w:rsidR="004646D1" w14:paraId="3B1887C1" w14:textId="77777777" w:rsidTr="004646D1">
        <w:trPr>
          <w:cnfStyle w:val="000000100000" w:firstRow="0" w:lastRow="0" w:firstColumn="0" w:lastColumn="0" w:oddVBand="0" w:evenVBand="0" w:oddHBand="1" w:evenHBand="0" w:firstRowFirstColumn="0" w:firstRowLastColumn="0" w:lastRowFirstColumn="0" w:lastRowLastColumn="0"/>
          <w:trHeight w:val="530"/>
        </w:trPr>
        <w:tc>
          <w:tcPr>
            <w:cnfStyle w:val="000010000000" w:firstRow="0" w:lastRow="0" w:firstColumn="0" w:lastColumn="0" w:oddVBand="1" w:evenVBand="0" w:oddHBand="0" w:evenHBand="0" w:firstRowFirstColumn="0" w:firstRowLastColumn="0" w:lastRowFirstColumn="0" w:lastRowLastColumn="0"/>
            <w:tcW w:w="5950" w:type="dxa"/>
          </w:tcPr>
          <w:p w14:paraId="214A08E9" w14:textId="77777777" w:rsidR="0003594B" w:rsidRDefault="0003594B" w:rsidP="00B32973">
            <w:pPr>
              <w:autoSpaceDE w:val="0"/>
              <w:autoSpaceDN w:val="0"/>
              <w:adjustRightInd w:val="0"/>
              <w:rPr>
                <w:rFonts w:eastAsiaTheme="minorHAnsi"/>
                <w:color w:val="000000"/>
                <w:sz w:val="20"/>
                <w:szCs w:val="20"/>
              </w:rPr>
            </w:pPr>
            <w:r>
              <w:rPr>
                <w:rFonts w:eastAsiaTheme="minorHAnsi"/>
                <w:color w:val="000000"/>
                <w:sz w:val="20"/>
                <w:szCs w:val="20"/>
              </w:rPr>
              <w:t xml:space="preserve">To dzīvotņu platība, kuras saņem atbalstu, lai panāktu labāku aizsardzības pakāpi </w:t>
            </w:r>
          </w:p>
        </w:tc>
        <w:tc>
          <w:tcPr>
            <w:tcW w:w="1275" w:type="dxa"/>
          </w:tcPr>
          <w:p w14:paraId="30449FD2" w14:textId="77777777" w:rsidR="0003594B" w:rsidRDefault="0003594B" w:rsidP="004646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48 672,0</w:t>
            </w:r>
          </w:p>
        </w:tc>
        <w:tc>
          <w:tcPr>
            <w:cnfStyle w:val="000010000000" w:firstRow="0" w:lastRow="0" w:firstColumn="0" w:lastColumn="0" w:oddVBand="1" w:evenVBand="0" w:oddHBand="0" w:evenHBand="0" w:firstRowFirstColumn="0" w:firstRowLastColumn="0" w:lastRowFirstColumn="0" w:lastRowLastColumn="0"/>
            <w:tcW w:w="1275" w:type="dxa"/>
          </w:tcPr>
          <w:p w14:paraId="53B41893" w14:textId="77777777" w:rsidR="0003594B" w:rsidRDefault="0003594B" w:rsidP="004646D1">
            <w:pPr>
              <w:autoSpaceDE w:val="0"/>
              <w:autoSpaceDN w:val="0"/>
              <w:adjustRightInd w:val="0"/>
              <w:jc w:val="center"/>
              <w:rPr>
                <w:rFonts w:eastAsiaTheme="minorHAnsi"/>
                <w:color w:val="000000"/>
                <w:sz w:val="20"/>
                <w:szCs w:val="20"/>
              </w:rPr>
            </w:pPr>
            <w:r>
              <w:rPr>
                <w:rFonts w:eastAsiaTheme="minorHAnsi"/>
                <w:color w:val="000000"/>
                <w:sz w:val="20"/>
                <w:szCs w:val="20"/>
              </w:rPr>
              <w:t>48 672,0</w:t>
            </w:r>
          </w:p>
        </w:tc>
        <w:tc>
          <w:tcPr>
            <w:tcW w:w="1139" w:type="dxa"/>
          </w:tcPr>
          <w:p w14:paraId="3F1F9EB6" w14:textId="77777777" w:rsidR="0003594B" w:rsidRDefault="0003594B" w:rsidP="004646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100%</w:t>
            </w:r>
          </w:p>
        </w:tc>
      </w:tr>
      <w:tr w:rsidR="004646D1" w14:paraId="208C2A94" w14:textId="77777777" w:rsidTr="004646D1">
        <w:trPr>
          <w:trHeight w:val="290"/>
        </w:trPr>
        <w:tc>
          <w:tcPr>
            <w:cnfStyle w:val="000010000000" w:firstRow="0" w:lastRow="0" w:firstColumn="0" w:lastColumn="0" w:oddVBand="1" w:evenVBand="0" w:oddHBand="0" w:evenHBand="0" w:firstRowFirstColumn="0" w:firstRowLastColumn="0" w:lastRowFirstColumn="0" w:lastRowLastColumn="0"/>
            <w:tcW w:w="5950" w:type="dxa"/>
          </w:tcPr>
          <w:p w14:paraId="371CD693" w14:textId="77777777" w:rsidR="0003594B" w:rsidRDefault="0003594B" w:rsidP="00B32973">
            <w:pPr>
              <w:autoSpaceDE w:val="0"/>
              <w:autoSpaceDN w:val="0"/>
              <w:adjustRightInd w:val="0"/>
              <w:rPr>
                <w:rFonts w:eastAsiaTheme="minorHAnsi"/>
                <w:color w:val="000000"/>
                <w:sz w:val="20"/>
                <w:szCs w:val="20"/>
              </w:rPr>
            </w:pPr>
            <w:r>
              <w:rPr>
                <w:rFonts w:eastAsiaTheme="minorHAnsi"/>
                <w:color w:val="000000"/>
                <w:sz w:val="20"/>
                <w:szCs w:val="20"/>
              </w:rPr>
              <w:t xml:space="preserve">Izstrādāti īpaši aizsargājamo dabas teritoriju dabas aizsardzības plāni </w:t>
            </w:r>
          </w:p>
        </w:tc>
        <w:tc>
          <w:tcPr>
            <w:tcW w:w="1275" w:type="dxa"/>
          </w:tcPr>
          <w:p w14:paraId="6860889C" w14:textId="77777777" w:rsidR="0003594B" w:rsidRDefault="0003594B" w:rsidP="004646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20</w:t>
            </w:r>
          </w:p>
        </w:tc>
        <w:tc>
          <w:tcPr>
            <w:cnfStyle w:val="000010000000" w:firstRow="0" w:lastRow="0" w:firstColumn="0" w:lastColumn="0" w:oddVBand="1" w:evenVBand="0" w:oddHBand="0" w:evenHBand="0" w:firstRowFirstColumn="0" w:firstRowLastColumn="0" w:lastRowFirstColumn="0" w:lastRowLastColumn="0"/>
            <w:tcW w:w="1275" w:type="dxa"/>
          </w:tcPr>
          <w:p w14:paraId="5A65C640" w14:textId="77777777" w:rsidR="0003594B" w:rsidRDefault="0003594B" w:rsidP="004646D1">
            <w:pPr>
              <w:autoSpaceDE w:val="0"/>
              <w:autoSpaceDN w:val="0"/>
              <w:adjustRightInd w:val="0"/>
              <w:jc w:val="center"/>
              <w:rPr>
                <w:rFonts w:eastAsiaTheme="minorHAnsi"/>
                <w:color w:val="000000"/>
                <w:sz w:val="20"/>
                <w:szCs w:val="20"/>
              </w:rPr>
            </w:pPr>
            <w:r>
              <w:rPr>
                <w:rFonts w:eastAsiaTheme="minorHAnsi"/>
                <w:color w:val="000000"/>
                <w:sz w:val="20"/>
                <w:szCs w:val="20"/>
              </w:rPr>
              <w:t>21</w:t>
            </w:r>
          </w:p>
        </w:tc>
        <w:tc>
          <w:tcPr>
            <w:tcW w:w="1139" w:type="dxa"/>
          </w:tcPr>
          <w:p w14:paraId="0D736F94" w14:textId="77777777" w:rsidR="0003594B" w:rsidRDefault="0003594B" w:rsidP="004646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105%</w:t>
            </w:r>
          </w:p>
        </w:tc>
      </w:tr>
      <w:tr w:rsidR="004646D1" w14:paraId="3A222379" w14:textId="77777777" w:rsidTr="004646D1">
        <w:trPr>
          <w:cnfStyle w:val="000000100000" w:firstRow="0" w:lastRow="0" w:firstColumn="0" w:lastColumn="0" w:oddVBand="0" w:evenVBand="0" w:oddHBand="1" w:evenHBand="0" w:firstRowFirstColumn="0" w:firstRowLastColumn="0" w:lastRowFirstColumn="0" w:lastRowLastColumn="0"/>
          <w:trHeight w:val="530"/>
        </w:trPr>
        <w:tc>
          <w:tcPr>
            <w:cnfStyle w:val="000010000000" w:firstRow="0" w:lastRow="0" w:firstColumn="0" w:lastColumn="0" w:oddVBand="1" w:evenVBand="0" w:oddHBand="0" w:evenHBand="0" w:firstRowFirstColumn="0" w:firstRowLastColumn="0" w:lastRowFirstColumn="0" w:lastRowLastColumn="0"/>
            <w:tcW w:w="5950" w:type="dxa"/>
          </w:tcPr>
          <w:p w14:paraId="3C4A30E1" w14:textId="77777777" w:rsidR="0003594B" w:rsidRDefault="0003594B" w:rsidP="00B32973">
            <w:pPr>
              <w:autoSpaceDE w:val="0"/>
              <w:autoSpaceDN w:val="0"/>
              <w:adjustRightInd w:val="0"/>
              <w:rPr>
                <w:rFonts w:eastAsiaTheme="minorHAnsi"/>
                <w:color w:val="000000"/>
                <w:sz w:val="20"/>
                <w:szCs w:val="20"/>
              </w:rPr>
            </w:pPr>
            <w:r>
              <w:rPr>
                <w:rFonts w:eastAsiaTheme="minorHAnsi"/>
                <w:color w:val="000000"/>
                <w:sz w:val="20"/>
                <w:szCs w:val="20"/>
              </w:rPr>
              <w:t xml:space="preserve">Izstrādāti Eiropas Savienības nozīmes īpaši aizsargājamo sugu aizsardzības </w:t>
            </w:r>
          </w:p>
        </w:tc>
        <w:tc>
          <w:tcPr>
            <w:tcW w:w="1275" w:type="dxa"/>
          </w:tcPr>
          <w:p w14:paraId="0541FBA9" w14:textId="77777777" w:rsidR="0003594B" w:rsidRDefault="0003594B" w:rsidP="004646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5,00</w:t>
            </w:r>
          </w:p>
        </w:tc>
        <w:tc>
          <w:tcPr>
            <w:cnfStyle w:val="000010000000" w:firstRow="0" w:lastRow="0" w:firstColumn="0" w:lastColumn="0" w:oddVBand="1" w:evenVBand="0" w:oddHBand="0" w:evenHBand="0" w:firstRowFirstColumn="0" w:firstRowLastColumn="0" w:lastRowFirstColumn="0" w:lastRowLastColumn="0"/>
            <w:tcW w:w="1275" w:type="dxa"/>
          </w:tcPr>
          <w:p w14:paraId="4F6046A7" w14:textId="77777777" w:rsidR="0003594B" w:rsidRDefault="0003594B" w:rsidP="004646D1">
            <w:pPr>
              <w:autoSpaceDE w:val="0"/>
              <w:autoSpaceDN w:val="0"/>
              <w:adjustRightInd w:val="0"/>
              <w:jc w:val="center"/>
              <w:rPr>
                <w:rFonts w:eastAsiaTheme="minorHAnsi"/>
                <w:color w:val="000000"/>
                <w:sz w:val="20"/>
                <w:szCs w:val="20"/>
              </w:rPr>
            </w:pPr>
            <w:r>
              <w:rPr>
                <w:rFonts w:eastAsiaTheme="minorHAnsi"/>
                <w:color w:val="000000"/>
                <w:sz w:val="20"/>
                <w:szCs w:val="20"/>
              </w:rPr>
              <w:t>5,0</w:t>
            </w:r>
          </w:p>
        </w:tc>
        <w:tc>
          <w:tcPr>
            <w:tcW w:w="1139" w:type="dxa"/>
          </w:tcPr>
          <w:p w14:paraId="3B8360B7" w14:textId="77777777" w:rsidR="0003594B" w:rsidRDefault="0003594B" w:rsidP="004646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100%</w:t>
            </w:r>
          </w:p>
        </w:tc>
      </w:tr>
      <w:tr w:rsidR="004646D1" w14:paraId="61ABB879" w14:textId="77777777" w:rsidTr="004646D1">
        <w:trPr>
          <w:trHeight w:val="545"/>
        </w:trPr>
        <w:tc>
          <w:tcPr>
            <w:cnfStyle w:val="000010000000" w:firstRow="0" w:lastRow="0" w:firstColumn="0" w:lastColumn="0" w:oddVBand="1" w:evenVBand="0" w:oddHBand="0" w:evenHBand="0" w:firstRowFirstColumn="0" w:firstRowLastColumn="0" w:lastRowFirstColumn="0" w:lastRowLastColumn="0"/>
            <w:tcW w:w="5950" w:type="dxa"/>
          </w:tcPr>
          <w:p w14:paraId="4AB7AE60" w14:textId="77777777" w:rsidR="0003594B" w:rsidRDefault="0003594B" w:rsidP="00B32973">
            <w:pPr>
              <w:autoSpaceDE w:val="0"/>
              <w:autoSpaceDN w:val="0"/>
              <w:adjustRightInd w:val="0"/>
              <w:rPr>
                <w:rFonts w:eastAsiaTheme="minorHAnsi"/>
                <w:color w:val="000000"/>
                <w:sz w:val="20"/>
                <w:szCs w:val="20"/>
              </w:rPr>
            </w:pPr>
            <w:r>
              <w:rPr>
                <w:rFonts w:eastAsiaTheme="minorHAnsi"/>
                <w:color w:val="000000"/>
                <w:sz w:val="20"/>
                <w:szCs w:val="20"/>
              </w:rPr>
              <w:t xml:space="preserve">Izveidota un attīstīta sabiedrības vides apziņas veicināšanas infrastruktūra nacionālas nozīmes izglītības un informācijas centros </w:t>
            </w:r>
          </w:p>
        </w:tc>
        <w:tc>
          <w:tcPr>
            <w:tcW w:w="1275" w:type="dxa"/>
          </w:tcPr>
          <w:p w14:paraId="03A9756A" w14:textId="77777777" w:rsidR="0003594B" w:rsidRDefault="0003594B" w:rsidP="004646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3</w:t>
            </w:r>
          </w:p>
        </w:tc>
        <w:tc>
          <w:tcPr>
            <w:cnfStyle w:val="000010000000" w:firstRow="0" w:lastRow="0" w:firstColumn="0" w:lastColumn="0" w:oddVBand="1" w:evenVBand="0" w:oddHBand="0" w:evenHBand="0" w:firstRowFirstColumn="0" w:firstRowLastColumn="0" w:lastRowFirstColumn="0" w:lastRowLastColumn="0"/>
            <w:tcW w:w="1275" w:type="dxa"/>
          </w:tcPr>
          <w:p w14:paraId="170A2380" w14:textId="77777777" w:rsidR="0003594B" w:rsidRDefault="0003594B" w:rsidP="004646D1">
            <w:pPr>
              <w:autoSpaceDE w:val="0"/>
              <w:autoSpaceDN w:val="0"/>
              <w:adjustRightInd w:val="0"/>
              <w:jc w:val="center"/>
              <w:rPr>
                <w:rFonts w:eastAsiaTheme="minorHAnsi"/>
                <w:color w:val="000000"/>
                <w:sz w:val="20"/>
                <w:szCs w:val="20"/>
              </w:rPr>
            </w:pPr>
            <w:r>
              <w:rPr>
                <w:rFonts w:eastAsiaTheme="minorHAnsi"/>
                <w:color w:val="000000"/>
                <w:sz w:val="20"/>
                <w:szCs w:val="20"/>
              </w:rPr>
              <w:t>-</w:t>
            </w:r>
          </w:p>
        </w:tc>
        <w:tc>
          <w:tcPr>
            <w:tcW w:w="1139" w:type="dxa"/>
          </w:tcPr>
          <w:p w14:paraId="7B009D9E" w14:textId="77777777" w:rsidR="0003594B" w:rsidRDefault="0003594B" w:rsidP="004646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0%</w:t>
            </w:r>
          </w:p>
        </w:tc>
      </w:tr>
      <w:tr w:rsidR="004646D1" w14:paraId="2C15A23D" w14:textId="77777777" w:rsidTr="004646D1">
        <w:trPr>
          <w:cnfStyle w:val="000000100000" w:firstRow="0" w:lastRow="0" w:firstColumn="0" w:lastColumn="0" w:oddVBand="0" w:evenVBand="0" w:oddHBand="1" w:evenHBand="0" w:firstRowFirstColumn="0" w:firstRowLastColumn="0" w:lastRowFirstColumn="0" w:lastRowLastColumn="0"/>
          <w:trHeight w:val="530"/>
        </w:trPr>
        <w:tc>
          <w:tcPr>
            <w:cnfStyle w:val="000010000000" w:firstRow="0" w:lastRow="0" w:firstColumn="0" w:lastColumn="0" w:oddVBand="1" w:evenVBand="0" w:oddHBand="0" w:evenHBand="0" w:firstRowFirstColumn="0" w:firstRowLastColumn="0" w:lastRowFirstColumn="0" w:lastRowLastColumn="0"/>
            <w:tcW w:w="5950" w:type="dxa"/>
          </w:tcPr>
          <w:p w14:paraId="13D0E063" w14:textId="77777777" w:rsidR="0003594B" w:rsidRDefault="0003594B" w:rsidP="00B32973">
            <w:pPr>
              <w:autoSpaceDE w:val="0"/>
              <w:autoSpaceDN w:val="0"/>
              <w:adjustRightInd w:val="0"/>
              <w:rPr>
                <w:rFonts w:eastAsiaTheme="minorHAnsi"/>
                <w:color w:val="000000"/>
                <w:sz w:val="20"/>
                <w:szCs w:val="20"/>
              </w:rPr>
            </w:pPr>
            <w:r>
              <w:rPr>
                <w:rFonts w:eastAsiaTheme="minorHAnsi"/>
                <w:color w:val="000000"/>
                <w:sz w:val="20"/>
                <w:szCs w:val="20"/>
              </w:rPr>
              <w:t xml:space="preserve">Atbilstoši normatīvajiem aktiem, kas attiecas uz vides monitoringu, īstenotas monitoringa programmas </w:t>
            </w:r>
          </w:p>
        </w:tc>
        <w:tc>
          <w:tcPr>
            <w:tcW w:w="1275" w:type="dxa"/>
          </w:tcPr>
          <w:p w14:paraId="4F3CF50E" w14:textId="77777777" w:rsidR="0003594B" w:rsidRDefault="0003594B" w:rsidP="004646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4</w:t>
            </w:r>
          </w:p>
        </w:tc>
        <w:tc>
          <w:tcPr>
            <w:cnfStyle w:val="000010000000" w:firstRow="0" w:lastRow="0" w:firstColumn="0" w:lastColumn="0" w:oddVBand="1" w:evenVBand="0" w:oddHBand="0" w:evenHBand="0" w:firstRowFirstColumn="0" w:firstRowLastColumn="0" w:lastRowFirstColumn="0" w:lastRowLastColumn="0"/>
            <w:tcW w:w="1275" w:type="dxa"/>
          </w:tcPr>
          <w:p w14:paraId="7091F1AD" w14:textId="77777777" w:rsidR="0003594B" w:rsidRDefault="0003594B" w:rsidP="004646D1">
            <w:pPr>
              <w:autoSpaceDE w:val="0"/>
              <w:autoSpaceDN w:val="0"/>
              <w:adjustRightInd w:val="0"/>
              <w:jc w:val="center"/>
              <w:rPr>
                <w:rFonts w:eastAsiaTheme="minorHAnsi"/>
                <w:color w:val="000000"/>
                <w:sz w:val="20"/>
                <w:szCs w:val="20"/>
              </w:rPr>
            </w:pPr>
            <w:r>
              <w:rPr>
                <w:rFonts w:eastAsiaTheme="minorHAnsi"/>
                <w:color w:val="000000"/>
                <w:sz w:val="20"/>
                <w:szCs w:val="20"/>
              </w:rPr>
              <w:t>2</w:t>
            </w:r>
          </w:p>
        </w:tc>
        <w:tc>
          <w:tcPr>
            <w:tcW w:w="1139" w:type="dxa"/>
          </w:tcPr>
          <w:p w14:paraId="29F160A7" w14:textId="77777777" w:rsidR="0003594B" w:rsidRDefault="0003594B" w:rsidP="004646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50%</w:t>
            </w:r>
          </w:p>
        </w:tc>
      </w:tr>
      <w:tr w:rsidR="004646D1" w14:paraId="3FD90F28" w14:textId="77777777" w:rsidTr="004646D1">
        <w:trPr>
          <w:trHeight w:val="290"/>
        </w:trPr>
        <w:tc>
          <w:tcPr>
            <w:cnfStyle w:val="000010000000" w:firstRow="0" w:lastRow="0" w:firstColumn="0" w:lastColumn="0" w:oddVBand="1" w:evenVBand="0" w:oddHBand="0" w:evenHBand="0" w:firstRowFirstColumn="0" w:firstRowLastColumn="0" w:lastRowFirstColumn="0" w:lastRowLastColumn="0"/>
            <w:tcW w:w="5950" w:type="dxa"/>
          </w:tcPr>
          <w:p w14:paraId="54FDC125" w14:textId="77777777" w:rsidR="0003594B" w:rsidRDefault="0003594B" w:rsidP="00B32973">
            <w:pPr>
              <w:autoSpaceDE w:val="0"/>
              <w:autoSpaceDN w:val="0"/>
              <w:adjustRightInd w:val="0"/>
              <w:rPr>
                <w:rFonts w:eastAsiaTheme="minorHAnsi"/>
                <w:color w:val="000000"/>
                <w:sz w:val="20"/>
                <w:szCs w:val="20"/>
              </w:rPr>
            </w:pPr>
            <w:r>
              <w:rPr>
                <w:rFonts w:eastAsiaTheme="minorHAnsi"/>
                <w:color w:val="000000"/>
                <w:sz w:val="20"/>
                <w:szCs w:val="20"/>
              </w:rPr>
              <w:t>Atjaunotās zemes platība, ha</w:t>
            </w:r>
          </w:p>
        </w:tc>
        <w:tc>
          <w:tcPr>
            <w:tcW w:w="1275" w:type="dxa"/>
          </w:tcPr>
          <w:p w14:paraId="25E7911E" w14:textId="77777777" w:rsidR="0003594B" w:rsidRDefault="0003594B" w:rsidP="004646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2,5</w:t>
            </w:r>
          </w:p>
        </w:tc>
        <w:tc>
          <w:tcPr>
            <w:cnfStyle w:val="000010000000" w:firstRow="0" w:lastRow="0" w:firstColumn="0" w:lastColumn="0" w:oddVBand="1" w:evenVBand="0" w:oddHBand="0" w:evenHBand="0" w:firstRowFirstColumn="0" w:firstRowLastColumn="0" w:lastRowFirstColumn="0" w:lastRowLastColumn="0"/>
            <w:tcW w:w="1275" w:type="dxa"/>
          </w:tcPr>
          <w:p w14:paraId="3FB6FC39" w14:textId="77777777" w:rsidR="0003594B" w:rsidRDefault="0003594B" w:rsidP="004646D1">
            <w:pPr>
              <w:autoSpaceDE w:val="0"/>
              <w:autoSpaceDN w:val="0"/>
              <w:adjustRightInd w:val="0"/>
              <w:jc w:val="center"/>
              <w:rPr>
                <w:rFonts w:eastAsiaTheme="minorHAnsi"/>
                <w:color w:val="000000"/>
                <w:sz w:val="20"/>
                <w:szCs w:val="20"/>
              </w:rPr>
            </w:pPr>
            <w:r>
              <w:rPr>
                <w:rFonts w:eastAsiaTheme="minorHAnsi"/>
                <w:color w:val="000000"/>
                <w:sz w:val="20"/>
                <w:szCs w:val="20"/>
              </w:rPr>
              <w:t>5,08</w:t>
            </w:r>
          </w:p>
        </w:tc>
        <w:tc>
          <w:tcPr>
            <w:tcW w:w="1139" w:type="dxa"/>
          </w:tcPr>
          <w:p w14:paraId="69F6E5C1" w14:textId="77777777" w:rsidR="0003594B" w:rsidRDefault="0003594B" w:rsidP="004646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203%</w:t>
            </w:r>
          </w:p>
        </w:tc>
      </w:tr>
    </w:tbl>
    <w:p w14:paraId="0527368B" w14:textId="77777777" w:rsidR="0003594B" w:rsidRPr="00B433E4" w:rsidRDefault="0003594B" w:rsidP="0003594B">
      <w:pPr>
        <w:jc w:val="both"/>
        <w:rPr>
          <w:rFonts w:eastAsiaTheme="minorHAnsi"/>
          <w:i/>
          <w:iCs/>
          <w:sz w:val="22"/>
        </w:rPr>
      </w:pPr>
      <w:r w:rsidRPr="00D56BAD">
        <w:rPr>
          <w:i/>
          <w:iCs/>
        </w:rPr>
        <w:t>*</w:t>
      </w:r>
      <w:r w:rsidRPr="00B032E8">
        <w:rPr>
          <w:i/>
          <w:iCs/>
          <w:sz w:val="22"/>
        </w:rPr>
        <w:t xml:space="preserve">vidēji gadā </w:t>
      </w:r>
      <w:r w:rsidRPr="00B032E8">
        <w:rPr>
          <w:i/>
          <w:iCs/>
          <w:sz w:val="22"/>
        </w:rPr>
        <w:fldChar w:fldCharType="begin"/>
      </w:r>
      <w:r w:rsidRPr="00B032E8">
        <w:rPr>
          <w:i/>
          <w:iCs/>
          <w:sz w:val="22"/>
        </w:rPr>
        <w:instrText xml:space="preserve"> LINK Excel.Sheet.12 "\\\\varamfile\\serveris\\Departamenti un nodalas\\IPD\\Vides Investīciju nodaļa\\HP IA uzraudzība - atbildīgā institūcija\\2014-2020\\Atskaites\\2023\\Registri_2014-2020_2023.xlsx" Analīze!R208C1:R221C4 \a \f 4 \h  \* MERGEFORMAT </w:instrText>
      </w:r>
      <w:r w:rsidRPr="00B032E8">
        <w:rPr>
          <w:i/>
          <w:iCs/>
          <w:sz w:val="22"/>
        </w:rPr>
        <w:fldChar w:fldCharType="separate"/>
      </w:r>
    </w:p>
    <w:p w14:paraId="4C643123" w14:textId="77777777" w:rsidR="0003594B" w:rsidRPr="00B433E4" w:rsidRDefault="0003594B" w:rsidP="0003594B">
      <w:pPr>
        <w:jc w:val="both"/>
        <w:rPr>
          <w:rFonts w:eastAsiaTheme="minorHAnsi"/>
          <w:sz w:val="22"/>
        </w:rPr>
      </w:pPr>
      <w:r w:rsidRPr="00B032E8">
        <w:rPr>
          <w:sz w:val="22"/>
        </w:rPr>
        <w:fldChar w:fldCharType="end"/>
      </w:r>
      <w:r>
        <w:fldChar w:fldCharType="begin"/>
      </w:r>
      <w:r>
        <w:instrText xml:space="preserve"> LINK Excel.Sheet.12 "\\\\varamfile\\serveris\\Departamenti un nodalas\\IPD\\Vides Investīciju nodaļa\\HP IA uzraudzība - atbildīgā institūcija\\2014-2020\\Atskaites\\2023\\Registri_2014-2020_2023.xlsx" Analīze!R208C1:R221C4 \a \f 4 \h  \* MERGEFORMAT </w:instrText>
      </w:r>
      <w:r>
        <w:fldChar w:fldCharType="separate"/>
      </w:r>
    </w:p>
    <w:p w14:paraId="3ABDDFDC" w14:textId="77777777" w:rsidR="0003594B" w:rsidRDefault="0003594B" w:rsidP="0003594B">
      <w:pPr>
        <w:jc w:val="both"/>
      </w:pPr>
      <w:r>
        <w:lastRenderedPageBreak/>
        <w:fldChar w:fldCharType="end"/>
      </w:r>
      <w:bookmarkStart w:id="12" w:name="_Hlk129099365"/>
      <w:r>
        <w:t>Īstenojot 5. prioritārā virziena pasākumus pielāgošanās klimata pārmaiņām jomā, ~87 tūkst. iedzīvotāju uzlabota aizsardzība pret plūdiem, atjaunotas 14 hidrobūves un pārbūvētas valsts nozīmes ūdensnotekas 204 km garumā, kā arī 33</w:t>
      </w:r>
      <w:r w:rsidRPr="006C406B">
        <w:t xml:space="preserve"> piesārņoto vietu un piesārņojumu emitējošo objekt</w:t>
      </w:r>
      <w:r>
        <w:t xml:space="preserve">iem samazināts vides un sociālekonomisko zaudējumu risks, kas rastos applūšanas gadījumā. Gandrīz 10 tūkst. iedzīvotājiem lauku teritorijās un </w:t>
      </w:r>
      <w:r w:rsidRPr="009A3CDF">
        <w:t>~27 tūkst.</w:t>
      </w:r>
      <w:r>
        <w:t xml:space="preserve"> ha hidrobūvju aizsargātajās platībās samazināts plūdu apdraudējums.</w:t>
      </w:r>
    </w:p>
    <w:p w14:paraId="2141D417" w14:textId="77777777" w:rsidR="0003594B" w:rsidRDefault="0003594B" w:rsidP="0003594B">
      <w:pPr>
        <w:jc w:val="both"/>
      </w:pPr>
    </w:p>
    <w:p w14:paraId="75722FAC" w14:textId="77777777" w:rsidR="0003594B" w:rsidRDefault="0003594B" w:rsidP="0003594B">
      <w:pPr>
        <w:jc w:val="both"/>
        <w:rPr>
          <w:rFonts w:eastAsia="Times New Roman"/>
          <w:szCs w:val="24"/>
          <w:lang w:eastAsia="lv-LV"/>
        </w:rPr>
      </w:pPr>
      <w:r w:rsidRPr="004E7F81">
        <w:rPr>
          <w:szCs w:val="24"/>
        </w:rPr>
        <w:t xml:space="preserve">Dabas aizsardzības jomā izstrādāts 21 īpaši aizsargājamo dabas teritoriju dabas aizsardzības plāns un pieci Eiropas Savienības nozīmes īpaši aizsargājamo sugu aizsardzības plāni, ~48 tūkst. ha platībā panākta dzīvotnēm labāka aizsardzības pakāpe. </w:t>
      </w:r>
      <w:proofErr w:type="spellStart"/>
      <w:r w:rsidRPr="004E7F81">
        <w:rPr>
          <w:szCs w:val="24"/>
        </w:rPr>
        <w:t>Sanējot</w:t>
      </w:r>
      <w:proofErr w:type="spellEnd"/>
      <w:r w:rsidRPr="004E7F81">
        <w:rPr>
          <w:szCs w:val="24"/>
        </w:rPr>
        <w:t xml:space="preserve"> vēsturiski piesārņotās vietas, atjaunota piecu ha zemes platība, kā arī samazinājies t</w:t>
      </w:r>
      <w:r w:rsidRPr="00725C2F">
        <w:rPr>
          <w:rFonts w:eastAsia="Times New Roman"/>
          <w:szCs w:val="24"/>
          <w:lang w:eastAsia="lv-LV"/>
        </w:rPr>
        <w:t>o piesārņoto vietu skaits, kas radušās naftas pārstrādes produktu ražošanas laikā un kurās nav veikta sanācija</w:t>
      </w:r>
      <w:r w:rsidRPr="004E7F81">
        <w:rPr>
          <w:rFonts w:eastAsia="Times New Roman"/>
          <w:szCs w:val="24"/>
          <w:lang w:eastAsia="lv-LV"/>
        </w:rPr>
        <w:t>.</w:t>
      </w:r>
    </w:p>
    <w:p w14:paraId="389BD7F7" w14:textId="77777777" w:rsidR="0003594B" w:rsidRDefault="0003594B" w:rsidP="0003594B">
      <w:pPr>
        <w:jc w:val="both"/>
        <w:rPr>
          <w:rFonts w:eastAsia="Times New Roman"/>
          <w:szCs w:val="24"/>
          <w:lang w:eastAsia="lv-LV"/>
        </w:rPr>
      </w:pPr>
    </w:p>
    <w:p w14:paraId="4DB8E995" w14:textId="77777777" w:rsidR="0003594B" w:rsidRPr="004E7F81" w:rsidRDefault="0003594B" w:rsidP="0003594B">
      <w:pPr>
        <w:jc w:val="both"/>
        <w:rPr>
          <w:szCs w:val="24"/>
        </w:rPr>
      </w:pPr>
      <w:r w:rsidRPr="004E7F81">
        <w:rPr>
          <w:szCs w:val="24"/>
        </w:rPr>
        <w:t>Par ~22 tūkst. palielinājies to iedzīvotāju skaits, kas izmanto centralizētos kanalizācijas pakalpojumus, t.i.,  89,3% Latvijas iedzīvotāju ir nodrošināti normatīvo aktu prasībām atbilstošu centralizēto notekūdeņu apsaimniekošanas pakalpojumi.</w:t>
      </w:r>
    </w:p>
    <w:bookmarkEnd w:id="12"/>
    <w:p w14:paraId="49E5E493" w14:textId="77777777" w:rsidR="0003594B" w:rsidRDefault="0003594B" w:rsidP="0003594B">
      <w:pPr>
        <w:spacing w:after="160" w:line="259" w:lineRule="auto"/>
      </w:pPr>
    </w:p>
    <w:p w14:paraId="137EC761" w14:textId="77777777" w:rsidR="0003594B" w:rsidRPr="00B032E8" w:rsidRDefault="0003594B" w:rsidP="0003594B">
      <w:pPr>
        <w:jc w:val="both"/>
        <w:rPr>
          <w:b/>
          <w:i/>
        </w:rPr>
      </w:pPr>
      <w:bookmarkStart w:id="13" w:name="_Hlk129099436"/>
      <w:r w:rsidRPr="00B032E8">
        <w:rPr>
          <w:b/>
          <w:i/>
          <w:iCs/>
        </w:rPr>
        <w:t>2. tabula.</w:t>
      </w:r>
      <w:r w:rsidRPr="00B032E8">
        <w:rPr>
          <w:b/>
          <w:i/>
        </w:rPr>
        <w:t xml:space="preserve"> Vides aizsardzības pasākumu īstenošanā sasniegto rezultātu rādītāju izpilde</w:t>
      </w:r>
    </w:p>
    <w:tbl>
      <w:tblPr>
        <w:tblStyle w:val="ListTable3-Accent6"/>
        <w:tblW w:w="9634" w:type="dxa"/>
        <w:tblLayout w:type="fixed"/>
        <w:tblLook w:val="04A0" w:firstRow="1" w:lastRow="0" w:firstColumn="1" w:lastColumn="0" w:noHBand="0" w:noVBand="1"/>
      </w:tblPr>
      <w:tblGrid>
        <w:gridCol w:w="5098"/>
        <w:gridCol w:w="1276"/>
        <w:gridCol w:w="1134"/>
        <w:gridCol w:w="1161"/>
        <w:gridCol w:w="965"/>
      </w:tblGrid>
      <w:tr w:rsidR="0003594B" w:rsidRPr="006562FF" w14:paraId="2FB9BD1D" w14:textId="77777777" w:rsidTr="00864D04">
        <w:trPr>
          <w:cnfStyle w:val="100000000000" w:firstRow="1" w:lastRow="0" w:firstColumn="0" w:lastColumn="0" w:oddVBand="0" w:evenVBand="0" w:oddHBand="0" w:evenHBand="0" w:firstRowFirstColumn="0" w:firstRowLastColumn="0" w:lastRowFirstColumn="0" w:lastRowLastColumn="0"/>
          <w:trHeight w:val="672"/>
        </w:trPr>
        <w:tc>
          <w:tcPr>
            <w:cnfStyle w:val="001000000100" w:firstRow="0" w:lastRow="0" w:firstColumn="1" w:lastColumn="0" w:oddVBand="0" w:evenVBand="0" w:oddHBand="0" w:evenHBand="0" w:firstRowFirstColumn="1" w:firstRowLastColumn="0" w:lastRowFirstColumn="0" w:lastRowLastColumn="0"/>
            <w:tcW w:w="5098" w:type="dxa"/>
            <w:vAlign w:val="center"/>
            <w:hideMark/>
          </w:tcPr>
          <w:p w14:paraId="77F73E0E" w14:textId="77777777" w:rsidR="00CC0591" w:rsidRDefault="0003594B" w:rsidP="00B32973">
            <w:pPr>
              <w:rPr>
                <w:rFonts w:eastAsia="Times New Roman"/>
                <w:b w:val="0"/>
                <w:bCs w:val="0"/>
                <w:sz w:val="20"/>
                <w:szCs w:val="20"/>
                <w:lang w:eastAsia="lv-LV"/>
              </w:rPr>
            </w:pPr>
            <w:r w:rsidRPr="006562FF">
              <w:rPr>
                <w:rFonts w:eastAsia="Times New Roman"/>
                <w:sz w:val="20"/>
                <w:szCs w:val="20"/>
                <w:lang w:eastAsia="lv-LV"/>
              </w:rPr>
              <w:t xml:space="preserve">SAM/SAMP ar tiešu pozitīvu ietekmi uz HP IA </w:t>
            </w:r>
          </w:p>
          <w:p w14:paraId="01B37DE7" w14:textId="4735D9F4" w:rsidR="0003594B" w:rsidRPr="006562FF" w:rsidRDefault="0003594B" w:rsidP="00B32973">
            <w:pPr>
              <w:rPr>
                <w:rFonts w:eastAsia="Times New Roman"/>
                <w:sz w:val="20"/>
                <w:szCs w:val="20"/>
                <w:lang w:eastAsia="lv-LV"/>
              </w:rPr>
            </w:pPr>
            <w:r w:rsidRPr="006562FF">
              <w:rPr>
                <w:rFonts w:eastAsia="Times New Roman"/>
                <w:sz w:val="20"/>
                <w:szCs w:val="20"/>
                <w:lang w:eastAsia="lv-LV"/>
              </w:rPr>
              <w:t xml:space="preserve">rezultāta rādītāji </w:t>
            </w:r>
          </w:p>
        </w:tc>
        <w:tc>
          <w:tcPr>
            <w:tcW w:w="1276" w:type="dxa"/>
            <w:vAlign w:val="center"/>
            <w:hideMark/>
          </w:tcPr>
          <w:p w14:paraId="5DF1BA18" w14:textId="77777777" w:rsidR="0003594B" w:rsidRPr="006562FF" w:rsidRDefault="0003594B" w:rsidP="00B32973">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lv-LV"/>
              </w:rPr>
            </w:pPr>
            <w:r w:rsidRPr="006562FF">
              <w:rPr>
                <w:rFonts w:eastAsia="Times New Roman"/>
                <w:sz w:val="20"/>
                <w:szCs w:val="20"/>
                <w:lang w:eastAsia="lv-LV"/>
              </w:rPr>
              <w:t>Sākotnējais</w:t>
            </w:r>
          </w:p>
        </w:tc>
        <w:tc>
          <w:tcPr>
            <w:tcW w:w="1134" w:type="dxa"/>
            <w:vAlign w:val="center"/>
            <w:hideMark/>
          </w:tcPr>
          <w:p w14:paraId="1D7D06E3" w14:textId="77777777" w:rsidR="0003594B" w:rsidRPr="006562FF" w:rsidRDefault="0003594B" w:rsidP="00B32973">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lv-LV"/>
              </w:rPr>
            </w:pPr>
            <w:r w:rsidRPr="006562FF">
              <w:rPr>
                <w:rFonts w:eastAsia="Times New Roman"/>
                <w:sz w:val="20"/>
                <w:szCs w:val="20"/>
                <w:lang w:eastAsia="lv-LV"/>
              </w:rPr>
              <w:t>Plānotais</w:t>
            </w:r>
          </w:p>
        </w:tc>
        <w:tc>
          <w:tcPr>
            <w:tcW w:w="1161" w:type="dxa"/>
            <w:vAlign w:val="center"/>
            <w:hideMark/>
          </w:tcPr>
          <w:p w14:paraId="607DE69D" w14:textId="77777777" w:rsidR="0003594B" w:rsidRPr="006562FF" w:rsidRDefault="0003594B" w:rsidP="00B32973">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lv-LV"/>
              </w:rPr>
            </w:pPr>
            <w:r w:rsidRPr="006562FF">
              <w:rPr>
                <w:rFonts w:eastAsia="Times New Roman"/>
                <w:sz w:val="20"/>
                <w:szCs w:val="20"/>
                <w:lang w:eastAsia="lv-LV"/>
              </w:rPr>
              <w:t>Sasniegtais</w:t>
            </w:r>
            <w:r w:rsidRPr="006562FF">
              <w:rPr>
                <w:rFonts w:eastAsia="Times New Roman"/>
                <w:sz w:val="20"/>
                <w:szCs w:val="20"/>
                <w:lang w:eastAsia="lv-LV"/>
              </w:rPr>
              <w:br/>
              <w:t>2022</w:t>
            </w:r>
          </w:p>
        </w:tc>
        <w:tc>
          <w:tcPr>
            <w:tcW w:w="965" w:type="dxa"/>
            <w:noWrap/>
            <w:vAlign w:val="center"/>
            <w:hideMark/>
          </w:tcPr>
          <w:p w14:paraId="5904FF0F" w14:textId="77777777" w:rsidR="0003594B" w:rsidRPr="006562FF" w:rsidRDefault="0003594B" w:rsidP="00B32973">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lv-LV"/>
              </w:rPr>
            </w:pPr>
            <w:r w:rsidRPr="006562FF">
              <w:rPr>
                <w:rFonts w:eastAsia="Times New Roman"/>
                <w:sz w:val="20"/>
                <w:szCs w:val="20"/>
                <w:lang w:eastAsia="lv-LV"/>
              </w:rPr>
              <w:t>Izpilde</w:t>
            </w:r>
          </w:p>
        </w:tc>
      </w:tr>
      <w:tr w:rsidR="0003594B" w:rsidRPr="006562FF" w14:paraId="5248CD2C" w14:textId="77777777" w:rsidTr="00864D04">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5098" w:type="dxa"/>
            <w:hideMark/>
          </w:tcPr>
          <w:p w14:paraId="0398D323" w14:textId="77777777" w:rsidR="0003594B" w:rsidRPr="006562FF" w:rsidRDefault="0003594B" w:rsidP="00B32973">
            <w:pPr>
              <w:rPr>
                <w:rFonts w:eastAsia="Times New Roman"/>
                <w:b w:val="0"/>
                <w:bCs w:val="0"/>
                <w:sz w:val="20"/>
                <w:szCs w:val="20"/>
                <w:lang w:eastAsia="lv-LV"/>
              </w:rPr>
            </w:pPr>
            <w:r w:rsidRPr="006562FF">
              <w:rPr>
                <w:rFonts w:eastAsia="Times New Roman"/>
                <w:b w:val="0"/>
                <w:bCs w:val="0"/>
                <w:sz w:val="20"/>
                <w:szCs w:val="20"/>
                <w:lang w:eastAsia="lv-LV"/>
              </w:rPr>
              <w:t xml:space="preserve">Piesārņoto vietu un piesārņojumu emitējošo objektu skaits, kuros jāsamazina vides un sociālekonomisko zaudējumu risks, kas rastos šo vietu applūšanas gadījumā </w:t>
            </w:r>
          </w:p>
        </w:tc>
        <w:tc>
          <w:tcPr>
            <w:tcW w:w="1276" w:type="dxa"/>
            <w:vAlign w:val="center"/>
            <w:hideMark/>
          </w:tcPr>
          <w:p w14:paraId="18E891C7" w14:textId="77777777" w:rsidR="0003594B" w:rsidRPr="00864D04" w:rsidRDefault="0003594B" w:rsidP="00864D0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88</w:t>
            </w:r>
          </w:p>
        </w:tc>
        <w:tc>
          <w:tcPr>
            <w:tcW w:w="1134" w:type="dxa"/>
            <w:noWrap/>
            <w:vAlign w:val="center"/>
            <w:hideMark/>
          </w:tcPr>
          <w:p w14:paraId="2D2D2B47" w14:textId="77777777" w:rsidR="0003594B" w:rsidRPr="00864D04" w:rsidRDefault="0003594B" w:rsidP="00864D0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74,0</w:t>
            </w:r>
          </w:p>
        </w:tc>
        <w:tc>
          <w:tcPr>
            <w:tcW w:w="1161" w:type="dxa"/>
            <w:noWrap/>
            <w:vAlign w:val="center"/>
            <w:hideMark/>
          </w:tcPr>
          <w:p w14:paraId="38E20E2C" w14:textId="77777777" w:rsidR="0003594B" w:rsidRPr="00864D04" w:rsidRDefault="0003594B" w:rsidP="00864D0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61</w:t>
            </w:r>
          </w:p>
        </w:tc>
        <w:tc>
          <w:tcPr>
            <w:tcW w:w="965" w:type="dxa"/>
            <w:noWrap/>
            <w:vAlign w:val="center"/>
            <w:hideMark/>
          </w:tcPr>
          <w:p w14:paraId="53467D7C" w14:textId="77777777" w:rsidR="0003594B" w:rsidRPr="00864D04" w:rsidRDefault="0003594B" w:rsidP="00864D0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193%</w:t>
            </w:r>
          </w:p>
        </w:tc>
      </w:tr>
      <w:tr w:rsidR="0003594B" w:rsidRPr="006562FF" w14:paraId="30B03754" w14:textId="77777777" w:rsidTr="00864D04">
        <w:trPr>
          <w:trHeight w:val="288"/>
        </w:trPr>
        <w:tc>
          <w:tcPr>
            <w:cnfStyle w:val="001000000000" w:firstRow="0" w:lastRow="0" w:firstColumn="1" w:lastColumn="0" w:oddVBand="0" w:evenVBand="0" w:oddHBand="0" w:evenHBand="0" w:firstRowFirstColumn="0" w:firstRowLastColumn="0" w:lastRowFirstColumn="0" w:lastRowLastColumn="0"/>
            <w:tcW w:w="5098" w:type="dxa"/>
            <w:hideMark/>
          </w:tcPr>
          <w:p w14:paraId="4DF3E3A1" w14:textId="77777777" w:rsidR="0003594B" w:rsidRPr="006562FF" w:rsidRDefault="0003594B" w:rsidP="00B32973">
            <w:pPr>
              <w:rPr>
                <w:rFonts w:eastAsia="Times New Roman"/>
                <w:b w:val="0"/>
                <w:bCs w:val="0"/>
                <w:sz w:val="20"/>
                <w:szCs w:val="20"/>
                <w:lang w:eastAsia="lv-LV"/>
              </w:rPr>
            </w:pPr>
            <w:r w:rsidRPr="006562FF">
              <w:rPr>
                <w:rFonts w:eastAsia="Times New Roman"/>
                <w:b w:val="0"/>
                <w:bCs w:val="0"/>
                <w:sz w:val="20"/>
                <w:szCs w:val="20"/>
                <w:lang w:eastAsia="lv-LV"/>
              </w:rPr>
              <w:t xml:space="preserve">Plūdu apdraudējums hidrobūvju aizsargātajās platībās, ha </w:t>
            </w:r>
          </w:p>
        </w:tc>
        <w:tc>
          <w:tcPr>
            <w:tcW w:w="1276" w:type="dxa"/>
            <w:noWrap/>
            <w:vAlign w:val="center"/>
            <w:hideMark/>
          </w:tcPr>
          <w:p w14:paraId="20707EBE" w14:textId="77777777" w:rsidR="0003594B" w:rsidRPr="00864D04" w:rsidRDefault="0003594B" w:rsidP="00864D0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82 300</w:t>
            </w:r>
          </w:p>
        </w:tc>
        <w:tc>
          <w:tcPr>
            <w:tcW w:w="1134" w:type="dxa"/>
            <w:noWrap/>
            <w:vAlign w:val="center"/>
            <w:hideMark/>
          </w:tcPr>
          <w:p w14:paraId="16BAFE0A" w14:textId="77777777" w:rsidR="0003594B" w:rsidRPr="00864D04" w:rsidRDefault="0003594B" w:rsidP="00864D0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35 000</w:t>
            </w:r>
          </w:p>
        </w:tc>
        <w:tc>
          <w:tcPr>
            <w:tcW w:w="1161" w:type="dxa"/>
            <w:noWrap/>
            <w:vAlign w:val="center"/>
            <w:hideMark/>
          </w:tcPr>
          <w:p w14:paraId="1EB09642" w14:textId="77777777" w:rsidR="0003594B" w:rsidRPr="00864D04" w:rsidRDefault="0003594B" w:rsidP="00864D0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54 814</w:t>
            </w:r>
          </w:p>
        </w:tc>
        <w:tc>
          <w:tcPr>
            <w:tcW w:w="965" w:type="dxa"/>
            <w:noWrap/>
            <w:vAlign w:val="center"/>
            <w:hideMark/>
          </w:tcPr>
          <w:p w14:paraId="77812688" w14:textId="77777777" w:rsidR="0003594B" w:rsidRPr="00864D04" w:rsidRDefault="0003594B" w:rsidP="00864D0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58%</w:t>
            </w:r>
          </w:p>
        </w:tc>
      </w:tr>
      <w:tr w:rsidR="0003594B" w:rsidRPr="006562FF" w14:paraId="3C80E49C" w14:textId="77777777" w:rsidTr="00864D0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98" w:type="dxa"/>
            <w:hideMark/>
          </w:tcPr>
          <w:p w14:paraId="7347582C" w14:textId="77777777" w:rsidR="0003594B" w:rsidRPr="006562FF" w:rsidRDefault="0003594B" w:rsidP="00B32973">
            <w:pPr>
              <w:rPr>
                <w:rFonts w:eastAsia="Times New Roman"/>
                <w:b w:val="0"/>
                <w:bCs w:val="0"/>
                <w:sz w:val="20"/>
                <w:szCs w:val="20"/>
                <w:lang w:eastAsia="lv-LV"/>
              </w:rPr>
            </w:pPr>
            <w:r w:rsidRPr="006562FF">
              <w:rPr>
                <w:rFonts w:eastAsia="Times New Roman"/>
                <w:b w:val="0"/>
                <w:bCs w:val="0"/>
                <w:sz w:val="20"/>
                <w:szCs w:val="20"/>
                <w:lang w:eastAsia="lv-LV"/>
              </w:rPr>
              <w:t xml:space="preserve">Plūdu apdraudēto iedzīvotāju skaits Latvijas lauku teritorijās, skaits </w:t>
            </w:r>
          </w:p>
        </w:tc>
        <w:tc>
          <w:tcPr>
            <w:tcW w:w="1276" w:type="dxa"/>
            <w:noWrap/>
            <w:vAlign w:val="center"/>
            <w:hideMark/>
          </w:tcPr>
          <w:p w14:paraId="130E74D7" w14:textId="77777777" w:rsidR="0003594B" w:rsidRPr="00864D04" w:rsidRDefault="0003594B" w:rsidP="00864D0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21 000</w:t>
            </w:r>
          </w:p>
        </w:tc>
        <w:tc>
          <w:tcPr>
            <w:tcW w:w="1134" w:type="dxa"/>
            <w:noWrap/>
            <w:vAlign w:val="center"/>
            <w:hideMark/>
          </w:tcPr>
          <w:p w14:paraId="2CA52277" w14:textId="77777777" w:rsidR="0003594B" w:rsidRPr="00864D04" w:rsidRDefault="0003594B" w:rsidP="00864D0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8 500</w:t>
            </w:r>
          </w:p>
        </w:tc>
        <w:tc>
          <w:tcPr>
            <w:tcW w:w="1161" w:type="dxa"/>
            <w:noWrap/>
            <w:vAlign w:val="center"/>
            <w:hideMark/>
          </w:tcPr>
          <w:p w14:paraId="5627F836" w14:textId="77777777" w:rsidR="0003594B" w:rsidRPr="00864D04" w:rsidRDefault="0003594B" w:rsidP="00864D0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11 124</w:t>
            </w:r>
          </w:p>
        </w:tc>
        <w:tc>
          <w:tcPr>
            <w:tcW w:w="965" w:type="dxa"/>
            <w:noWrap/>
            <w:vAlign w:val="center"/>
            <w:hideMark/>
          </w:tcPr>
          <w:p w14:paraId="566A064F" w14:textId="77777777" w:rsidR="0003594B" w:rsidRPr="00864D04" w:rsidRDefault="0003594B" w:rsidP="00864D0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79%</w:t>
            </w:r>
          </w:p>
        </w:tc>
      </w:tr>
      <w:tr w:rsidR="0003594B" w:rsidRPr="006562FF" w14:paraId="507BB04F" w14:textId="77777777" w:rsidTr="00864D04">
        <w:trPr>
          <w:trHeight w:val="540"/>
        </w:trPr>
        <w:tc>
          <w:tcPr>
            <w:cnfStyle w:val="001000000000" w:firstRow="0" w:lastRow="0" w:firstColumn="1" w:lastColumn="0" w:oddVBand="0" w:evenVBand="0" w:oddHBand="0" w:evenHBand="0" w:firstRowFirstColumn="0" w:firstRowLastColumn="0" w:lastRowFirstColumn="0" w:lastRowLastColumn="0"/>
            <w:tcW w:w="5098" w:type="dxa"/>
            <w:hideMark/>
          </w:tcPr>
          <w:p w14:paraId="37CEFB55" w14:textId="77777777" w:rsidR="0003594B" w:rsidRPr="006562FF" w:rsidRDefault="0003594B" w:rsidP="00B32973">
            <w:pPr>
              <w:rPr>
                <w:rFonts w:eastAsia="Times New Roman"/>
                <w:b w:val="0"/>
                <w:bCs w:val="0"/>
                <w:sz w:val="20"/>
                <w:szCs w:val="20"/>
                <w:lang w:eastAsia="lv-LV"/>
              </w:rPr>
            </w:pPr>
            <w:r w:rsidRPr="006562FF">
              <w:rPr>
                <w:rFonts w:eastAsia="Times New Roman"/>
                <w:b w:val="0"/>
                <w:bCs w:val="0"/>
                <w:sz w:val="20"/>
                <w:szCs w:val="20"/>
                <w:lang w:eastAsia="lv-LV"/>
              </w:rPr>
              <w:t xml:space="preserve">Iedzīvotāju skaits, kuriem nodrošināti centralizēto notekūdeņu apsaimniekošanas pakalpojumu faktiskie </w:t>
            </w:r>
            <w:proofErr w:type="spellStart"/>
            <w:r w:rsidRPr="006562FF">
              <w:rPr>
                <w:rFonts w:eastAsia="Times New Roman"/>
                <w:b w:val="0"/>
                <w:bCs w:val="0"/>
                <w:sz w:val="20"/>
                <w:szCs w:val="20"/>
                <w:lang w:eastAsia="lv-LV"/>
              </w:rPr>
              <w:t>pieslēgumi</w:t>
            </w:r>
            <w:proofErr w:type="spellEnd"/>
          </w:p>
        </w:tc>
        <w:tc>
          <w:tcPr>
            <w:tcW w:w="1276" w:type="dxa"/>
            <w:vAlign w:val="center"/>
            <w:hideMark/>
          </w:tcPr>
          <w:p w14:paraId="1A8CAA5F" w14:textId="77777777" w:rsidR="0003594B" w:rsidRPr="00864D04" w:rsidRDefault="0003594B" w:rsidP="00864D0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1 279 578</w:t>
            </w:r>
          </w:p>
        </w:tc>
        <w:tc>
          <w:tcPr>
            <w:tcW w:w="1134" w:type="dxa"/>
            <w:noWrap/>
            <w:vAlign w:val="center"/>
            <w:hideMark/>
          </w:tcPr>
          <w:p w14:paraId="2170C4B9" w14:textId="77777777" w:rsidR="0003594B" w:rsidRPr="00864D04" w:rsidRDefault="0003594B" w:rsidP="00864D0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1 321 368</w:t>
            </w:r>
          </w:p>
        </w:tc>
        <w:tc>
          <w:tcPr>
            <w:tcW w:w="1161" w:type="dxa"/>
            <w:noWrap/>
            <w:vAlign w:val="center"/>
            <w:hideMark/>
          </w:tcPr>
          <w:p w14:paraId="7E37A83F" w14:textId="77777777" w:rsidR="0003594B" w:rsidRPr="00864D04" w:rsidRDefault="0003594B" w:rsidP="00864D0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1 315 701</w:t>
            </w:r>
          </w:p>
        </w:tc>
        <w:tc>
          <w:tcPr>
            <w:tcW w:w="965" w:type="dxa"/>
            <w:noWrap/>
            <w:vAlign w:val="center"/>
            <w:hideMark/>
          </w:tcPr>
          <w:p w14:paraId="383E7E2F" w14:textId="77777777" w:rsidR="0003594B" w:rsidRPr="00864D04" w:rsidRDefault="0003594B" w:rsidP="00864D0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100%</w:t>
            </w:r>
          </w:p>
        </w:tc>
      </w:tr>
      <w:tr w:rsidR="0003594B" w:rsidRPr="006562FF" w14:paraId="642CE437" w14:textId="77777777" w:rsidTr="00864D04">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5098" w:type="dxa"/>
            <w:hideMark/>
          </w:tcPr>
          <w:p w14:paraId="34279B5F" w14:textId="77777777" w:rsidR="0003594B" w:rsidRPr="006562FF" w:rsidRDefault="0003594B" w:rsidP="00B32973">
            <w:pPr>
              <w:rPr>
                <w:rFonts w:eastAsia="Times New Roman"/>
                <w:b w:val="0"/>
                <w:bCs w:val="0"/>
                <w:sz w:val="20"/>
                <w:szCs w:val="20"/>
                <w:lang w:eastAsia="lv-LV"/>
              </w:rPr>
            </w:pPr>
            <w:r w:rsidRPr="006562FF">
              <w:rPr>
                <w:rFonts w:eastAsia="Times New Roman"/>
                <w:b w:val="0"/>
                <w:bCs w:val="0"/>
                <w:sz w:val="20"/>
                <w:szCs w:val="20"/>
                <w:lang w:eastAsia="lv-LV"/>
              </w:rPr>
              <w:t xml:space="preserve">Iedzīvotāju īpatsvars, kuriem nodrošināti normatīvo aktu prasībām atbilstošu centralizēto notekūdeņu apsaimniekošanas pakalpojumu </w:t>
            </w:r>
            <w:proofErr w:type="spellStart"/>
            <w:r w:rsidRPr="006562FF">
              <w:rPr>
                <w:rFonts w:eastAsia="Times New Roman"/>
                <w:b w:val="0"/>
                <w:bCs w:val="0"/>
                <w:sz w:val="20"/>
                <w:szCs w:val="20"/>
                <w:lang w:eastAsia="lv-LV"/>
              </w:rPr>
              <w:t>pieslēgumi</w:t>
            </w:r>
            <w:proofErr w:type="spellEnd"/>
            <w:r w:rsidRPr="006562FF">
              <w:rPr>
                <w:rFonts w:eastAsia="Times New Roman"/>
                <w:b w:val="0"/>
                <w:bCs w:val="0"/>
                <w:sz w:val="20"/>
                <w:szCs w:val="20"/>
                <w:lang w:eastAsia="lv-LV"/>
              </w:rPr>
              <w:t xml:space="preserve">, % </w:t>
            </w:r>
          </w:p>
        </w:tc>
        <w:tc>
          <w:tcPr>
            <w:tcW w:w="1276" w:type="dxa"/>
            <w:vAlign w:val="center"/>
            <w:hideMark/>
          </w:tcPr>
          <w:p w14:paraId="6E8048BA" w14:textId="77777777" w:rsidR="0003594B" w:rsidRPr="00864D04" w:rsidRDefault="0003594B" w:rsidP="00864D0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85,5</w:t>
            </w:r>
          </w:p>
        </w:tc>
        <w:tc>
          <w:tcPr>
            <w:tcW w:w="1134" w:type="dxa"/>
            <w:noWrap/>
            <w:vAlign w:val="center"/>
            <w:hideMark/>
          </w:tcPr>
          <w:p w14:paraId="4A72F0C5" w14:textId="77777777" w:rsidR="0003594B" w:rsidRPr="00864D04" w:rsidRDefault="0003594B" w:rsidP="00864D0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92,0</w:t>
            </w:r>
          </w:p>
        </w:tc>
        <w:tc>
          <w:tcPr>
            <w:tcW w:w="1161" w:type="dxa"/>
            <w:noWrap/>
            <w:vAlign w:val="center"/>
            <w:hideMark/>
          </w:tcPr>
          <w:p w14:paraId="368B904E" w14:textId="77777777" w:rsidR="0003594B" w:rsidRPr="00864D04" w:rsidRDefault="0003594B" w:rsidP="00864D0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89,8</w:t>
            </w:r>
          </w:p>
        </w:tc>
        <w:tc>
          <w:tcPr>
            <w:tcW w:w="965" w:type="dxa"/>
            <w:noWrap/>
            <w:vAlign w:val="center"/>
            <w:hideMark/>
          </w:tcPr>
          <w:p w14:paraId="232BD8E7" w14:textId="77777777" w:rsidR="0003594B" w:rsidRPr="00864D04" w:rsidRDefault="0003594B" w:rsidP="00864D0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98%</w:t>
            </w:r>
          </w:p>
        </w:tc>
      </w:tr>
      <w:tr w:rsidR="0003594B" w:rsidRPr="006562FF" w14:paraId="70DF4E2F" w14:textId="77777777" w:rsidTr="00864D04">
        <w:trPr>
          <w:trHeight w:val="288"/>
        </w:trPr>
        <w:tc>
          <w:tcPr>
            <w:cnfStyle w:val="001000000000" w:firstRow="0" w:lastRow="0" w:firstColumn="1" w:lastColumn="0" w:oddVBand="0" w:evenVBand="0" w:oddHBand="0" w:evenHBand="0" w:firstRowFirstColumn="0" w:firstRowLastColumn="0" w:lastRowFirstColumn="0" w:lastRowLastColumn="0"/>
            <w:tcW w:w="5098" w:type="dxa"/>
            <w:hideMark/>
          </w:tcPr>
          <w:p w14:paraId="293C0B11" w14:textId="77777777" w:rsidR="0003594B" w:rsidRPr="006562FF" w:rsidRDefault="0003594B" w:rsidP="00B32973">
            <w:pPr>
              <w:rPr>
                <w:rFonts w:eastAsia="Times New Roman"/>
                <w:b w:val="0"/>
                <w:bCs w:val="0"/>
                <w:sz w:val="20"/>
                <w:szCs w:val="20"/>
                <w:lang w:eastAsia="lv-LV"/>
              </w:rPr>
            </w:pPr>
            <w:r w:rsidRPr="006562FF">
              <w:rPr>
                <w:rFonts w:eastAsia="Times New Roman"/>
                <w:b w:val="0"/>
                <w:bCs w:val="0"/>
                <w:sz w:val="20"/>
                <w:szCs w:val="20"/>
                <w:lang w:eastAsia="lv-LV"/>
              </w:rPr>
              <w:t>Nodrošināts labvēlīgs aizsardzības statuss ES nozīmes biotopiem, %</w:t>
            </w:r>
          </w:p>
        </w:tc>
        <w:tc>
          <w:tcPr>
            <w:tcW w:w="1276" w:type="dxa"/>
            <w:vAlign w:val="center"/>
            <w:hideMark/>
          </w:tcPr>
          <w:p w14:paraId="7F815307" w14:textId="77777777" w:rsidR="0003594B" w:rsidRPr="00864D04" w:rsidRDefault="0003594B" w:rsidP="00864D0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13,0</w:t>
            </w:r>
          </w:p>
        </w:tc>
        <w:tc>
          <w:tcPr>
            <w:tcW w:w="1134" w:type="dxa"/>
            <w:noWrap/>
            <w:vAlign w:val="center"/>
            <w:hideMark/>
          </w:tcPr>
          <w:p w14:paraId="1F5B3B2A" w14:textId="77777777" w:rsidR="0003594B" w:rsidRPr="00864D04" w:rsidRDefault="0003594B" w:rsidP="00864D0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60,0</w:t>
            </w:r>
          </w:p>
        </w:tc>
        <w:tc>
          <w:tcPr>
            <w:tcW w:w="1161" w:type="dxa"/>
            <w:vAlign w:val="center"/>
            <w:hideMark/>
          </w:tcPr>
          <w:p w14:paraId="09F98B69" w14:textId="77777777" w:rsidR="0003594B" w:rsidRPr="00864D04" w:rsidRDefault="0003594B" w:rsidP="00864D0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10</w:t>
            </w:r>
          </w:p>
        </w:tc>
        <w:tc>
          <w:tcPr>
            <w:tcW w:w="965" w:type="dxa"/>
            <w:noWrap/>
            <w:vAlign w:val="center"/>
            <w:hideMark/>
          </w:tcPr>
          <w:p w14:paraId="4565E3C1" w14:textId="77777777" w:rsidR="0003594B" w:rsidRPr="00864D04" w:rsidRDefault="0003594B" w:rsidP="00864D0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17%</w:t>
            </w:r>
          </w:p>
        </w:tc>
      </w:tr>
      <w:tr w:rsidR="0003594B" w:rsidRPr="006562FF" w14:paraId="428EDF99" w14:textId="77777777" w:rsidTr="00864D0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98" w:type="dxa"/>
            <w:hideMark/>
          </w:tcPr>
          <w:p w14:paraId="41C75091" w14:textId="77777777" w:rsidR="0003594B" w:rsidRPr="006562FF" w:rsidRDefault="0003594B" w:rsidP="00B32973">
            <w:pPr>
              <w:rPr>
                <w:rFonts w:eastAsia="Times New Roman"/>
                <w:b w:val="0"/>
                <w:bCs w:val="0"/>
                <w:sz w:val="20"/>
                <w:szCs w:val="20"/>
                <w:lang w:eastAsia="lv-LV"/>
              </w:rPr>
            </w:pPr>
            <w:r w:rsidRPr="006562FF">
              <w:rPr>
                <w:rFonts w:eastAsia="Times New Roman"/>
                <w:b w:val="0"/>
                <w:bCs w:val="0"/>
                <w:sz w:val="20"/>
                <w:szCs w:val="20"/>
                <w:lang w:eastAsia="lv-LV"/>
              </w:rPr>
              <w:t>Nodrošināts labvēlīgs aizsardzības statuss ES nozīmes sugām, %</w:t>
            </w:r>
          </w:p>
        </w:tc>
        <w:tc>
          <w:tcPr>
            <w:tcW w:w="1276" w:type="dxa"/>
            <w:vAlign w:val="center"/>
            <w:hideMark/>
          </w:tcPr>
          <w:p w14:paraId="166AAF4F" w14:textId="77777777" w:rsidR="0003594B" w:rsidRPr="00864D04" w:rsidRDefault="0003594B" w:rsidP="00864D0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28,0</w:t>
            </w:r>
          </w:p>
        </w:tc>
        <w:tc>
          <w:tcPr>
            <w:tcW w:w="1134" w:type="dxa"/>
            <w:noWrap/>
            <w:vAlign w:val="center"/>
            <w:hideMark/>
          </w:tcPr>
          <w:p w14:paraId="15D41B01" w14:textId="77777777" w:rsidR="0003594B" w:rsidRPr="00864D04" w:rsidRDefault="0003594B" w:rsidP="00864D0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60,0</w:t>
            </w:r>
          </w:p>
        </w:tc>
        <w:tc>
          <w:tcPr>
            <w:tcW w:w="1161" w:type="dxa"/>
            <w:vAlign w:val="center"/>
            <w:hideMark/>
          </w:tcPr>
          <w:p w14:paraId="051CBCC6" w14:textId="77777777" w:rsidR="0003594B" w:rsidRPr="00864D04" w:rsidRDefault="0003594B" w:rsidP="00864D0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41</w:t>
            </w:r>
          </w:p>
        </w:tc>
        <w:tc>
          <w:tcPr>
            <w:tcW w:w="965" w:type="dxa"/>
            <w:noWrap/>
            <w:vAlign w:val="center"/>
            <w:hideMark/>
          </w:tcPr>
          <w:p w14:paraId="3A82AF61" w14:textId="77777777" w:rsidR="0003594B" w:rsidRPr="00864D04" w:rsidRDefault="0003594B" w:rsidP="00864D0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68%</w:t>
            </w:r>
          </w:p>
        </w:tc>
      </w:tr>
      <w:tr w:rsidR="0003594B" w:rsidRPr="006562FF" w14:paraId="63187210" w14:textId="77777777" w:rsidTr="00864D04">
        <w:trPr>
          <w:trHeight w:val="804"/>
        </w:trPr>
        <w:tc>
          <w:tcPr>
            <w:cnfStyle w:val="001000000000" w:firstRow="0" w:lastRow="0" w:firstColumn="1" w:lastColumn="0" w:oddVBand="0" w:evenVBand="0" w:oddHBand="0" w:evenHBand="0" w:firstRowFirstColumn="0" w:firstRowLastColumn="0" w:lastRowFirstColumn="0" w:lastRowLastColumn="0"/>
            <w:tcW w:w="5098" w:type="dxa"/>
            <w:hideMark/>
          </w:tcPr>
          <w:p w14:paraId="7E24D5BB" w14:textId="77777777" w:rsidR="0003594B" w:rsidRPr="006562FF" w:rsidRDefault="0003594B" w:rsidP="00B32973">
            <w:pPr>
              <w:rPr>
                <w:rFonts w:eastAsia="Times New Roman"/>
                <w:b w:val="0"/>
                <w:bCs w:val="0"/>
                <w:sz w:val="20"/>
                <w:szCs w:val="20"/>
                <w:lang w:eastAsia="lv-LV"/>
              </w:rPr>
            </w:pPr>
            <w:r w:rsidRPr="006562FF">
              <w:rPr>
                <w:rFonts w:eastAsia="Times New Roman"/>
                <w:b w:val="0"/>
                <w:bCs w:val="0"/>
                <w:sz w:val="20"/>
                <w:szCs w:val="20"/>
                <w:lang w:eastAsia="lv-LV"/>
              </w:rPr>
              <w:t xml:space="preserve">No īpaši aizsargājamo dabas teritoriju kopskaita palielināts tādu īpaši aizsargājamo teritoriju īpatsvars, kurām izstrādāti dabas aizsardzības plāni, % </w:t>
            </w:r>
          </w:p>
        </w:tc>
        <w:tc>
          <w:tcPr>
            <w:tcW w:w="1276" w:type="dxa"/>
            <w:vAlign w:val="center"/>
            <w:hideMark/>
          </w:tcPr>
          <w:p w14:paraId="66286F60" w14:textId="77777777" w:rsidR="0003594B" w:rsidRPr="00864D04" w:rsidRDefault="0003594B" w:rsidP="00864D0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30</w:t>
            </w:r>
          </w:p>
        </w:tc>
        <w:tc>
          <w:tcPr>
            <w:tcW w:w="1134" w:type="dxa"/>
            <w:noWrap/>
            <w:vAlign w:val="center"/>
            <w:hideMark/>
          </w:tcPr>
          <w:p w14:paraId="3845AD3D" w14:textId="77777777" w:rsidR="0003594B" w:rsidRPr="00864D04" w:rsidRDefault="0003594B" w:rsidP="00864D0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45</w:t>
            </w:r>
          </w:p>
        </w:tc>
        <w:tc>
          <w:tcPr>
            <w:tcW w:w="1161" w:type="dxa"/>
            <w:vAlign w:val="center"/>
            <w:hideMark/>
          </w:tcPr>
          <w:p w14:paraId="6413BE32" w14:textId="77777777" w:rsidR="0003594B" w:rsidRPr="00864D04" w:rsidRDefault="0003594B" w:rsidP="00864D0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38</w:t>
            </w:r>
          </w:p>
        </w:tc>
        <w:tc>
          <w:tcPr>
            <w:tcW w:w="965" w:type="dxa"/>
            <w:noWrap/>
            <w:vAlign w:val="center"/>
            <w:hideMark/>
          </w:tcPr>
          <w:p w14:paraId="6474777A" w14:textId="77777777" w:rsidR="0003594B" w:rsidRPr="00864D04" w:rsidRDefault="0003594B" w:rsidP="00864D0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83%</w:t>
            </w:r>
          </w:p>
        </w:tc>
      </w:tr>
      <w:tr w:rsidR="0003594B" w:rsidRPr="006562FF" w14:paraId="5ACFDC57" w14:textId="77777777" w:rsidTr="00864D0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098" w:type="dxa"/>
            <w:hideMark/>
          </w:tcPr>
          <w:p w14:paraId="3BDCBB7C" w14:textId="77777777" w:rsidR="0003594B" w:rsidRPr="006562FF" w:rsidRDefault="0003594B" w:rsidP="00B32973">
            <w:pPr>
              <w:rPr>
                <w:rFonts w:eastAsia="Times New Roman"/>
                <w:b w:val="0"/>
                <w:bCs w:val="0"/>
                <w:sz w:val="20"/>
                <w:szCs w:val="20"/>
                <w:lang w:eastAsia="lv-LV"/>
              </w:rPr>
            </w:pPr>
            <w:r w:rsidRPr="006562FF">
              <w:rPr>
                <w:rFonts w:eastAsia="Times New Roman"/>
                <w:b w:val="0"/>
                <w:bCs w:val="0"/>
                <w:sz w:val="20"/>
                <w:szCs w:val="20"/>
                <w:lang w:eastAsia="lv-LV"/>
              </w:rPr>
              <w:t xml:space="preserve">Vides monitoringa vietu skaits, kurās tiek veikts vides monitorings atbilstoši direktīvu prasībām </w:t>
            </w:r>
          </w:p>
        </w:tc>
        <w:tc>
          <w:tcPr>
            <w:tcW w:w="1276" w:type="dxa"/>
            <w:vAlign w:val="center"/>
            <w:hideMark/>
          </w:tcPr>
          <w:p w14:paraId="1E115E90" w14:textId="77777777" w:rsidR="0003594B" w:rsidRPr="00864D04" w:rsidRDefault="0003594B" w:rsidP="00864D0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927</w:t>
            </w:r>
          </w:p>
        </w:tc>
        <w:tc>
          <w:tcPr>
            <w:tcW w:w="1134" w:type="dxa"/>
            <w:noWrap/>
            <w:vAlign w:val="center"/>
            <w:hideMark/>
          </w:tcPr>
          <w:p w14:paraId="1B657DFA" w14:textId="77777777" w:rsidR="0003594B" w:rsidRPr="00864D04" w:rsidRDefault="0003594B" w:rsidP="00864D0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1 120</w:t>
            </w:r>
          </w:p>
        </w:tc>
        <w:tc>
          <w:tcPr>
            <w:tcW w:w="1161" w:type="dxa"/>
            <w:vAlign w:val="center"/>
            <w:hideMark/>
          </w:tcPr>
          <w:p w14:paraId="1F9E941F" w14:textId="77777777" w:rsidR="0003594B" w:rsidRPr="00864D04" w:rsidRDefault="0003594B" w:rsidP="00864D0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1 402</w:t>
            </w:r>
          </w:p>
        </w:tc>
        <w:tc>
          <w:tcPr>
            <w:tcW w:w="965" w:type="dxa"/>
            <w:noWrap/>
            <w:vAlign w:val="center"/>
            <w:hideMark/>
          </w:tcPr>
          <w:p w14:paraId="21A53ADC" w14:textId="77777777" w:rsidR="0003594B" w:rsidRPr="00864D04" w:rsidRDefault="0003594B" w:rsidP="00864D0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125%</w:t>
            </w:r>
          </w:p>
        </w:tc>
      </w:tr>
      <w:tr w:rsidR="0003594B" w:rsidRPr="006562FF" w14:paraId="1910077B" w14:textId="77777777" w:rsidTr="00864D04">
        <w:trPr>
          <w:trHeight w:val="540"/>
        </w:trPr>
        <w:tc>
          <w:tcPr>
            <w:cnfStyle w:val="001000000000" w:firstRow="0" w:lastRow="0" w:firstColumn="1" w:lastColumn="0" w:oddVBand="0" w:evenVBand="0" w:oddHBand="0" w:evenHBand="0" w:firstRowFirstColumn="0" w:firstRowLastColumn="0" w:lastRowFirstColumn="0" w:lastRowLastColumn="0"/>
            <w:tcW w:w="5098" w:type="dxa"/>
            <w:hideMark/>
          </w:tcPr>
          <w:p w14:paraId="7344EE50" w14:textId="77777777" w:rsidR="0003594B" w:rsidRPr="006562FF" w:rsidRDefault="0003594B" w:rsidP="00B32973">
            <w:pPr>
              <w:rPr>
                <w:rFonts w:eastAsia="Times New Roman"/>
                <w:b w:val="0"/>
                <w:bCs w:val="0"/>
                <w:sz w:val="20"/>
                <w:szCs w:val="20"/>
                <w:lang w:eastAsia="lv-LV"/>
              </w:rPr>
            </w:pPr>
            <w:r w:rsidRPr="006562FF">
              <w:rPr>
                <w:rFonts w:eastAsia="Times New Roman"/>
                <w:b w:val="0"/>
                <w:bCs w:val="0"/>
                <w:sz w:val="20"/>
                <w:szCs w:val="20"/>
                <w:lang w:eastAsia="lv-LV"/>
              </w:rPr>
              <w:t>To piesārņoto vietu skaits, kas radušās naftas pārstrādes produktu ražošanas laikā un kurās nav veikta sanācija</w:t>
            </w:r>
          </w:p>
        </w:tc>
        <w:tc>
          <w:tcPr>
            <w:tcW w:w="1276" w:type="dxa"/>
            <w:vAlign w:val="center"/>
            <w:hideMark/>
          </w:tcPr>
          <w:p w14:paraId="367764CE" w14:textId="77777777" w:rsidR="0003594B" w:rsidRPr="00864D04" w:rsidRDefault="0003594B" w:rsidP="00864D0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9</w:t>
            </w:r>
          </w:p>
        </w:tc>
        <w:tc>
          <w:tcPr>
            <w:tcW w:w="1134" w:type="dxa"/>
            <w:noWrap/>
            <w:vAlign w:val="center"/>
            <w:hideMark/>
          </w:tcPr>
          <w:p w14:paraId="1D63027D" w14:textId="77777777" w:rsidR="0003594B" w:rsidRPr="00864D04" w:rsidRDefault="0003594B" w:rsidP="00864D0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7</w:t>
            </w:r>
          </w:p>
        </w:tc>
        <w:tc>
          <w:tcPr>
            <w:tcW w:w="1161" w:type="dxa"/>
            <w:vAlign w:val="center"/>
            <w:hideMark/>
          </w:tcPr>
          <w:p w14:paraId="7A632C1B" w14:textId="77777777" w:rsidR="0003594B" w:rsidRPr="00864D04" w:rsidRDefault="0003594B" w:rsidP="00864D0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7</w:t>
            </w:r>
          </w:p>
        </w:tc>
        <w:tc>
          <w:tcPr>
            <w:tcW w:w="965" w:type="dxa"/>
            <w:noWrap/>
            <w:vAlign w:val="center"/>
            <w:hideMark/>
          </w:tcPr>
          <w:p w14:paraId="499FF893" w14:textId="77777777" w:rsidR="0003594B" w:rsidRPr="00864D04" w:rsidRDefault="0003594B" w:rsidP="00864D0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lv-LV"/>
              </w:rPr>
            </w:pPr>
            <w:r w:rsidRPr="00864D04">
              <w:rPr>
                <w:rFonts w:eastAsia="Times New Roman"/>
                <w:sz w:val="20"/>
                <w:szCs w:val="20"/>
                <w:lang w:eastAsia="lv-LV"/>
              </w:rPr>
              <w:t>100%</w:t>
            </w:r>
          </w:p>
        </w:tc>
      </w:tr>
      <w:bookmarkEnd w:id="13"/>
    </w:tbl>
    <w:p w14:paraId="16FBB8A0" w14:textId="77777777" w:rsidR="0003594B" w:rsidRDefault="0003594B" w:rsidP="0003594B">
      <w:pPr>
        <w:jc w:val="both"/>
      </w:pPr>
    </w:p>
    <w:p w14:paraId="51E69BC7" w14:textId="77777777" w:rsidR="0003594B" w:rsidRDefault="0003594B" w:rsidP="0003594B">
      <w:pPr>
        <w:jc w:val="both"/>
      </w:pPr>
      <w:r>
        <w:t>Zemākā rezultātu rādītāju izpilde ir 5.1.2. SAM “</w:t>
      </w:r>
      <w:r w:rsidRPr="005459A6">
        <w:t>Samazināt plūdu riskus lauku teritorijās</w:t>
      </w:r>
      <w:r>
        <w:t>” īstenošanā un 5.4.2.1. SAM “</w:t>
      </w:r>
      <w:r w:rsidRPr="005459A6">
        <w:t>Bioloģiskās daudzveidības saglabāšanas un ekosistēmu aizsardzības priekšnoteikumi</w:t>
      </w:r>
      <w:r>
        <w:t>”, kam atbilstošie rādītāji tiks precizēti un ievadīti sistēmā pēc 2023. gada.</w:t>
      </w:r>
    </w:p>
    <w:p w14:paraId="05C6946E" w14:textId="77777777" w:rsidR="0003594B" w:rsidRPr="008D6B50" w:rsidRDefault="0003594B" w:rsidP="0003594B">
      <w:pPr>
        <w:pStyle w:val="Heading2"/>
        <w:numPr>
          <w:ilvl w:val="1"/>
          <w:numId w:val="2"/>
        </w:numPr>
        <w:ind w:left="357" w:hanging="357"/>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 xml:space="preserve"> </w:t>
      </w:r>
      <w:bookmarkStart w:id="14" w:name="_Toc125102639"/>
      <w:bookmarkStart w:id="15" w:name="_Toc132198344"/>
      <w:r w:rsidRPr="008D6B50">
        <w:rPr>
          <w:rFonts w:ascii="Times New Roman" w:hAnsi="Times New Roman" w:cs="Times New Roman"/>
          <w:b/>
          <w:bCs/>
          <w:color w:val="auto"/>
          <w:sz w:val="24"/>
          <w:szCs w:val="24"/>
        </w:rPr>
        <w:t>Ieguldījumi klimata mērķu sasniegšanas veicināšanai</w:t>
      </w:r>
      <w:bookmarkEnd w:id="14"/>
      <w:bookmarkEnd w:id="15"/>
    </w:p>
    <w:p w14:paraId="2E38E3A1" w14:textId="77777777" w:rsidR="0003594B" w:rsidRDefault="0003594B" w:rsidP="0003594B">
      <w:pPr>
        <w:spacing w:before="120"/>
        <w:jc w:val="both"/>
      </w:pPr>
      <w:r>
        <w:t>Klimata pārmaiņu samazināšanas un resursu efektīvākas izmantošanas jomā mērķis ir ierobežot valsts kopējās SEG emisijas, lai 2020. gadā tās nepārsniegtu 12,19 milj. tonnas CO</w:t>
      </w:r>
      <w:r w:rsidRPr="00367856">
        <w:rPr>
          <w:vertAlign w:val="subscript"/>
        </w:rPr>
        <w:t>2</w:t>
      </w:r>
      <w:r>
        <w:t xml:space="preserve"> ekvivalenta  (2030. gadā – 9,2 milj. t) un nodrošinātu 40% atjaunojamo energoresursu kopējā enerģijas gala patēriņā 2022. gadā (2030. gadā – 46,5%), pie kam nodrošināt 10% 2022. gadā atjaunojamo energoresursu izmantošanas īpatsvaru transportā (faktiskā vērtība 2020. gadā </w:t>
      </w:r>
      <w:r w:rsidRPr="00CB75C4">
        <w:t>–</w:t>
      </w:r>
      <w:r>
        <w:t xml:space="preserve"> 2,5%</w:t>
      </w:r>
      <w:r>
        <w:rPr>
          <w:rStyle w:val="FootnoteReference"/>
        </w:rPr>
        <w:footnoteReference w:id="5"/>
      </w:r>
      <w:r>
        <w:t xml:space="preserve">).  </w:t>
      </w:r>
    </w:p>
    <w:p w14:paraId="57815CA5" w14:textId="77777777" w:rsidR="0003594B" w:rsidRDefault="0003594B" w:rsidP="0003594B">
      <w:pPr>
        <w:spacing w:before="120"/>
        <w:jc w:val="both"/>
        <w:rPr>
          <w:szCs w:val="24"/>
        </w:rPr>
      </w:pPr>
      <w:bookmarkStart w:id="16" w:name="_Toc125102640"/>
      <w:r>
        <w:rPr>
          <w:szCs w:val="24"/>
        </w:rPr>
        <w:t>Klimata mērķu sasniegšanu veicina</w:t>
      </w:r>
      <w:r w:rsidRPr="00B42E15">
        <w:rPr>
          <w:szCs w:val="24"/>
        </w:rPr>
        <w:t xml:space="preserve"> 4. prioritār</w:t>
      </w:r>
      <w:r>
        <w:rPr>
          <w:szCs w:val="24"/>
        </w:rPr>
        <w:t>ā</w:t>
      </w:r>
      <w:r w:rsidRPr="00B42E15">
        <w:rPr>
          <w:szCs w:val="24"/>
        </w:rPr>
        <w:t xml:space="preserve"> virzien</w:t>
      </w:r>
      <w:r>
        <w:rPr>
          <w:szCs w:val="24"/>
        </w:rPr>
        <w:t>a</w:t>
      </w:r>
      <w:r w:rsidRPr="00B42E15">
        <w:rPr>
          <w:szCs w:val="24"/>
        </w:rPr>
        <w:t xml:space="preserve"> “Pāreja uz ekonomiku ar zemu oglekļa emisiju līmeni visās nozarēs” kā arī daļ</w:t>
      </w:r>
      <w:r>
        <w:rPr>
          <w:szCs w:val="24"/>
        </w:rPr>
        <w:t>ēji</w:t>
      </w:r>
      <w:r w:rsidRPr="00B42E15">
        <w:rPr>
          <w:szCs w:val="24"/>
        </w:rPr>
        <w:t xml:space="preserve"> </w:t>
      </w:r>
      <w:r>
        <w:rPr>
          <w:szCs w:val="24"/>
        </w:rPr>
        <w:t xml:space="preserve">5. </w:t>
      </w:r>
      <w:r w:rsidRPr="00385B10">
        <w:rPr>
          <w:szCs w:val="24"/>
        </w:rPr>
        <w:t xml:space="preserve">prioritārā virziena “Vides aizsardzība un resursu izmantošanas efektivitāte” </w:t>
      </w:r>
      <w:r>
        <w:rPr>
          <w:szCs w:val="24"/>
        </w:rPr>
        <w:t xml:space="preserve">un daļa no </w:t>
      </w:r>
      <w:r w:rsidRPr="00B42E15">
        <w:rPr>
          <w:szCs w:val="24"/>
        </w:rPr>
        <w:t>6. prioritārā virziena “Ilgtspējīga transporta sistēma” SAM/SAMP.</w:t>
      </w:r>
      <w:r>
        <w:rPr>
          <w:szCs w:val="24"/>
        </w:rPr>
        <w:t xml:space="preserve"> Kopumā šim mērķim ieguldīti (projektos apstiprināts finansējums)</w:t>
      </w:r>
      <w:r>
        <w:rPr>
          <w:rStyle w:val="FootnoteReference"/>
          <w:szCs w:val="24"/>
        </w:rPr>
        <w:footnoteReference w:id="6"/>
      </w:r>
      <w:r>
        <w:rPr>
          <w:szCs w:val="24"/>
        </w:rPr>
        <w:t xml:space="preserve"> ~714,49 milj. euro (</w:t>
      </w:r>
      <w:r>
        <w:rPr>
          <w:i/>
          <w:iCs/>
          <w:szCs w:val="24"/>
        </w:rPr>
        <w:t>4</w:t>
      </w:r>
      <w:r w:rsidRPr="00385B10">
        <w:rPr>
          <w:i/>
          <w:iCs/>
          <w:szCs w:val="24"/>
        </w:rPr>
        <w:t>.attēls</w:t>
      </w:r>
      <w:r>
        <w:rPr>
          <w:szCs w:val="24"/>
        </w:rPr>
        <w:t>).</w:t>
      </w:r>
      <w:bookmarkEnd w:id="16"/>
      <w:r>
        <w:rPr>
          <w:noProof/>
        </w:rPr>
        <w:drawing>
          <wp:inline distT="0" distB="0" distL="0" distR="0" wp14:anchorId="0039AEA6" wp14:editId="3FEDCBBB">
            <wp:extent cx="5581650" cy="2385060"/>
            <wp:effectExtent l="0" t="0" r="0" b="0"/>
            <wp:docPr id="16697979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1435" cy="2389241"/>
                    </a:xfrm>
                    <a:prstGeom prst="rect">
                      <a:avLst/>
                    </a:prstGeom>
                    <a:noFill/>
                  </pic:spPr>
                </pic:pic>
              </a:graphicData>
            </a:graphic>
          </wp:inline>
        </w:drawing>
      </w:r>
    </w:p>
    <w:p w14:paraId="18CC18E2" w14:textId="77777777" w:rsidR="0003594B" w:rsidRPr="00B032E8" w:rsidRDefault="0003594B" w:rsidP="0003594B">
      <w:pPr>
        <w:spacing w:before="120"/>
        <w:rPr>
          <w:b/>
          <w:i/>
          <w:szCs w:val="24"/>
        </w:rPr>
      </w:pPr>
      <w:r w:rsidRPr="00B032E8">
        <w:rPr>
          <w:b/>
          <w:i/>
          <w:iCs/>
        </w:rPr>
        <w:t>4. attēls.</w:t>
      </w:r>
      <w:r w:rsidRPr="00B032E8">
        <w:rPr>
          <w:b/>
          <w:i/>
        </w:rPr>
        <w:t xml:space="preserve"> Klimata pārmaiņu mērķiem ieguldīto ES fondu investīciju sadalījums, %</w:t>
      </w:r>
    </w:p>
    <w:p w14:paraId="68E36200" w14:textId="77777777" w:rsidR="0003594B" w:rsidRDefault="0003594B" w:rsidP="0003594B">
      <w:pPr>
        <w:spacing w:before="120"/>
        <w:jc w:val="both"/>
      </w:pPr>
      <w:r>
        <w:t>Lielākās investīcijas ieguldītas energoefektivitātes paaugstināšanā un AER izmantošanā dzīvojamās, valsts un pašvaldību ēkās, centralizētās siltumapgādes nodrošināšanā un apstrādes rūpniecībā ~418,23 milj. euro, kā arī tās transporta infrastruktūras attīstībā, kas dod ieguldījumu klimata mērķu sasniegšanā, ~221,06 milj. euro. Būtiski mazāks ieguldījums, jau plānojot investīcijas DP, ir pielāgošanās klimata pārmaiņām pasākumos ~60,96 milj. euro un tikai 2% no kopējām DP investīcijām klimata mērķiem ir investēts dabas aizsardzības pasākumos.</w:t>
      </w:r>
    </w:p>
    <w:p w14:paraId="02626550" w14:textId="77777777" w:rsidR="00005139" w:rsidRDefault="00005139" w:rsidP="0003594B">
      <w:pPr>
        <w:pStyle w:val="ListParagraph"/>
        <w:ind w:left="142"/>
        <w:rPr>
          <w:i/>
          <w:iCs/>
        </w:rPr>
      </w:pPr>
    </w:p>
    <w:p w14:paraId="34B26E6F" w14:textId="2C8B9867" w:rsidR="0003594B" w:rsidRPr="00B032E8" w:rsidRDefault="0003594B" w:rsidP="0003594B">
      <w:pPr>
        <w:pStyle w:val="ListParagraph"/>
        <w:ind w:left="142"/>
        <w:rPr>
          <w:b/>
          <w:i/>
        </w:rPr>
      </w:pPr>
      <w:r w:rsidRPr="00B032E8">
        <w:rPr>
          <w:b/>
          <w:i/>
          <w:iCs/>
        </w:rPr>
        <w:t>3. </w:t>
      </w:r>
      <w:bookmarkStart w:id="17" w:name="_Hlk125713375"/>
      <w:r w:rsidRPr="00B032E8">
        <w:rPr>
          <w:b/>
          <w:i/>
          <w:iCs/>
        </w:rPr>
        <w:t xml:space="preserve">tabula. </w:t>
      </w:r>
      <w:r w:rsidRPr="00B032E8">
        <w:rPr>
          <w:b/>
          <w:i/>
        </w:rPr>
        <w:t>Klimata mērķiem plānoto investīciju apguve</w:t>
      </w:r>
      <w:bookmarkEnd w:id="17"/>
    </w:p>
    <w:tbl>
      <w:tblPr>
        <w:tblStyle w:val="ListTable4-Accent6"/>
        <w:tblW w:w="9757"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none" w:sz="0" w:space="0" w:color="auto"/>
        </w:tblBorders>
        <w:tblLook w:val="04A0" w:firstRow="1" w:lastRow="0" w:firstColumn="1" w:lastColumn="0" w:noHBand="0" w:noVBand="1"/>
      </w:tblPr>
      <w:tblGrid>
        <w:gridCol w:w="4106"/>
        <w:gridCol w:w="2410"/>
        <w:gridCol w:w="1984"/>
        <w:gridCol w:w="1257"/>
      </w:tblGrid>
      <w:tr w:rsidR="005330EF" w:rsidRPr="006C1159" w14:paraId="32E105DA" w14:textId="77777777" w:rsidTr="005330EF">
        <w:trPr>
          <w:cnfStyle w:val="100000000000" w:firstRow="1" w:lastRow="0" w:firstColumn="0" w:lastColumn="0" w:oddVBand="0" w:evenVBand="0" w:oddHBand="0" w:evenHBand="0" w:firstRowFirstColumn="0" w:firstRowLastColumn="0" w:lastRowFirstColumn="0" w:lastRowLastColumn="0"/>
          <w:trHeight w:val="583"/>
          <w:tblHeader/>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noWrap/>
            <w:vAlign w:val="center"/>
            <w:hideMark/>
          </w:tcPr>
          <w:p w14:paraId="3C436DAB" w14:textId="77777777" w:rsidR="0003594B" w:rsidRPr="006C1159" w:rsidRDefault="0003594B" w:rsidP="00B32973">
            <w:pPr>
              <w:rPr>
                <w:rFonts w:eastAsia="Times New Roman"/>
                <w:sz w:val="20"/>
                <w:szCs w:val="20"/>
                <w:lang w:eastAsia="lv-LV"/>
              </w:rPr>
            </w:pPr>
            <w:r>
              <w:rPr>
                <w:rFonts w:eastAsia="Times New Roman"/>
                <w:sz w:val="20"/>
                <w:szCs w:val="20"/>
                <w:lang w:eastAsia="lv-LV"/>
              </w:rPr>
              <w:t>Investīciju mērķis</w:t>
            </w:r>
          </w:p>
        </w:tc>
        <w:tc>
          <w:tcPr>
            <w:tcW w:w="2410" w:type="dxa"/>
            <w:tcBorders>
              <w:top w:val="none" w:sz="0" w:space="0" w:color="auto"/>
              <w:bottom w:val="none" w:sz="0" w:space="0" w:color="auto"/>
            </w:tcBorders>
            <w:hideMark/>
          </w:tcPr>
          <w:p w14:paraId="01D30EB1" w14:textId="77777777" w:rsidR="0003594B" w:rsidRPr="006C1159" w:rsidRDefault="0003594B" w:rsidP="00B32973">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lv-LV"/>
              </w:rPr>
            </w:pPr>
            <w:r w:rsidRPr="006C1159">
              <w:rPr>
                <w:rFonts w:eastAsia="Times New Roman"/>
                <w:sz w:val="20"/>
                <w:szCs w:val="20"/>
                <w:lang w:eastAsia="lv-LV"/>
              </w:rPr>
              <w:t>Plānotais ES fondu finansējums, EUR</w:t>
            </w:r>
          </w:p>
        </w:tc>
        <w:tc>
          <w:tcPr>
            <w:tcW w:w="1984" w:type="dxa"/>
            <w:tcBorders>
              <w:top w:val="none" w:sz="0" w:space="0" w:color="auto"/>
              <w:bottom w:val="none" w:sz="0" w:space="0" w:color="auto"/>
            </w:tcBorders>
            <w:hideMark/>
          </w:tcPr>
          <w:p w14:paraId="18E7606A" w14:textId="4493B66E" w:rsidR="0003594B" w:rsidRPr="006C1159" w:rsidRDefault="0003594B" w:rsidP="00B32973">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lv-LV"/>
              </w:rPr>
            </w:pPr>
            <w:r w:rsidRPr="006C1159">
              <w:rPr>
                <w:rFonts w:eastAsia="Times New Roman"/>
                <w:sz w:val="20"/>
                <w:szCs w:val="20"/>
                <w:lang w:eastAsia="lv-LV"/>
              </w:rPr>
              <w:t>Apstiprināts projektos</w:t>
            </w:r>
            <w:r w:rsidR="00005139">
              <w:rPr>
                <w:rStyle w:val="FootnoteReference"/>
                <w:rFonts w:eastAsia="Times New Roman"/>
                <w:sz w:val="20"/>
                <w:szCs w:val="20"/>
                <w:lang w:eastAsia="lv-LV"/>
              </w:rPr>
              <w:footnoteReference w:id="7"/>
            </w:r>
            <w:r w:rsidR="005330EF">
              <w:rPr>
                <w:rFonts w:eastAsia="Times New Roman"/>
                <w:sz w:val="20"/>
                <w:szCs w:val="20"/>
                <w:lang w:eastAsia="lv-LV"/>
              </w:rPr>
              <w:t>, EUR</w:t>
            </w:r>
            <w:r w:rsidRPr="006C1159">
              <w:rPr>
                <w:rFonts w:eastAsia="Times New Roman"/>
                <w:sz w:val="20"/>
                <w:szCs w:val="20"/>
                <w:lang w:eastAsia="lv-LV"/>
              </w:rPr>
              <w:br/>
            </w:r>
          </w:p>
        </w:tc>
        <w:tc>
          <w:tcPr>
            <w:tcW w:w="1257" w:type="dxa"/>
            <w:tcBorders>
              <w:top w:val="none" w:sz="0" w:space="0" w:color="auto"/>
              <w:bottom w:val="none" w:sz="0" w:space="0" w:color="auto"/>
              <w:right w:val="none" w:sz="0" w:space="0" w:color="auto"/>
            </w:tcBorders>
            <w:noWrap/>
            <w:vAlign w:val="center"/>
            <w:hideMark/>
          </w:tcPr>
          <w:p w14:paraId="7F6A7A41" w14:textId="77777777" w:rsidR="0003594B" w:rsidRPr="006C1159" w:rsidRDefault="0003594B" w:rsidP="00B32973">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lv-LV"/>
              </w:rPr>
            </w:pPr>
            <w:r w:rsidRPr="006C1159">
              <w:rPr>
                <w:rFonts w:eastAsia="Times New Roman"/>
                <w:sz w:val="20"/>
                <w:szCs w:val="20"/>
                <w:lang w:eastAsia="lv-LV"/>
              </w:rPr>
              <w:t>Apguve, %</w:t>
            </w:r>
          </w:p>
        </w:tc>
      </w:tr>
      <w:tr w:rsidR="005330EF" w:rsidRPr="006C1159" w14:paraId="5D10D574" w14:textId="77777777" w:rsidTr="005330E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noWrap/>
            <w:hideMark/>
          </w:tcPr>
          <w:p w14:paraId="7DAA47F2" w14:textId="77777777" w:rsidR="0003594B" w:rsidRPr="006C1159" w:rsidRDefault="0003594B" w:rsidP="00B32973">
            <w:pPr>
              <w:rPr>
                <w:rFonts w:eastAsia="Times New Roman"/>
                <w:b w:val="0"/>
                <w:bCs w:val="0"/>
                <w:color w:val="000000"/>
                <w:sz w:val="20"/>
                <w:szCs w:val="20"/>
                <w:lang w:eastAsia="lv-LV"/>
              </w:rPr>
            </w:pPr>
            <w:r w:rsidRPr="006C1159">
              <w:rPr>
                <w:rFonts w:eastAsia="Times New Roman"/>
                <w:b w:val="0"/>
                <w:bCs w:val="0"/>
                <w:color w:val="000000"/>
                <w:sz w:val="20"/>
                <w:szCs w:val="20"/>
                <w:lang w:eastAsia="lv-LV"/>
              </w:rPr>
              <w:t>Energoefektivitātes paaugstināšana un AER izmantošanas palielināšana</w:t>
            </w:r>
          </w:p>
        </w:tc>
        <w:tc>
          <w:tcPr>
            <w:tcW w:w="2410" w:type="dxa"/>
            <w:shd w:val="clear" w:color="auto" w:fill="auto"/>
            <w:noWrap/>
            <w:hideMark/>
          </w:tcPr>
          <w:p w14:paraId="08970142" w14:textId="77777777" w:rsidR="0003594B" w:rsidRPr="006C1159" w:rsidRDefault="0003594B" w:rsidP="005330E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lv-LV"/>
              </w:rPr>
            </w:pPr>
            <w:r w:rsidRPr="006C1159">
              <w:rPr>
                <w:rFonts w:eastAsia="Times New Roman"/>
                <w:color w:val="000000"/>
                <w:sz w:val="20"/>
                <w:szCs w:val="20"/>
                <w:lang w:eastAsia="lv-LV"/>
              </w:rPr>
              <w:t>481 964 455</w:t>
            </w:r>
          </w:p>
        </w:tc>
        <w:tc>
          <w:tcPr>
            <w:tcW w:w="1984" w:type="dxa"/>
            <w:shd w:val="clear" w:color="auto" w:fill="auto"/>
            <w:noWrap/>
            <w:hideMark/>
          </w:tcPr>
          <w:p w14:paraId="2417FBA6" w14:textId="77777777" w:rsidR="0003594B" w:rsidRPr="006C1159" w:rsidRDefault="0003594B" w:rsidP="005330E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lv-LV"/>
              </w:rPr>
            </w:pPr>
            <w:r w:rsidRPr="006C1159">
              <w:rPr>
                <w:rFonts w:eastAsia="Times New Roman"/>
                <w:color w:val="000000"/>
                <w:sz w:val="20"/>
                <w:szCs w:val="20"/>
                <w:lang w:eastAsia="lv-LV"/>
              </w:rPr>
              <w:t>418 230 333</w:t>
            </w:r>
          </w:p>
        </w:tc>
        <w:tc>
          <w:tcPr>
            <w:tcW w:w="1257" w:type="dxa"/>
            <w:shd w:val="clear" w:color="auto" w:fill="auto"/>
            <w:noWrap/>
            <w:hideMark/>
          </w:tcPr>
          <w:p w14:paraId="471DCB66" w14:textId="77777777" w:rsidR="0003594B" w:rsidRPr="006C1159" w:rsidRDefault="0003594B" w:rsidP="005330E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lv-LV"/>
              </w:rPr>
            </w:pPr>
            <w:r w:rsidRPr="006C1159">
              <w:rPr>
                <w:rFonts w:eastAsia="Times New Roman"/>
                <w:color w:val="000000"/>
                <w:sz w:val="20"/>
                <w:szCs w:val="20"/>
                <w:lang w:eastAsia="lv-LV"/>
              </w:rPr>
              <w:t>86,8%</w:t>
            </w:r>
          </w:p>
        </w:tc>
      </w:tr>
      <w:tr w:rsidR="005330EF" w:rsidRPr="006C1159" w14:paraId="2837DF8B" w14:textId="77777777" w:rsidTr="005330EF">
        <w:trPr>
          <w:trHeight w:val="288"/>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noWrap/>
            <w:hideMark/>
          </w:tcPr>
          <w:p w14:paraId="69D9B554" w14:textId="77777777" w:rsidR="0003594B" w:rsidRPr="006C1159" w:rsidRDefault="0003594B" w:rsidP="00B32973">
            <w:pPr>
              <w:rPr>
                <w:rFonts w:eastAsia="Times New Roman"/>
                <w:b w:val="0"/>
                <w:bCs w:val="0"/>
                <w:color w:val="000000"/>
                <w:sz w:val="20"/>
                <w:szCs w:val="20"/>
                <w:lang w:eastAsia="lv-LV"/>
              </w:rPr>
            </w:pPr>
            <w:r w:rsidRPr="006C1159">
              <w:rPr>
                <w:rFonts w:eastAsia="Times New Roman"/>
                <w:b w:val="0"/>
                <w:bCs w:val="0"/>
                <w:color w:val="000000"/>
                <w:sz w:val="20"/>
                <w:szCs w:val="20"/>
                <w:lang w:eastAsia="lv-LV"/>
              </w:rPr>
              <w:t>Transporta infrastruktūras attīstība</w:t>
            </w:r>
          </w:p>
        </w:tc>
        <w:tc>
          <w:tcPr>
            <w:tcW w:w="2410" w:type="dxa"/>
            <w:shd w:val="clear" w:color="auto" w:fill="auto"/>
            <w:noWrap/>
            <w:hideMark/>
          </w:tcPr>
          <w:p w14:paraId="600E50D3" w14:textId="77777777" w:rsidR="0003594B" w:rsidRPr="006C1159" w:rsidRDefault="0003594B" w:rsidP="005330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lv-LV"/>
              </w:rPr>
            </w:pPr>
            <w:r w:rsidRPr="006C1159">
              <w:rPr>
                <w:rFonts w:eastAsia="Times New Roman"/>
                <w:color w:val="000000"/>
                <w:sz w:val="20"/>
                <w:szCs w:val="20"/>
                <w:lang w:eastAsia="lv-LV"/>
              </w:rPr>
              <w:t>226 416 458</w:t>
            </w:r>
          </w:p>
        </w:tc>
        <w:tc>
          <w:tcPr>
            <w:tcW w:w="1984" w:type="dxa"/>
            <w:shd w:val="clear" w:color="auto" w:fill="auto"/>
            <w:noWrap/>
            <w:hideMark/>
          </w:tcPr>
          <w:p w14:paraId="203F8B6A" w14:textId="77777777" w:rsidR="0003594B" w:rsidRPr="006C1159" w:rsidRDefault="0003594B" w:rsidP="005330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lv-LV"/>
              </w:rPr>
            </w:pPr>
            <w:r w:rsidRPr="006C1159">
              <w:rPr>
                <w:rFonts w:eastAsia="Times New Roman"/>
                <w:color w:val="000000"/>
                <w:sz w:val="20"/>
                <w:szCs w:val="20"/>
                <w:lang w:eastAsia="lv-LV"/>
              </w:rPr>
              <w:t>221 057 960</w:t>
            </w:r>
          </w:p>
        </w:tc>
        <w:tc>
          <w:tcPr>
            <w:tcW w:w="1257" w:type="dxa"/>
            <w:shd w:val="clear" w:color="auto" w:fill="auto"/>
            <w:noWrap/>
            <w:hideMark/>
          </w:tcPr>
          <w:p w14:paraId="40D43667" w14:textId="77777777" w:rsidR="0003594B" w:rsidRPr="006C1159" w:rsidRDefault="0003594B" w:rsidP="005330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lv-LV"/>
              </w:rPr>
            </w:pPr>
            <w:r w:rsidRPr="006C1159">
              <w:rPr>
                <w:rFonts w:eastAsia="Times New Roman"/>
                <w:color w:val="000000"/>
                <w:sz w:val="20"/>
                <w:szCs w:val="20"/>
                <w:lang w:eastAsia="lv-LV"/>
              </w:rPr>
              <w:t>97,6%</w:t>
            </w:r>
          </w:p>
        </w:tc>
      </w:tr>
      <w:tr w:rsidR="005330EF" w:rsidRPr="006C1159" w14:paraId="7A1B1209" w14:textId="77777777" w:rsidTr="005330E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noWrap/>
            <w:hideMark/>
          </w:tcPr>
          <w:p w14:paraId="02878DF9" w14:textId="77777777" w:rsidR="0003594B" w:rsidRPr="006C1159" w:rsidRDefault="0003594B" w:rsidP="00B32973">
            <w:pPr>
              <w:rPr>
                <w:rFonts w:eastAsia="Times New Roman"/>
                <w:b w:val="0"/>
                <w:bCs w:val="0"/>
                <w:color w:val="000000"/>
                <w:sz w:val="20"/>
                <w:szCs w:val="20"/>
                <w:lang w:eastAsia="lv-LV"/>
              </w:rPr>
            </w:pPr>
            <w:r w:rsidRPr="006C1159">
              <w:rPr>
                <w:rFonts w:eastAsia="Times New Roman"/>
                <w:b w:val="0"/>
                <w:bCs w:val="0"/>
                <w:color w:val="000000"/>
                <w:sz w:val="20"/>
                <w:szCs w:val="20"/>
                <w:lang w:eastAsia="lv-LV"/>
              </w:rPr>
              <w:t>Vides aizsardzības pasākumi</w:t>
            </w:r>
          </w:p>
        </w:tc>
        <w:tc>
          <w:tcPr>
            <w:tcW w:w="2410" w:type="dxa"/>
            <w:shd w:val="clear" w:color="auto" w:fill="auto"/>
            <w:noWrap/>
            <w:hideMark/>
          </w:tcPr>
          <w:p w14:paraId="255E3EF5" w14:textId="75D2B4C9" w:rsidR="0003594B" w:rsidRPr="006C1159" w:rsidRDefault="0003594B" w:rsidP="005330E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lv-LV"/>
              </w:rPr>
            </w:pPr>
            <w:r w:rsidRPr="006C1159">
              <w:rPr>
                <w:rFonts w:eastAsia="Times New Roman"/>
                <w:color w:val="000000"/>
                <w:sz w:val="20"/>
                <w:szCs w:val="20"/>
                <w:lang w:eastAsia="lv-LV"/>
              </w:rPr>
              <w:t>14 241 064</w:t>
            </w:r>
          </w:p>
        </w:tc>
        <w:tc>
          <w:tcPr>
            <w:tcW w:w="1984" w:type="dxa"/>
            <w:shd w:val="clear" w:color="auto" w:fill="auto"/>
            <w:noWrap/>
            <w:hideMark/>
          </w:tcPr>
          <w:p w14:paraId="2BA20B02" w14:textId="77777777" w:rsidR="0003594B" w:rsidRPr="006C1159" w:rsidRDefault="0003594B" w:rsidP="005330E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lv-LV"/>
              </w:rPr>
            </w:pPr>
            <w:r w:rsidRPr="006C1159">
              <w:rPr>
                <w:rFonts w:eastAsia="Times New Roman"/>
                <w:color w:val="000000"/>
                <w:sz w:val="20"/>
                <w:szCs w:val="20"/>
                <w:lang w:eastAsia="lv-LV"/>
              </w:rPr>
              <w:t>14 238 535</w:t>
            </w:r>
          </w:p>
        </w:tc>
        <w:tc>
          <w:tcPr>
            <w:tcW w:w="1257" w:type="dxa"/>
            <w:shd w:val="clear" w:color="auto" w:fill="auto"/>
            <w:noWrap/>
            <w:hideMark/>
          </w:tcPr>
          <w:p w14:paraId="028D1995" w14:textId="77777777" w:rsidR="0003594B" w:rsidRPr="006C1159" w:rsidRDefault="0003594B" w:rsidP="005330E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lv-LV"/>
              </w:rPr>
            </w:pPr>
            <w:r w:rsidRPr="006C1159">
              <w:rPr>
                <w:rFonts w:eastAsia="Times New Roman"/>
                <w:color w:val="000000"/>
                <w:sz w:val="20"/>
                <w:szCs w:val="20"/>
                <w:lang w:eastAsia="lv-LV"/>
              </w:rPr>
              <w:t>100,0%</w:t>
            </w:r>
          </w:p>
        </w:tc>
      </w:tr>
      <w:tr w:rsidR="005330EF" w:rsidRPr="006C1159" w14:paraId="204902FC" w14:textId="77777777" w:rsidTr="005330EF">
        <w:trPr>
          <w:trHeight w:val="288"/>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noWrap/>
            <w:hideMark/>
          </w:tcPr>
          <w:p w14:paraId="7B8FEA37" w14:textId="77777777" w:rsidR="0003594B" w:rsidRPr="006C1159" w:rsidRDefault="0003594B" w:rsidP="00B32973">
            <w:pPr>
              <w:rPr>
                <w:rFonts w:eastAsia="Times New Roman"/>
                <w:b w:val="0"/>
                <w:bCs w:val="0"/>
                <w:color w:val="000000"/>
                <w:sz w:val="20"/>
                <w:szCs w:val="20"/>
                <w:lang w:eastAsia="lv-LV"/>
              </w:rPr>
            </w:pPr>
            <w:r w:rsidRPr="006C1159">
              <w:rPr>
                <w:rFonts w:eastAsia="Times New Roman"/>
                <w:b w:val="0"/>
                <w:bCs w:val="0"/>
                <w:color w:val="000000"/>
                <w:sz w:val="20"/>
                <w:szCs w:val="20"/>
                <w:lang w:eastAsia="lv-LV"/>
              </w:rPr>
              <w:t>Pielāgošanās klimata pārmaiņām</w:t>
            </w:r>
          </w:p>
        </w:tc>
        <w:tc>
          <w:tcPr>
            <w:tcW w:w="2410" w:type="dxa"/>
            <w:shd w:val="clear" w:color="auto" w:fill="auto"/>
            <w:noWrap/>
            <w:hideMark/>
          </w:tcPr>
          <w:p w14:paraId="5B1935FE" w14:textId="77777777" w:rsidR="0003594B" w:rsidRPr="006C1159" w:rsidRDefault="0003594B" w:rsidP="005330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lv-LV"/>
              </w:rPr>
            </w:pPr>
            <w:r w:rsidRPr="006C1159">
              <w:rPr>
                <w:rFonts w:eastAsia="Times New Roman"/>
                <w:color w:val="000000"/>
                <w:sz w:val="20"/>
                <w:szCs w:val="20"/>
                <w:lang w:eastAsia="lv-LV"/>
              </w:rPr>
              <w:t>61 180 784</w:t>
            </w:r>
          </w:p>
        </w:tc>
        <w:tc>
          <w:tcPr>
            <w:tcW w:w="1984" w:type="dxa"/>
            <w:shd w:val="clear" w:color="auto" w:fill="auto"/>
            <w:noWrap/>
            <w:hideMark/>
          </w:tcPr>
          <w:p w14:paraId="71392E68" w14:textId="77777777" w:rsidR="0003594B" w:rsidRPr="006C1159" w:rsidRDefault="0003594B" w:rsidP="005330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lv-LV"/>
              </w:rPr>
            </w:pPr>
            <w:r w:rsidRPr="006C1159">
              <w:rPr>
                <w:rFonts w:eastAsia="Times New Roman"/>
                <w:color w:val="000000"/>
                <w:sz w:val="20"/>
                <w:szCs w:val="20"/>
                <w:lang w:eastAsia="lv-LV"/>
              </w:rPr>
              <w:t>60 964 333</w:t>
            </w:r>
          </w:p>
        </w:tc>
        <w:tc>
          <w:tcPr>
            <w:tcW w:w="1257" w:type="dxa"/>
            <w:shd w:val="clear" w:color="auto" w:fill="auto"/>
            <w:noWrap/>
            <w:hideMark/>
          </w:tcPr>
          <w:p w14:paraId="39B64384" w14:textId="77777777" w:rsidR="0003594B" w:rsidRPr="006C1159" w:rsidRDefault="0003594B" w:rsidP="005330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lv-LV"/>
              </w:rPr>
            </w:pPr>
            <w:r w:rsidRPr="006C1159">
              <w:rPr>
                <w:rFonts w:eastAsia="Times New Roman"/>
                <w:color w:val="000000"/>
                <w:sz w:val="20"/>
                <w:szCs w:val="20"/>
                <w:lang w:eastAsia="lv-LV"/>
              </w:rPr>
              <w:t>99,6%</w:t>
            </w:r>
          </w:p>
        </w:tc>
      </w:tr>
      <w:tr w:rsidR="005330EF" w:rsidRPr="006C1159" w14:paraId="72ECE836" w14:textId="77777777" w:rsidTr="005330E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noWrap/>
            <w:hideMark/>
          </w:tcPr>
          <w:p w14:paraId="2C0443D5" w14:textId="77777777" w:rsidR="0003594B" w:rsidRPr="006C1159" w:rsidRDefault="0003594B" w:rsidP="00B32973">
            <w:pPr>
              <w:rPr>
                <w:rFonts w:eastAsia="Times New Roman"/>
                <w:color w:val="000000"/>
                <w:sz w:val="20"/>
                <w:szCs w:val="20"/>
                <w:lang w:eastAsia="lv-LV"/>
              </w:rPr>
            </w:pPr>
            <w:r w:rsidRPr="006C1159">
              <w:rPr>
                <w:rFonts w:eastAsia="Times New Roman"/>
                <w:color w:val="000000"/>
                <w:sz w:val="20"/>
                <w:szCs w:val="20"/>
                <w:lang w:eastAsia="lv-LV"/>
              </w:rPr>
              <w:t>Kopā</w:t>
            </w:r>
          </w:p>
        </w:tc>
        <w:tc>
          <w:tcPr>
            <w:tcW w:w="2410" w:type="dxa"/>
            <w:shd w:val="clear" w:color="auto" w:fill="auto"/>
            <w:noWrap/>
            <w:hideMark/>
          </w:tcPr>
          <w:p w14:paraId="3AAB0464" w14:textId="77777777" w:rsidR="0003594B" w:rsidRPr="006C1159" w:rsidRDefault="0003594B" w:rsidP="005330EF">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eastAsia="lv-LV"/>
              </w:rPr>
            </w:pPr>
            <w:r w:rsidRPr="006C1159">
              <w:rPr>
                <w:rFonts w:eastAsia="Times New Roman"/>
                <w:b/>
                <w:bCs/>
                <w:color w:val="000000"/>
                <w:sz w:val="20"/>
                <w:szCs w:val="20"/>
                <w:lang w:eastAsia="lv-LV"/>
              </w:rPr>
              <w:t>783 802 761</w:t>
            </w:r>
          </w:p>
        </w:tc>
        <w:tc>
          <w:tcPr>
            <w:tcW w:w="1984" w:type="dxa"/>
            <w:shd w:val="clear" w:color="auto" w:fill="auto"/>
            <w:noWrap/>
            <w:hideMark/>
          </w:tcPr>
          <w:p w14:paraId="4DD44B24" w14:textId="77777777" w:rsidR="0003594B" w:rsidRPr="006C1159" w:rsidRDefault="0003594B" w:rsidP="005330EF">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eastAsia="lv-LV"/>
              </w:rPr>
            </w:pPr>
            <w:r w:rsidRPr="006C1159">
              <w:rPr>
                <w:rFonts w:eastAsia="Times New Roman"/>
                <w:b/>
                <w:bCs/>
                <w:color w:val="000000"/>
                <w:sz w:val="20"/>
                <w:szCs w:val="20"/>
                <w:lang w:eastAsia="lv-LV"/>
              </w:rPr>
              <w:t>714 491 161</w:t>
            </w:r>
          </w:p>
        </w:tc>
        <w:tc>
          <w:tcPr>
            <w:tcW w:w="1257" w:type="dxa"/>
            <w:shd w:val="clear" w:color="auto" w:fill="auto"/>
            <w:noWrap/>
            <w:hideMark/>
          </w:tcPr>
          <w:p w14:paraId="6453839C" w14:textId="77777777" w:rsidR="0003594B" w:rsidRPr="00777A5F" w:rsidRDefault="0003594B" w:rsidP="005330EF">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eastAsia="lv-LV"/>
              </w:rPr>
            </w:pPr>
            <w:r w:rsidRPr="00777A5F">
              <w:rPr>
                <w:rFonts w:eastAsia="Times New Roman"/>
                <w:b/>
                <w:bCs/>
                <w:color w:val="000000"/>
                <w:sz w:val="20"/>
                <w:szCs w:val="20"/>
                <w:lang w:eastAsia="lv-LV"/>
              </w:rPr>
              <w:t>91,2%</w:t>
            </w:r>
          </w:p>
        </w:tc>
      </w:tr>
    </w:tbl>
    <w:p w14:paraId="05955914" w14:textId="77777777" w:rsidR="0003594B" w:rsidRDefault="0003594B" w:rsidP="0003594B">
      <w:pPr>
        <w:pStyle w:val="ListParagraph"/>
        <w:ind w:left="142"/>
      </w:pPr>
    </w:p>
    <w:p w14:paraId="52CA7878" w14:textId="77777777" w:rsidR="0003594B" w:rsidRDefault="0003594B" w:rsidP="0003594B">
      <w:pPr>
        <w:pStyle w:val="ListParagraph"/>
        <w:ind w:left="142"/>
        <w:jc w:val="both"/>
      </w:pPr>
      <w:r>
        <w:fldChar w:fldCharType="begin"/>
      </w:r>
      <w:r>
        <w:instrText xml:space="preserve"> LINK Excel.Sheet.12 "\\\\varamfile\\serveris\\Departamenti un nodalas\\IPD\\Vides Investīciju nodaļa\\HP IA uzraudzība - atbildīgā institūcija\\2014-2020\\Atskaites\\2023\\Registri_2014-2020_2023.xlsx" Finansējums!R175C2:R180C5 \a \f 4 \h  \* MERGEFORMAT </w:instrText>
      </w:r>
      <w:r>
        <w:fldChar w:fldCharType="end"/>
      </w:r>
      <w:r>
        <w:t>Analizējot investīciju apguvi klimata mērķu sasniegšanā, tad ES fondu finansējums līdz 2023. gadam kopumā apgūts, t.i., projektos apstiprināti 91,2% no plānotā finansējuma (skat. </w:t>
      </w:r>
      <w:r>
        <w:rPr>
          <w:i/>
          <w:iCs/>
        </w:rPr>
        <w:t>3</w:t>
      </w:r>
      <w:r w:rsidRPr="008E239A">
        <w:rPr>
          <w:i/>
          <w:iCs/>
        </w:rPr>
        <w:t>.</w:t>
      </w:r>
      <w:r>
        <w:rPr>
          <w:i/>
          <w:iCs/>
        </w:rPr>
        <w:t> </w:t>
      </w:r>
      <w:r w:rsidRPr="008E239A">
        <w:rPr>
          <w:i/>
          <w:iCs/>
        </w:rPr>
        <w:t>tabul</w:t>
      </w:r>
      <w:r>
        <w:rPr>
          <w:i/>
          <w:iCs/>
        </w:rPr>
        <w:t>u</w:t>
      </w:r>
      <w:r>
        <w:t>).</w:t>
      </w:r>
    </w:p>
    <w:p w14:paraId="0AD5A024" w14:textId="77777777" w:rsidR="0003594B" w:rsidRPr="008D6B50" w:rsidRDefault="0003594B" w:rsidP="0003594B">
      <w:pPr>
        <w:pStyle w:val="Heading3"/>
        <w:numPr>
          <w:ilvl w:val="2"/>
          <w:numId w:val="2"/>
        </w:numPr>
        <w:spacing w:before="120"/>
        <w:ind w:left="720"/>
        <w:rPr>
          <w:rFonts w:ascii="Times New Roman" w:hAnsi="Times New Roman" w:cs="Times New Roman"/>
          <w:b/>
          <w:bCs/>
          <w:color w:val="auto"/>
        </w:rPr>
      </w:pPr>
      <w:bookmarkStart w:id="18" w:name="_Toc125102641"/>
      <w:bookmarkStart w:id="19" w:name="_Toc132198345"/>
      <w:r w:rsidRPr="008D6B50">
        <w:rPr>
          <w:rFonts w:ascii="Times New Roman" w:hAnsi="Times New Roman" w:cs="Times New Roman"/>
          <w:b/>
          <w:bCs/>
          <w:color w:val="auto"/>
        </w:rPr>
        <w:t>Prioritārā virziena “Pāreja uz ekonomiku ar zemu oglekļa emisiju līmeni visās nozarēs” un prioritārā virziena “Ilgtspējīga transporta sistēma” īstenošanā sasniegtie rādītāji</w:t>
      </w:r>
      <w:bookmarkEnd w:id="18"/>
      <w:bookmarkEnd w:id="19"/>
    </w:p>
    <w:p w14:paraId="406D3435" w14:textId="77777777" w:rsidR="0003594B" w:rsidRDefault="0003594B" w:rsidP="0003594B">
      <w:pPr>
        <w:jc w:val="both"/>
      </w:pPr>
    </w:p>
    <w:p w14:paraId="3878B8C2" w14:textId="77777777" w:rsidR="0003594B" w:rsidRDefault="0003594B" w:rsidP="0003594B">
      <w:pPr>
        <w:jc w:val="both"/>
      </w:pPr>
      <w:r>
        <w:t xml:space="preserve">Svarīgs ilgtermiņa konkurētspējas priekšnosacījums ir zema oglekļa ietilpības ražošanas un pakalpojumu attīstība un kompleksi risinājumi oglekļa dioksīda emisiju samazināšanai, t.sk. ražošanas procesu un ēku energoefektivitātes paaugstināšana un energoapgādes infrastruktūras uzlabošana videi draudzīgu rīcību ieviešanai un tehnoloģiju izmantošanai.  </w:t>
      </w:r>
    </w:p>
    <w:p w14:paraId="0A54CCB6" w14:textId="77777777" w:rsidR="0003594B" w:rsidRDefault="0003594B" w:rsidP="0003594B">
      <w:pPr>
        <w:spacing w:before="120"/>
        <w:jc w:val="both"/>
      </w:pPr>
      <w:r>
        <w:t>I</w:t>
      </w:r>
      <w:r w:rsidRPr="00F324D6">
        <w:t>eguld</w:t>
      </w:r>
      <w:r>
        <w:t>ot</w:t>
      </w:r>
      <w:r w:rsidRPr="00F324D6">
        <w:t xml:space="preserve"> energoefektivitātes paaugstināšanā un AER izmantošanā dzīvojamās, valsts un pašvaldību ēkās, centralizētās siltumapgādes nodrošināšanā un apstrādes rūpniecībā </w:t>
      </w:r>
      <w:r>
        <w:t xml:space="preserve"> sasniegts zināms progress uzraudzības rādītāju sasniegšanā (skat. </w:t>
      </w:r>
      <w:r w:rsidRPr="00F324D6">
        <w:rPr>
          <w:i/>
          <w:iCs/>
        </w:rPr>
        <w:t>3. tabula</w:t>
      </w:r>
      <w:r>
        <w:t>).</w:t>
      </w:r>
    </w:p>
    <w:p w14:paraId="723E1A9C" w14:textId="77777777" w:rsidR="0003594B" w:rsidRDefault="0003594B" w:rsidP="0003594B">
      <w:pPr>
        <w:spacing w:before="120"/>
        <w:jc w:val="both"/>
      </w:pPr>
      <w:bookmarkStart w:id="20" w:name="_Hlk129099712"/>
      <w:r>
        <w:t xml:space="preserve">Uzstādītas 139 </w:t>
      </w:r>
      <w:proofErr w:type="spellStart"/>
      <w:r>
        <w:t>eletrotransportlīdzekļu</w:t>
      </w:r>
      <w:proofErr w:type="spellEnd"/>
      <w:r>
        <w:t xml:space="preserve"> uzlādes stacijas, rekonstruēti vai izbūvēti ~54 km siltumtīkli, </w:t>
      </w:r>
      <w:proofErr w:type="spellStart"/>
      <w:r>
        <w:t>jaunuzbūvēto</w:t>
      </w:r>
      <w:proofErr w:type="spellEnd"/>
      <w:r>
        <w:t xml:space="preserve"> vai uzlaboto tramvaju līniju garums sasniedzis 8,1 km, iegādāti jauni vai pārbūvēti 79 videi draudzīgi sabiedriskie transportlīdzekļi, par ~10 tūkst. palielinājies mājsaimniecību skaits ar uzlabotu enerģijas patēriņa klasifikāciju.</w:t>
      </w:r>
    </w:p>
    <w:p w14:paraId="538FD13A" w14:textId="2E3102DB" w:rsidR="0003594B" w:rsidRDefault="0003594B" w:rsidP="0003594B">
      <w:pPr>
        <w:spacing w:before="120"/>
        <w:jc w:val="both"/>
      </w:pPr>
      <w:r>
        <w:t>Īstenojot 4. prioritārā virziena pasākumus, samazinājušās</w:t>
      </w:r>
      <w:r w:rsidRPr="008B2F0D">
        <w:t xml:space="preserve"> </w:t>
      </w:r>
      <w:r>
        <w:t>a</w:t>
      </w:r>
      <w:r w:rsidRPr="008B2F0D">
        <w:t>prēķināt</w:t>
      </w:r>
      <w:r>
        <w:t>ās</w:t>
      </w:r>
      <w:r w:rsidRPr="008B2F0D">
        <w:t xml:space="preserve"> siltumnīcefekta gāzu </w:t>
      </w:r>
      <w:r>
        <w:t>emisijas</w:t>
      </w:r>
      <w:r w:rsidRPr="008B2F0D">
        <w:t xml:space="preserve"> </w:t>
      </w:r>
      <w:r>
        <w:t>~156,5 tūkst.</w:t>
      </w:r>
      <w:r w:rsidRPr="00920E7F">
        <w:t xml:space="preserve"> CO</w:t>
      </w:r>
      <w:r w:rsidRPr="00920E7F">
        <w:rPr>
          <w:vertAlign w:val="subscript"/>
        </w:rPr>
        <w:t>2</w:t>
      </w:r>
      <w:r w:rsidRPr="00920E7F">
        <w:t xml:space="preserve"> </w:t>
      </w:r>
      <w:proofErr w:type="spellStart"/>
      <w:r w:rsidRPr="00920E7F">
        <w:t>ekviv</w:t>
      </w:r>
      <w:proofErr w:type="spellEnd"/>
      <w:r w:rsidRPr="00920E7F">
        <w:t>. t gadā</w:t>
      </w:r>
      <w:r>
        <w:t xml:space="preserve">, nodrošināta no atjaunojamiem energoresursiem ražotā </w:t>
      </w:r>
      <w:proofErr w:type="spellStart"/>
      <w:r>
        <w:t>papildjauda</w:t>
      </w:r>
      <w:proofErr w:type="spellEnd"/>
      <w:r>
        <w:t xml:space="preserve"> 21 MW apjomā, kā arī panākts ~179,5 MWh/gadā enerģijas ietaupījums.</w:t>
      </w:r>
    </w:p>
    <w:p w14:paraId="294748B4" w14:textId="77777777" w:rsidR="00B032E8" w:rsidRDefault="00B032E8" w:rsidP="0003594B">
      <w:pPr>
        <w:spacing w:before="120"/>
        <w:jc w:val="both"/>
      </w:pPr>
    </w:p>
    <w:bookmarkEnd w:id="20"/>
    <w:p w14:paraId="5B864506" w14:textId="40482008" w:rsidR="0003594B" w:rsidRPr="00B032E8" w:rsidRDefault="0003594B" w:rsidP="0068161C">
      <w:pPr>
        <w:spacing w:after="120"/>
        <w:rPr>
          <w:b/>
          <w:i/>
        </w:rPr>
      </w:pPr>
      <w:r w:rsidRPr="00B032E8">
        <w:rPr>
          <w:b/>
          <w:i/>
          <w:iCs/>
        </w:rPr>
        <w:t xml:space="preserve">4. tabula. </w:t>
      </w:r>
      <w:r w:rsidRPr="00B032E8">
        <w:rPr>
          <w:b/>
          <w:i/>
        </w:rPr>
        <w:t>Klimata mērķiem sasniegtie uzraudzības rādītāji</w:t>
      </w:r>
    </w:p>
    <w:tbl>
      <w:tblPr>
        <w:tblStyle w:val="ListTable3-Accent6"/>
        <w:tblW w:w="93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807"/>
        <w:gridCol w:w="1134"/>
        <w:gridCol w:w="1418"/>
        <w:gridCol w:w="991"/>
      </w:tblGrid>
      <w:tr w:rsidR="004646D1" w:rsidRPr="00765BA2" w14:paraId="6E8E5D7F" w14:textId="77777777" w:rsidTr="004646D1">
        <w:trPr>
          <w:cnfStyle w:val="100000000000" w:firstRow="1" w:lastRow="0" w:firstColumn="0" w:lastColumn="0" w:oddVBand="0" w:evenVBand="0" w:oddHBand="0" w:evenHBand="0" w:firstRowFirstColumn="0" w:firstRowLastColumn="0" w:lastRowFirstColumn="0" w:lastRowLastColumn="0"/>
          <w:trHeight w:val="528"/>
        </w:trPr>
        <w:tc>
          <w:tcPr>
            <w:cnfStyle w:val="001000000100" w:firstRow="0" w:lastRow="0" w:firstColumn="1" w:lastColumn="0" w:oddVBand="0" w:evenVBand="0" w:oddHBand="0" w:evenHBand="0" w:firstRowFirstColumn="1" w:firstRowLastColumn="0" w:lastRowFirstColumn="0" w:lastRowLastColumn="0"/>
            <w:tcW w:w="5807" w:type="dxa"/>
            <w:tcBorders>
              <w:bottom w:val="single" w:sz="4" w:space="0" w:color="538135" w:themeColor="accent6" w:themeShade="BF"/>
            </w:tcBorders>
            <w:noWrap/>
            <w:vAlign w:val="center"/>
            <w:hideMark/>
          </w:tcPr>
          <w:p w14:paraId="4912DF68" w14:textId="77777777" w:rsidR="0003594B" w:rsidRPr="00765BA2" w:rsidRDefault="0003594B" w:rsidP="00B32973">
            <w:pPr>
              <w:rPr>
                <w:rFonts w:eastAsia="Times New Roman"/>
                <w:szCs w:val="24"/>
                <w:lang w:eastAsia="lv-LV"/>
              </w:rPr>
            </w:pPr>
            <w:r w:rsidRPr="00765BA2">
              <w:rPr>
                <w:rFonts w:eastAsia="Times New Roman"/>
                <w:szCs w:val="24"/>
                <w:lang w:eastAsia="lv-LV"/>
              </w:rPr>
              <w:t>Uzraudzības rādītājs</w:t>
            </w:r>
          </w:p>
        </w:tc>
        <w:tc>
          <w:tcPr>
            <w:tcW w:w="1134" w:type="dxa"/>
            <w:tcBorders>
              <w:bottom w:val="single" w:sz="4" w:space="0" w:color="538135" w:themeColor="accent6" w:themeShade="BF"/>
            </w:tcBorders>
            <w:noWrap/>
            <w:vAlign w:val="center"/>
            <w:hideMark/>
          </w:tcPr>
          <w:p w14:paraId="741165A8" w14:textId="77777777" w:rsidR="0003594B" w:rsidRPr="00765BA2" w:rsidRDefault="0003594B" w:rsidP="00B32973">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lv-LV"/>
              </w:rPr>
            </w:pPr>
            <w:r w:rsidRPr="00765BA2">
              <w:rPr>
                <w:rFonts w:eastAsia="Times New Roman"/>
                <w:sz w:val="20"/>
                <w:szCs w:val="20"/>
                <w:lang w:eastAsia="lv-LV"/>
              </w:rPr>
              <w:t>Plānotais DP</w:t>
            </w:r>
          </w:p>
        </w:tc>
        <w:tc>
          <w:tcPr>
            <w:tcW w:w="1418" w:type="dxa"/>
            <w:tcBorders>
              <w:bottom w:val="single" w:sz="4" w:space="0" w:color="538135" w:themeColor="accent6" w:themeShade="BF"/>
            </w:tcBorders>
            <w:vAlign w:val="center"/>
            <w:hideMark/>
          </w:tcPr>
          <w:p w14:paraId="5A75C5CE" w14:textId="77777777" w:rsidR="0003594B" w:rsidRPr="00765BA2" w:rsidRDefault="0003594B" w:rsidP="00B32973">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lv-LV"/>
              </w:rPr>
            </w:pPr>
            <w:r w:rsidRPr="00765BA2">
              <w:rPr>
                <w:rFonts w:eastAsia="Times New Roman"/>
                <w:sz w:val="20"/>
                <w:szCs w:val="20"/>
                <w:lang w:eastAsia="lv-LV"/>
              </w:rPr>
              <w:t>Sasniegtais</w:t>
            </w:r>
            <w:r w:rsidRPr="00765BA2">
              <w:rPr>
                <w:rFonts w:eastAsia="Times New Roman"/>
                <w:sz w:val="20"/>
                <w:szCs w:val="20"/>
                <w:lang w:eastAsia="lv-LV"/>
              </w:rPr>
              <w:br/>
              <w:t>2022</w:t>
            </w:r>
          </w:p>
        </w:tc>
        <w:tc>
          <w:tcPr>
            <w:tcW w:w="991" w:type="dxa"/>
            <w:tcBorders>
              <w:bottom w:val="single" w:sz="4" w:space="0" w:color="538135" w:themeColor="accent6" w:themeShade="BF"/>
            </w:tcBorders>
            <w:noWrap/>
            <w:vAlign w:val="center"/>
            <w:hideMark/>
          </w:tcPr>
          <w:p w14:paraId="73325FB3" w14:textId="77777777" w:rsidR="0003594B" w:rsidRPr="00765BA2" w:rsidRDefault="0003594B" w:rsidP="00B32973">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lv-LV"/>
              </w:rPr>
            </w:pPr>
            <w:r w:rsidRPr="00765BA2">
              <w:rPr>
                <w:rFonts w:eastAsia="Times New Roman"/>
                <w:sz w:val="20"/>
                <w:szCs w:val="20"/>
                <w:lang w:eastAsia="lv-LV"/>
              </w:rPr>
              <w:t>Izpilde</w:t>
            </w:r>
          </w:p>
        </w:tc>
      </w:tr>
      <w:tr w:rsidR="004646D1" w:rsidRPr="004646D1" w14:paraId="47A0877F" w14:textId="77777777" w:rsidTr="004646D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538135" w:themeColor="accent6" w:themeShade="BF"/>
              <w:left w:val="single" w:sz="4" w:space="0" w:color="538135" w:themeColor="accent6" w:themeShade="BF"/>
            </w:tcBorders>
            <w:hideMark/>
          </w:tcPr>
          <w:p w14:paraId="66A5BA8F" w14:textId="77777777" w:rsidR="0003594B" w:rsidRPr="004646D1" w:rsidRDefault="0003594B" w:rsidP="00B32973">
            <w:pPr>
              <w:rPr>
                <w:rFonts w:eastAsia="Times New Roman"/>
                <w:b w:val="0"/>
                <w:bCs w:val="0"/>
                <w:sz w:val="22"/>
                <w:lang w:eastAsia="lv-LV"/>
              </w:rPr>
            </w:pPr>
            <w:r w:rsidRPr="004646D1">
              <w:rPr>
                <w:rFonts w:eastAsia="Times New Roman"/>
                <w:b w:val="0"/>
                <w:bCs w:val="0"/>
                <w:sz w:val="22"/>
                <w:lang w:eastAsia="lv-LV"/>
              </w:rPr>
              <w:t xml:space="preserve">No atjaunojamiem energoresursiem ražotā </w:t>
            </w:r>
            <w:proofErr w:type="spellStart"/>
            <w:r w:rsidRPr="004646D1">
              <w:rPr>
                <w:rFonts w:eastAsia="Times New Roman"/>
                <w:b w:val="0"/>
                <w:bCs w:val="0"/>
                <w:sz w:val="22"/>
                <w:lang w:eastAsia="lv-LV"/>
              </w:rPr>
              <w:t>papildjauda</w:t>
            </w:r>
            <w:proofErr w:type="spellEnd"/>
            <w:r w:rsidRPr="004646D1">
              <w:rPr>
                <w:rFonts w:eastAsia="Times New Roman"/>
                <w:b w:val="0"/>
                <w:bCs w:val="0"/>
                <w:sz w:val="22"/>
                <w:lang w:eastAsia="lv-LV"/>
              </w:rPr>
              <w:t>, MW</w:t>
            </w:r>
          </w:p>
        </w:tc>
        <w:tc>
          <w:tcPr>
            <w:tcW w:w="1134" w:type="dxa"/>
            <w:tcBorders>
              <w:top w:val="single" w:sz="4" w:space="0" w:color="538135" w:themeColor="accent6" w:themeShade="BF"/>
            </w:tcBorders>
            <w:noWrap/>
            <w:vAlign w:val="center"/>
            <w:hideMark/>
          </w:tcPr>
          <w:p w14:paraId="7EF2EFAA" w14:textId="77777777" w:rsidR="0003594B" w:rsidRPr="004646D1" w:rsidRDefault="0003594B" w:rsidP="00B32973">
            <w:pPr>
              <w:jc w:val="right"/>
              <w:cnfStyle w:val="000000100000" w:firstRow="0" w:lastRow="0" w:firstColumn="0" w:lastColumn="0" w:oddVBand="0" w:evenVBand="0" w:oddHBand="1" w:evenHBand="0" w:firstRowFirstColumn="0" w:firstRowLastColumn="0" w:lastRowFirstColumn="0" w:lastRowLastColumn="0"/>
              <w:rPr>
                <w:rFonts w:eastAsia="Times New Roman"/>
                <w:sz w:val="22"/>
                <w:lang w:eastAsia="lv-LV"/>
              </w:rPr>
            </w:pPr>
            <w:r w:rsidRPr="004646D1">
              <w:rPr>
                <w:rFonts w:eastAsia="Times New Roman"/>
                <w:sz w:val="22"/>
                <w:lang w:eastAsia="lv-LV"/>
              </w:rPr>
              <w:t>73,4</w:t>
            </w:r>
          </w:p>
        </w:tc>
        <w:tc>
          <w:tcPr>
            <w:tcW w:w="1418" w:type="dxa"/>
            <w:tcBorders>
              <w:top w:val="single" w:sz="4" w:space="0" w:color="538135" w:themeColor="accent6" w:themeShade="BF"/>
            </w:tcBorders>
            <w:noWrap/>
            <w:vAlign w:val="center"/>
            <w:hideMark/>
          </w:tcPr>
          <w:p w14:paraId="48E1464B" w14:textId="77777777" w:rsidR="0003594B" w:rsidRPr="004646D1" w:rsidRDefault="0003594B" w:rsidP="00B32973">
            <w:pPr>
              <w:jc w:val="right"/>
              <w:cnfStyle w:val="000000100000" w:firstRow="0" w:lastRow="0" w:firstColumn="0" w:lastColumn="0" w:oddVBand="0" w:evenVBand="0" w:oddHBand="1" w:evenHBand="0" w:firstRowFirstColumn="0" w:firstRowLastColumn="0" w:lastRowFirstColumn="0" w:lastRowLastColumn="0"/>
              <w:rPr>
                <w:rFonts w:eastAsia="Times New Roman"/>
                <w:sz w:val="22"/>
                <w:lang w:eastAsia="lv-LV"/>
              </w:rPr>
            </w:pPr>
            <w:r w:rsidRPr="004646D1">
              <w:rPr>
                <w:rFonts w:eastAsia="Times New Roman"/>
                <w:sz w:val="22"/>
                <w:lang w:eastAsia="lv-LV"/>
              </w:rPr>
              <w:t>21,0</w:t>
            </w:r>
          </w:p>
        </w:tc>
        <w:tc>
          <w:tcPr>
            <w:tcW w:w="991" w:type="dxa"/>
            <w:tcBorders>
              <w:top w:val="single" w:sz="4" w:space="0" w:color="538135" w:themeColor="accent6" w:themeShade="BF"/>
              <w:right w:val="single" w:sz="4" w:space="0" w:color="538135" w:themeColor="accent6" w:themeShade="BF"/>
            </w:tcBorders>
            <w:noWrap/>
            <w:vAlign w:val="center"/>
            <w:hideMark/>
          </w:tcPr>
          <w:p w14:paraId="055276B4" w14:textId="77777777" w:rsidR="0003594B" w:rsidRPr="004646D1" w:rsidRDefault="0003594B" w:rsidP="00B32973">
            <w:pPr>
              <w:jc w:val="right"/>
              <w:cnfStyle w:val="000000100000" w:firstRow="0" w:lastRow="0" w:firstColumn="0" w:lastColumn="0" w:oddVBand="0" w:evenVBand="0" w:oddHBand="1" w:evenHBand="0" w:firstRowFirstColumn="0" w:firstRowLastColumn="0" w:lastRowFirstColumn="0" w:lastRowLastColumn="0"/>
              <w:rPr>
                <w:rFonts w:eastAsia="Times New Roman"/>
                <w:sz w:val="22"/>
                <w:lang w:eastAsia="lv-LV"/>
              </w:rPr>
            </w:pPr>
            <w:r w:rsidRPr="004646D1">
              <w:rPr>
                <w:rFonts w:eastAsia="Times New Roman"/>
                <w:sz w:val="22"/>
                <w:lang w:eastAsia="lv-LV"/>
              </w:rPr>
              <w:t>29%</w:t>
            </w:r>
          </w:p>
        </w:tc>
      </w:tr>
      <w:tr w:rsidR="004646D1" w:rsidRPr="004646D1" w14:paraId="19E1C9E4" w14:textId="77777777" w:rsidTr="004646D1">
        <w:trPr>
          <w:trHeight w:val="540"/>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538135" w:themeColor="accent6" w:themeShade="BF"/>
            </w:tcBorders>
            <w:hideMark/>
          </w:tcPr>
          <w:p w14:paraId="747ADE23" w14:textId="77777777" w:rsidR="0003594B" w:rsidRPr="004646D1" w:rsidRDefault="0003594B" w:rsidP="00B32973">
            <w:pPr>
              <w:rPr>
                <w:rFonts w:eastAsia="Times New Roman"/>
                <w:b w:val="0"/>
                <w:bCs w:val="0"/>
                <w:sz w:val="22"/>
                <w:lang w:eastAsia="lv-LV"/>
              </w:rPr>
            </w:pPr>
            <w:r w:rsidRPr="004646D1">
              <w:rPr>
                <w:rFonts w:eastAsia="Times New Roman"/>
                <w:b w:val="0"/>
                <w:bCs w:val="0"/>
                <w:sz w:val="22"/>
                <w:lang w:eastAsia="lv-LV"/>
              </w:rPr>
              <w:t xml:space="preserve">Aprēķinātais siltumnīcefekta gāzu samazinājums gadā, CO2 </w:t>
            </w:r>
            <w:proofErr w:type="spellStart"/>
            <w:r w:rsidRPr="004646D1">
              <w:rPr>
                <w:rFonts w:eastAsia="Times New Roman"/>
                <w:b w:val="0"/>
                <w:bCs w:val="0"/>
                <w:sz w:val="22"/>
                <w:lang w:eastAsia="lv-LV"/>
              </w:rPr>
              <w:t>ekviv</w:t>
            </w:r>
            <w:proofErr w:type="spellEnd"/>
            <w:r w:rsidRPr="004646D1">
              <w:rPr>
                <w:rFonts w:eastAsia="Times New Roman"/>
                <w:b w:val="0"/>
                <w:bCs w:val="0"/>
                <w:sz w:val="22"/>
                <w:lang w:eastAsia="lv-LV"/>
              </w:rPr>
              <w:t>. t gadā</w:t>
            </w:r>
          </w:p>
        </w:tc>
        <w:tc>
          <w:tcPr>
            <w:tcW w:w="1134" w:type="dxa"/>
            <w:noWrap/>
            <w:vAlign w:val="center"/>
            <w:hideMark/>
          </w:tcPr>
          <w:p w14:paraId="28A8DE1A" w14:textId="77777777" w:rsidR="0003594B" w:rsidRPr="004646D1" w:rsidRDefault="0003594B" w:rsidP="00B32973">
            <w:pPr>
              <w:jc w:val="right"/>
              <w:cnfStyle w:val="000000000000" w:firstRow="0" w:lastRow="0" w:firstColumn="0" w:lastColumn="0" w:oddVBand="0" w:evenVBand="0" w:oddHBand="0" w:evenHBand="0" w:firstRowFirstColumn="0" w:firstRowLastColumn="0" w:lastRowFirstColumn="0" w:lastRowLastColumn="0"/>
              <w:rPr>
                <w:rFonts w:eastAsia="Times New Roman"/>
                <w:sz w:val="22"/>
                <w:lang w:eastAsia="lv-LV"/>
              </w:rPr>
            </w:pPr>
            <w:r w:rsidRPr="004646D1">
              <w:rPr>
                <w:rFonts w:eastAsia="Times New Roman"/>
                <w:sz w:val="22"/>
                <w:lang w:eastAsia="lv-LV"/>
              </w:rPr>
              <w:t>513 884</w:t>
            </w:r>
          </w:p>
        </w:tc>
        <w:tc>
          <w:tcPr>
            <w:tcW w:w="1418" w:type="dxa"/>
            <w:noWrap/>
            <w:vAlign w:val="center"/>
            <w:hideMark/>
          </w:tcPr>
          <w:p w14:paraId="715D48CF" w14:textId="77777777" w:rsidR="0003594B" w:rsidRPr="004646D1" w:rsidRDefault="0003594B" w:rsidP="00B32973">
            <w:pPr>
              <w:jc w:val="right"/>
              <w:cnfStyle w:val="000000000000" w:firstRow="0" w:lastRow="0" w:firstColumn="0" w:lastColumn="0" w:oddVBand="0" w:evenVBand="0" w:oddHBand="0" w:evenHBand="0" w:firstRowFirstColumn="0" w:firstRowLastColumn="0" w:lastRowFirstColumn="0" w:lastRowLastColumn="0"/>
              <w:rPr>
                <w:rFonts w:eastAsia="Times New Roman"/>
                <w:sz w:val="22"/>
                <w:lang w:eastAsia="lv-LV"/>
              </w:rPr>
            </w:pPr>
            <w:r w:rsidRPr="004646D1">
              <w:rPr>
                <w:rFonts w:eastAsia="Times New Roman"/>
                <w:sz w:val="22"/>
                <w:lang w:eastAsia="lv-LV"/>
              </w:rPr>
              <w:t>156 488</w:t>
            </w:r>
          </w:p>
        </w:tc>
        <w:tc>
          <w:tcPr>
            <w:tcW w:w="991" w:type="dxa"/>
            <w:tcBorders>
              <w:right w:val="single" w:sz="4" w:space="0" w:color="538135" w:themeColor="accent6" w:themeShade="BF"/>
            </w:tcBorders>
            <w:noWrap/>
            <w:vAlign w:val="center"/>
            <w:hideMark/>
          </w:tcPr>
          <w:p w14:paraId="22BF2456" w14:textId="77777777" w:rsidR="0003594B" w:rsidRPr="004646D1" w:rsidRDefault="0003594B" w:rsidP="00B32973">
            <w:pPr>
              <w:jc w:val="right"/>
              <w:cnfStyle w:val="000000000000" w:firstRow="0" w:lastRow="0" w:firstColumn="0" w:lastColumn="0" w:oddVBand="0" w:evenVBand="0" w:oddHBand="0" w:evenHBand="0" w:firstRowFirstColumn="0" w:firstRowLastColumn="0" w:lastRowFirstColumn="0" w:lastRowLastColumn="0"/>
              <w:rPr>
                <w:rFonts w:eastAsia="Times New Roman"/>
                <w:sz w:val="22"/>
                <w:lang w:eastAsia="lv-LV"/>
              </w:rPr>
            </w:pPr>
            <w:r w:rsidRPr="004646D1">
              <w:rPr>
                <w:rFonts w:eastAsia="Times New Roman"/>
                <w:sz w:val="22"/>
                <w:lang w:eastAsia="lv-LV"/>
              </w:rPr>
              <w:t>30%</w:t>
            </w:r>
          </w:p>
        </w:tc>
      </w:tr>
      <w:tr w:rsidR="004646D1" w:rsidRPr="004646D1" w14:paraId="73E2DA6D" w14:textId="77777777" w:rsidTr="004646D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538135" w:themeColor="accent6" w:themeShade="BF"/>
            </w:tcBorders>
            <w:hideMark/>
          </w:tcPr>
          <w:p w14:paraId="060AF0B8" w14:textId="77777777" w:rsidR="0003594B" w:rsidRPr="004646D1" w:rsidRDefault="0003594B" w:rsidP="00B32973">
            <w:pPr>
              <w:rPr>
                <w:rFonts w:eastAsia="Times New Roman"/>
                <w:b w:val="0"/>
                <w:bCs w:val="0"/>
                <w:sz w:val="22"/>
                <w:lang w:eastAsia="lv-LV"/>
              </w:rPr>
            </w:pPr>
            <w:r w:rsidRPr="004646D1">
              <w:rPr>
                <w:rFonts w:eastAsia="Times New Roman"/>
                <w:b w:val="0"/>
                <w:bCs w:val="0"/>
                <w:sz w:val="22"/>
                <w:lang w:eastAsia="lv-LV"/>
              </w:rPr>
              <w:t>Enerģijas ietaupījums, MWh/gadā</w:t>
            </w:r>
          </w:p>
        </w:tc>
        <w:tc>
          <w:tcPr>
            <w:tcW w:w="1134" w:type="dxa"/>
            <w:noWrap/>
            <w:vAlign w:val="center"/>
            <w:hideMark/>
          </w:tcPr>
          <w:p w14:paraId="6CC181DB" w14:textId="77777777" w:rsidR="0003594B" w:rsidRPr="004646D1" w:rsidRDefault="0003594B" w:rsidP="00B32973">
            <w:pPr>
              <w:jc w:val="right"/>
              <w:cnfStyle w:val="000000100000" w:firstRow="0" w:lastRow="0" w:firstColumn="0" w:lastColumn="0" w:oddVBand="0" w:evenVBand="0" w:oddHBand="1" w:evenHBand="0" w:firstRowFirstColumn="0" w:firstRowLastColumn="0" w:lastRowFirstColumn="0" w:lastRowLastColumn="0"/>
              <w:rPr>
                <w:rFonts w:eastAsia="Times New Roman"/>
                <w:sz w:val="22"/>
                <w:lang w:eastAsia="lv-LV"/>
              </w:rPr>
            </w:pPr>
            <w:r w:rsidRPr="004646D1">
              <w:rPr>
                <w:rFonts w:eastAsia="Times New Roman"/>
                <w:sz w:val="22"/>
                <w:lang w:eastAsia="lv-LV"/>
              </w:rPr>
              <w:t>202 288</w:t>
            </w:r>
          </w:p>
        </w:tc>
        <w:tc>
          <w:tcPr>
            <w:tcW w:w="1418" w:type="dxa"/>
            <w:noWrap/>
            <w:vAlign w:val="center"/>
            <w:hideMark/>
          </w:tcPr>
          <w:p w14:paraId="569FA58B" w14:textId="77777777" w:rsidR="0003594B" w:rsidRPr="004646D1" w:rsidRDefault="0003594B" w:rsidP="00B32973">
            <w:pPr>
              <w:jc w:val="right"/>
              <w:cnfStyle w:val="000000100000" w:firstRow="0" w:lastRow="0" w:firstColumn="0" w:lastColumn="0" w:oddVBand="0" w:evenVBand="0" w:oddHBand="1" w:evenHBand="0" w:firstRowFirstColumn="0" w:firstRowLastColumn="0" w:lastRowFirstColumn="0" w:lastRowLastColumn="0"/>
              <w:rPr>
                <w:rFonts w:eastAsia="Times New Roman"/>
                <w:sz w:val="22"/>
                <w:lang w:eastAsia="lv-LV"/>
              </w:rPr>
            </w:pPr>
            <w:r w:rsidRPr="004646D1">
              <w:rPr>
                <w:rFonts w:eastAsia="Times New Roman"/>
                <w:sz w:val="22"/>
                <w:lang w:eastAsia="lv-LV"/>
              </w:rPr>
              <w:t>179 547</w:t>
            </w:r>
          </w:p>
        </w:tc>
        <w:tc>
          <w:tcPr>
            <w:tcW w:w="991" w:type="dxa"/>
            <w:tcBorders>
              <w:right w:val="single" w:sz="4" w:space="0" w:color="538135" w:themeColor="accent6" w:themeShade="BF"/>
            </w:tcBorders>
            <w:noWrap/>
            <w:vAlign w:val="center"/>
            <w:hideMark/>
          </w:tcPr>
          <w:p w14:paraId="459EB06B" w14:textId="77777777" w:rsidR="0003594B" w:rsidRPr="004646D1" w:rsidRDefault="0003594B" w:rsidP="00B32973">
            <w:pPr>
              <w:jc w:val="right"/>
              <w:cnfStyle w:val="000000100000" w:firstRow="0" w:lastRow="0" w:firstColumn="0" w:lastColumn="0" w:oddVBand="0" w:evenVBand="0" w:oddHBand="1" w:evenHBand="0" w:firstRowFirstColumn="0" w:firstRowLastColumn="0" w:lastRowFirstColumn="0" w:lastRowLastColumn="0"/>
              <w:rPr>
                <w:rFonts w:eastAsia="Times New Roman"/>
                <w:sz w:val="22"/>
                <w:lang w:eastAsia="lv-LV"/>
              </w:rPr>
            </w:pPr>
            <w:r w:rsidRPr="004646D1">
              <w:rPr>
                <w:rFonts w:eastAsia="Times New Roman"/>
                <w:sz w:val="22"/>
                <w:lang w:eastAsia="lv-LV"/>
              </w:rPr>
              <w:t>89%</w:t>
            </w:r>
          </w:p>
        </w:tc>
      </w:tr>
      <w:tr w:rsidR="004646D1" w:rsidRPr="004646D1" w14:paraId="4B3BEB10" w14:textId="77777777" w:rsidTr="004646D1">
        <w:trPr>
          <w:trHeight w:val="288"/>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538135" w:themeColor="accent6" w:themeShade="BF"/>
            </w:tcBorders>
            <w:noWrap/>
            <w:hideMark/>
          </w:tcPr>
          <w:p w14:paraId="60E27477" w14:textId="77777777" w:rsidR="0003594B" w:rsidRPr="004646D1" w:rsidRDefault="0003594B" w:rsidP="00B32973">
            <w:pPr>
              <w:rPr>
                <w:rFonts w:eastAsia="Times New Roman"/>
                <w:b w:val="0"/>
                <w:bCs w:val="0"/>
                <w:color w:val="000000"/>
                <w:sz w:val="22"/>
                <w:lang w:eastAsia="lv-LV"/>
              </w:rPr>
            </w:pPr>
            <w:r w:rsidRPr="004646D1">
              <w:rPr>
                <w:rFonts w:eastAsia="Times New Roman"/>
                <w:b w:val="0"/>
                <w:bCs w:val="0"/>
                <w:color w:val="000000"/>
                <w:sz w:val="22"/>
                <w:lang w:eastAsia="lv-LV"/>
              </w:rPr>
              <w:t xml:space="preserve">Uzstādītās elektrotransportlīdzekļu uzlādes stacijas </w:t>
            </w:r>
          </w:p>
        </w:tc>
        <w:tc>
          <w:tcPr>
            <w:tcW w:w="1134" w:type="dxa"/>
            <w:noWrap/>
            <w:vAlign w:val="center"/>
            <w:hideMark/>
          </w:tcPr>
          <w:p w14:paraId="6A9AF695" w14:textId="77777777" w:rsidR="0003594B" w:rsidRPr="004646D1" w:rsidRDefault="0003594B" w:rsidP="00B3297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lang w:eastAsia="lv-LV"/>
              </w:rPr>
            </w:pPr>
            <w:r w:rsidRPr="004646D1">
              <w:rPr>
                <w:rFonts w:eastAsia="Times New Roman"/>
                <w:color w:val="000000"/>
                <w:sz w:val="22"/>
                <w:lang w:eastAsia="lv-LV"/>
              </w:rPr>
              <w:t>139</w:t>
            </w:r>
          </w:p>
        </w:tc>
        <w:tc>
          <w:tcPr>
            <w:tcW w:w="1418" w:type="dxa"/>
            <w:noWrap/>
            <w:vAlign w:val="center"/>
            <w:hideMark/>
          </w:tcPr>
          <w:p w14:paraId="55F2ADE9" w14:textId="77777777" w:rsidR="0003594B" w:rsidRPr="004646D1" w:rsidRDefault="0003594B" w:rsidP="00B3297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lang w:eastAsia="lv-LV"/>
              </w:rPr>
            </w:pPr>
            <w:r w:rsidRPr="004646D1">
              <w:rPr>
                <w:rFonts w:eastAsia="Times New Roman"/>
                <w:color w:val="000000"/>
                <w:sz w:val="22"/>
                <w:lang w:eastAsia="lv-LV"/>
              </w:rPr>
              <w:t>139</w:t>
            </w:r>
          </w:p>
        </w:tc>
        <w:tc>
          <w:tcPr>
            <w:tcW w:w="991" w:type="dxa"/>
            <w:tcBorders>
              <w:right w:val="single" w:sz="4" w:space="0" w:color="538135" w:themeColor="accent6" w:themeShade="BF"/>
            </w:tcBorders>
            <w:noWrap/>
            <w:vAlign w:val="center"/>
            <w:hideMark/>
          </w:tcPr>
          <w:p w14:paraId="5A06A02E" w14:textId="77777777" w:rsidR="0003594B" w:rsidRPr="004646D1" w:rsidRDefault="0003594B" w:rsidP="00B32973">
            <w:pPr>
              <w:jc w:val="right"/>
              <w:cnfStyle w:val="000000000000" w:firstRow="0" w:lastRow="0" w:firstColumn="0" w:lastColumn="0" w:oddVBand="0" w:evenVBand="0" w:oddHBand="0" w:evenHBand="0" w:firstRowFirstColumn="0" w:firstRowLastColumn="0" w:lastRowFirstColumn="0" w:lastRowLastColumn="0"/>
              <w:rPr>
                <w:rFonts w:eastAsia="Times New Roman"/>
                <w:sz w:val="22"/>
                <w:lang w:eastAsia="lv-LV"/>
              </w:rPr>
            </w:pPr>
            <w:r w:rsidRPr="004646D1">
              <w:rPr>
                <w:rFonts w:eastAsia="Times New Roman"/>
                <w:sz w:val="22"/>
                <w:lang w:eastAsia="lv-LV"/>
              </w:rPr>
              <w:t>100%</w:t>
            </w:r>
          </w:p>
        </w:tc>
      </w:tr>
      <w:tr w:rsidR="004646D1" w:rsidRPr="004646D1" w14:paraId="46C42EEA" w14:textId="77777777" w:rsidTr="004646D1">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538135" w:themeColor="accent6" w:themeShade="BF"/>
            </w:tcBorders>
            <w:hideMark/>
          </w:tcPr>
          <w:p w14:paraId="54B5A34C" w14:textId="77777777" w:rsidR="0003594B" w:rsidRPr="004646D1" w:rsidRDefault="0003594B" w:rsidP="00B32973">
            <w:pPr>
              <w:rPr>
                <w:rFonts w:eastAsia="Times New Roman"/>
                <w:b w:val="0"/>
                <w:bCs w:val="0"/>
                <w:color w:val="000000"/>
                <w:sz w:val="22"/>
                <w:lang w:eastAsia="lv-LV"/>
              </w:rPr>
            </w:pPr>
            <w:r w:rsidRPr="004646D1">
              <w:rPr>
                <w:rFonts w:eastAsia="Times New Roman"/>
                <w:b w:val="0"/>
                <w:bCs w:val="0"/>
                <w:color w:val="000000"/>
                <w:sz w:val="22"/>
                <w:lang w:eastAsia="lv-LV"/>
              </w:rPr>
              <w:t>Siltumenerģijas zudumu samazinājums rekonstruētajos vai izbūvētajos siltumtīklos, MWh/gadā</w:t>
            </w:r>
          </w:p>
        </w:tc>
        <w:tc>
          <w:tcPr>
            <w:tcW w:w="1134" w:type="dxa"/>
            <w:noWrap/>
            <w:vAlign w:val="center"/>
            <w:hideMark/>
          </w:tcPr>
          <w:p w14:paraId="57467652" w14:textId="77777777" w:rsidR="0003594B" w:rsidRPr="004646D1" w:rsidRDefault="0003594B" w:rsidP="00B32973">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lang w:eastAsia="lv-LV"/>
              </w:rPr>
            </w:pPr>
            <w:r w:rsidRPr="004646D1">
              <w:rPr>
                <w:rFonts w:eastAsia="Times New Roman"/>
                <w:color w:val="000000"/>
                <w:sz w:val="22"/>
                <w:lang w:eastAsia="lv-LV"/>
              </w:rPr>
              <w:t>47086</w:t>
            </w:r>
          </w:p>
        </w:tc>
        <w:tc>
          <w:tcPr>
            <w:tcW w:w="1418" w:type="dxa"/>
            <w:noWrap/>
            <w:vAlign w:val="center"/>
            <w:hideMark/>
          </w:tcPr>
          <w:p w14:paraId="45360E37" w14:textId="77777777" w:rsidR="0003594B" w:rsidRPr="004646D1" w:rsidRDefault="0003594B" w:rsidP="00B32973">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lang w:eastAsia="lv-LV"/>
              </w:rPr>
            </w:pPr>
            <w:r w:rsidRPr="004646D1">
              <w:rPr>
                <w:rFonts w:eastAsia="Times New Roman"/>
                <w:color w:val="000000"/>
                <w:sz w:val="22"/>
                <w:lang w:eastAsia="lv-LV"/>
              </w:rPr>
              <w:t>37513,68</w:t>
            </w:r>
          </w:p>
        </w:tc>
        <w:tc>
          <w:tcPr>
            <w:tcW w:w="991" w:type="dxa"/>
            <w:tcBorders>
              <w:right w:val="single" w:sz="4" w:space="0" w:color="538135" w:themeColor="accent6" w:themeShade="BF"/>
            </w:tcBorders>
            <w:noWrap/>
            <w:vAlign w:val="center"/>
            <w:hideMark/>
          </w:tcPr>
          <w:p w14:paraId="45CC396F" w14:textId="77777777" w:rsidR="0003594B" w:rsidRPr="004646D1" w:rsidRDefault="0003594B" w:rsidP="00B32973">
            <w:pPr>
              <w:jc w:val="right"/>
              <w:cnfStyle w:val="000000100000" w:firstRow="0" w:lastRow="0" w:firstColumn="0" w:lastColumn="0" w:oddVBand="0" w:evenVBand="0" w:oddHBand="1" w:evenHBand="0" w:firstRowFirstColumn="0" w:firstRowLastColumn="0" w:lastRowFirstColumn="0" w:lastRowLastColumn="0"/>
              <w:rPr>
                <w:rFonts w:eastAsia="Times New Roman"/>
                <w:sz w:val="22"/>
                <w:lang w:eastAsia="lv-LV"/>
              </w:rPr>
            </w:pPr>
            <w:r w:rsidRPr="004646D1">
              <w:rPr>
                <w:rFonts w:eastAsia="Times New Roman"/>
                <w:sz w:val="22"/>
                <w:lang w:eastAsia="lv-LV"/>
              </w:rPr>
              <w:t>80%</w:t>
            </w:r>
          </w:p>
        </w:tc>
      </w:tr>
      <w:tr w:rsidR="004646D1" w:rsidRPr="004646D1" w14:paraId="7BEEE395" w14:textId="77777777" w:rsidTr="004646D1">
        <w:trPr>
          <w:trHeight w:val="288"/>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538135" w:themeColor="accent6" w:themeShade="BF"/>
            </w:tcBorders>
            <w:hideMark/>
          </w:tcPr>
          <w:p w14:paraId="6F48ADCF" w14:textId="77777777" w:rsidR="0003594B" w:rsidRPr="004646D1" w:rsidRDefault="0003594B" w:rsidP="00B32973">
            <w:pPr>
              <w:rPr>
                <w:rFonts w:eastAsia="Times New Roman"/>
                <w:b w:val="0"/>
                <w:bCs w:val="0"/>
                <w:color w:val="000000"/>
                <w:sz w:val="22"/>
                <w:lang w:eastAsia="lv-LV"/>
              </w:rPr>
            </w:pPr>
            <w:r w:rsidRPr="004646D1">
              <w:rPr>
                <w:rFonts w:eastAsia="Times New Roman"/>
                <w:b w:val="0"/>
                <w:bCs w:val="0"/>
                <w:color w:val="000000"/>
                <w:sz w:val="22"/>
                <w:lang w:eastAsia="lv-LV"/>
              </w:rPr>
              <w:t>Rekonstruētie vai izbūvētie siltumtīkli, km</w:t>
            </w:r>
          </w:p>
        </w:tc>
        <w:tc>
          <w:tcPr>
            <w:tcW w:w="1134" w:type="dxa"/>
            <w:noWrap/>
            <w:vAlign w:val="center"/>
            <w:hideMark/>
          </w:tcPr>
          <w:p w14:paraId="5240C021" w14:textId="77777777" w:rsidR="0003594B" w:rsidRPr="004646D1" w:rsidRDefault="0003594B" w:rsidP="00B3297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lang w:eastAsia="lv-LV"/>
              </w:rPr>
            </w:pPr>
            <w:r w:rsidRPr="004646D1">
              <w:rPr>
                <w:rFonts w:eastAsia="Times New Roman"/>
                <w:color w:val="000000"/>
                <w:sz w:val="22"/>
                <w:lang w:eastAsia="lv-LV"/>
              </w:rPr>
              <w:t>61</w:t>
            </w:r>
          </w:p>
        </w:tc>
        <w:tc>
          <w:tcPr>
            <w:tcW w:w="1418" w:type="dxa"/>
            <w:noWrap/>
            <w:vAlign w:val="center"/>
            <w:hideMark/>
          </w:tcPr>
          <w:p w14:paraId="19179B6A" w14:textId="77777777" w:rsidR="0003594B" w:rsidRPr="004646D1" w:rsidRDefault="0003594B" w:rsidP="00B3297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lang w:eastAsia="lv-LV"/>
              </w:rPr>
            </w:pPr>
            <w:r w:rsidRPr="004646D1">
              <w:rPr>
                <w:rFonts w:eastAsia="Times New Roman"/>
                <w:color w:val="000000"/>
                <w:sz w:val="22"/>
                <w:lang w:eastAsia="lv-LV"/>
              </w:rPr>
              <w:t>53,93</w:t>
            </w:r>
          </w:p>
        </w:tc>
        <w:tc>
          <w:tcPr>
            <w:tcW w:w="991" w:type="dxa"/>
            <w:tcBorders>
              <w:right w:val="single" w:sz="4" w:space="0" w:color="538135" w:themeColor="accent6" w:themeShade="BF"/>
            </w:tcBorders>
            <w:noWrap/>
            <w:vAlign w:val="center"/>
            <w:hideMark/>
          </w:tcPr>
          <w:p w14:paraId="39B1FACA" w14:textId="77777777" w:rsidR="0003594B" w:rsidRPr="004646D1" w:rsidRDefault="0003594B" w:rsidP="00B32973">
            <w:pPr>
              <w:jc w:val="right"/>
              <w:cnfStyle w:val="000000000000" w:firstRow="0" w:lastRow="0" w:firstColumn="0" w:lastColumn="0" w:oddVBand="0" w:evenVBand="0" w:oddHBand="0" w:evenHBand="0" w:firstRowFirstColumn="0" w:firstRowLastColumn="0" w:lastRowFirstColumn="0" w:lastRowLastColumn="0"/>
              <w:rPr>
                <w:rFonts w:eastAsia="Times New Roman"/>
                <w:sz w:val="22"/>
                <w:lang w:eastAsia="lv-LV"/>
              </w:rPr>
            </w:pPr>
            <w:r w:rsidRPr="004646D1">
              <w:rPr>
                <w:rFonts w:eastAsia="Times New Roman"/>
                <w:sz w:val="22"/>
                <w:lang w:eastAsia="lv-LV"/>
              </w:rPr>
              <w:t>88%</w:t>
            </w:r>
          </w:p>
        </w:tc>
      </w:tr>
      <w:tr w:rsidR="004646D1" w:rsidRPr="004646D1" w14:paraId="07C191CE" w14:textId="77777777" w:rsidTr="004646D1">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538135" w:themeColor="accent6" w:themeShade="BF"/>
            </w:tcBorders>
            <w:hideMark/>
          </w:tcPr>
          <w:p w14:paraId="169DC0EB" w14:textId="77777777" w:rsidR="0003594B" w:rsidRPr="004646D1" w:rsidRDefault="0003594B" w:rsidP="00B32973">
            <w:pPr>
              <w:rPr>
                <w:rFonts w:eastAsia="Times New Roman"/>
                <w:b w:val="0"/>
                <w:bCs w:val="0"/>
                <w:color w:val="000000"/>
                <w:sz w:val="22"/>
                <w:lang w:eastAsia="lv-LV"/>
              </w:rPr>
            </w:pPr>
            <w:r w:rsidRPr="004646D1">
              <w:rPr>
                <w:rFonts w:eastAsia="Times New Roman"/>
                <w:b w:val="0"/>
                <w:bCs w:val="0"/>
                <w:color w:val="000000"/>
                <w:sz w:val="22"/>
                <w:lang w:eastAsia="lv-LV"/>
              </w:rPr>
              <w:t xml:space="preserve">AER izmantojošu </w:t>
            </w:r>
            <w:proofErr w:type="spellStart"/>
            <w:r w:rsidRPr="004646D1">
              <w:rPr>
                <w:rFonts w:eastAsia="Times New Roman"/>
                <w:b w:val="0"/>
                <w:bCs w:val="0"/>
                <w:color w:val="000000"/>
                <w:sz w:val="22"/>
                <w:lang w:eastAsia="lv-LV"/>
              </w:rPr>
              <w:t>siltumražošanas</w:t>
            </w:r>
            <w:proofErr w:type="spellEnd"/>
            <w:r w:rsidRPr="004646D1">
              <w:rPr>
                <w:rFonts w:eastAsia="Times New Roman"/>
                <w:b w:val="0"/>
                <w:bCs w:val="0"/>
                <w:color w:val="000000"/>
                <w:sz w:val="22"/>
                <w:lang w:eastAsia="lv-LV"/>
              </w:rPr>
              <w:t xml:space="preserve"> jaudu modernizācija un pieaugums centralizētajā siltumapgādē, MW</w:t>
            </w:r>
          </w:p>
        </w:tc>
        <w:tc>
          <w:tcPr>
            <w:tcW w:w="1134" w:type="dxa"/>
            <w:noWrap/>
            <w:vAlign w:val="center"/>
            <w:hideMark/>
          </w:tcPr>
          <w:p w14:paraId="3CFEBF87" w14:textId="77777777" w:rsidR="0003594B" w:rsidRPr="004646D1" w:rsidRDefault="0003594B" w:rsidP="00B32973">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lang w:eastAsia="lv-LV"/>
              </w:rPr>
            </w:pPr>
            <w:r w:rsidRPr="004646D1">
              <w:rPr>
                <w:rFonts w:eastAsia="Times New Roman"/>
                <w:color w:val="000000"/>
                <w:sz w:val="22"/>
                <w:lang w:eastAsia="lv-LV"/>
              </w:rPr>
              <w:t>365</w:t>
            </w:r>
          </w:p>
        </w:tc>
        <w:tc>
          <w:tcPr>
            <w:tcW w:w="1418" w:type="dxa"/>
            <w:noWrap/>
            <w:vAlign w:val="center"/>
            <w:hideMark/>
          </w:tcPr>
          <w:p w14:paraId="140674D0" w14:textId="77777777" w:rsidR="0003594B" w:rsidRPr="004646D1" w:rsidRDefault="0003594B" w:rsidP="00B32973">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lang w:eastAsia="lv-LV"/>
              </w:rPr>
            </w:pPr>
            <w:r w:rsidRPr="004646D1">
              <w:rPr>
                <w:rFonts w:eastAsia="Times New Roman"/>
                <w:color w:val="000000"/>
                <w:sz w:val="22"/>
                <w:lang w:eastAsia="lv-LV"/>
              </w:rPr>
              <w:t>176,21</w:t>
            </w:r>
          </w:p>
        </w:tc>
        <w:tc>
          <w:tcPr>
            <w:tcW w:w="991" w:type="dxa"/>
            <w:tcBorders>
              <w:right w:val="single" w:sz="4" w:space="0" w:color="538135" w:themeColor="accent6" w:themeShade="BF"/>
            </w:tcBorders>
            <w:noWrap/>
            <w:vAlign w:val="center"/>
            <w:hideMark/>
          </w:tcPr>
          <w:p w14:paraId="56BC1013" w14:textId="77777777" w:rsidR="0003594B" w:rsidRPr="004646D1" w:rsidRDefault="0003594B" w:rsidP="00B32973">
            <w:pPr>
              <w:jc w:val="right"/>
              <w:cnfStyle w:val="000000100000" w:firstRow="0" w:lastRow="0" w:firstColumn="0" w:lastColumn="0" w:oddVBand="0" w:evenVBand="0" w:oddHBand="1" w:evenHBand="0" w:firstRowFirstColumn="0" w:firstRowLastColumn="0" w:lastRowFirstColumn="0" w:lastRowLastColumn="0"/>
              <w:rPr>
                <w:rFonts w:eastAsia="Times New Roman"/>
                <w:sz w:val="22"/>
                <w:lang w:eastAsia="lv-LV"/>
              </w:rPr>
            </w:pPr>
            <w:r w:rsidRPr="004646D1">
              <w:rPr>
                <w:rFonts w:eastAsia="Times New Roman"/>
                <w:sz w:val="22"/>
                <w:lang w:eastAsia="lv-LV"/>
              </w:rPr>
              <w:t>48%</w:t>
            </w:r>
          </w:p>
        </w:tc>
      </w:tr>
      <w:tr w:rsidR="004646D1" w:rsidRPr="004646D1" w14:paraId="1AF40F1A" w14:textId="77777777" w:rsidTr="004646D1">
        <w:trPr>
          <w:trHeight w:val="288"/>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538135" w:themeColor="accent6" w:themeShade="BF"/>
            </w:tcBorders>
            <w:hideMark/>
          </w:tcPr>
          <w:p w14:paraId="28034AB4" w14:textId="77777777" w:rsidR="0003594B" w:rsidRPr="004646D1" w:rsidRDefault="0003594B" w:rsidP="00B32973">
            <w:pPr>
              <w:rPr>
                <w:rFonts w:eastAsia="Times New Roman"/>
                <w:b w:val="0"/>
                <w:bCs w:val="0"/>
                <w:color w:val="000000"/>
                <w:sz w:val="22"/>
                <w:lang w:eastAsia="lv-LV"/>
              </w:rPr>
            </w:pPr>
            <w:r w:rsidRPr="004646D1">
              <w:rPr>
                <w:rFonts w:eastAsia="Times New Roman"/>
                <w:b w:val="0"/>
                <w:bCs w:val="0"/>
                <w:color w:val="000000"/>
                <w:sz w:val="22"/>
                <w:lang w:eastAsia="lv-LV"/>
              </w:rPr>
              <w:t>Mājsaimniecību skaits ar uzlabotu enerģijas patēriņa klasifikāciju</w:t>
            </w:r>
          </w:p>
        </w:tc>
        <w:tc>
          <w:tcPr>
            <w:tcW w:w="1134" w:type="dxa"/>
            <w:noWrap/>
            <w:vAlign w:val="center"/>
            <w:hideMark/>
          </w:tcPr>
          <w:p w14:paraId="21559E14" w14:textId="77777777" w:rsidR="0003594B" w:rsidRPr="004646D1" w:rsidRDefault="0003594B" w:rsidP="00B3297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lang w:eastAsia="lv-LV"/>
              </w:rPr>
            </w:pPr>
            <w:r w:rsidRPr="004646D1">
              <w:rPr>
                <w:rFonts w:eastAsia="Times New Roman"/>
                <w:color w:val="000000"/>
                <w:sz w:val="22"/>
                <w:lang w:eastAsia="lv-LV"/>
              </w:rPr>
              <w:t>16186</w:t>
            </w:r>
          </w:p>
        </w:tc>
        <w:tc>
          <w:tcPr>
            <w:tcW w:w="1418" w:type="dxa"/>
            <w:noWrap/>
            <w:vAlign w:val="center"/>
            <w:hideMark/>
          </w:tcPr>
          <w:p w14:paraId="6C9E3211" w14:textId="77777777" w:rsidR="0003594B" w:rsidRPr="004646D1" w:rsidRDefault="0003594B" w:rsidP="00B3297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lang w:eastAsia="lv-LV"/>
              </w:rPr>
            </w:pPr>
            <w:r w:rsidRPr="004646D1">
              <w:rPr>
                <w:rFonts w:eastAsia="Times New Roman"/>
                <w:color w:val="000000"/>
                <w:sz w:val="22"/>
                <w:lang w:eastAsia="lv-LV"/>
              </w:rPr>
              <w:t>10235</w:t>
            </w:r>
          </w:p>
        </w:tc>
        <w:tc>
          <w:tcPr>
            <w:tcW w:w="991" w:type="dxa"/>
            <w:tcBorders>
              <w:right w:val="single" w:sz="4" w:space="0" w:color="538135" w:themeColor="accent6" w:themeShade="BF"/>
            </w:tcBorders>
            <w:noWrap/>
            <w:vAlign w:val="center"/>
            <w:hideMark/>
          </w:tcPr>
          <w:p w14:paraId="0BF396FD" w14:textId="77777777" w:rsidR="0003594B" w:rsidRPr="004646D1" w:rsidRDefault="0003594B" w:rsidP="00B32973">
            <w:pPr>
              <w:jc w:val="right"/>
              <w:cnfStyle w:val="000000000000" w:firstRow="0" w:lastRow="0" w:firstColumn="0" w:lastColumn="0" w:oddVBand="0" w:evenVBand="0" w:oddHBand="0" w:evenHBand="0" w:firstRowFirstColumn="0" w:firstRowLastColumn="0" w:lastRowFirstColumn="0" w:lastRowLastColumn="0"/>
              <w:rPr>
                <w:rFonts w:eastAsia="Times New Roman"/>
                <w:sz w:val="22"/>
                <w:lang w:eastAsia="lv-LV"/>
              </w:rPr>
            </w:pPr>
            <w:r w:rsidRPr="004646D1">
              <w:rPr>
                <w:rFonts w:eastAsia="Times New Roman"/>
                <w:sz w:val="22"/>
                <w:lang w:eastAsia="lv-LV"/>
              </w:rPr>
              <w:t>63%</w:t>
            </w:r>
          </w:p>
        </w:tc>
      </w:tr>
      <w:tr w:rsidR="004646D1" w:rsidRPr="004646D1" w14:paraId="743D26FF" w14:textId="77777777" w:rsidTr="004646D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538135" w:themeColor="accent6" w:themeShade="BF"/>
            </w:tcBorders>
            <w:hideMark/>
          </w:tcPr>
          <w:p w14:paraId="1FF40BD9" w14:textId="77777777" w:rsidR="0003594B" w:rsidRPr="004646D1" w:rsidRDefault="0003594B" w:rsidP="00B32973">
            <w:pPr>
              <w:rPr>
                <w:rFonts w:eastAsia="Times New Roman"/>
                <w:b w:val="0"/>
                <w:bCs w:val="0"/>
                <w:color w:val="000000"/>
                <w:sz w:val="22"/>
                <w:lang w:eastAsia="lv-LV"/>
              </w:rPr>
            </w:pPr>
            <w:proofErr w:type="spellStart"/>
            <w:r w:rsidRPr="004646D1">
              <w:rPr>
                <w:rFonts w:eastAsia="Times New Roman"/>
                <w:b w:val="0"/>
                <w:bCs w:val="0"/>
                <w:color w:val="000000"/>
                <w:sz w:val="22"/>
                <w:lang w:eastAsia="lv-LV"/>
              </w:rPr>
              <w:t>Jaunuzbūvēto</w:t>
            </w:r>
            <w:proofErr w:type="spellEnd"/>
            <w:r w:rsidRPr="004646D1">
              <w:rPr>
                <w:rFonts w:eastAsia="Times New Roman"/>
                <w:b w:val="0"/>
                <w:bCs w:val="0"/>
                <w:color w:val="000000"/>
                <w:sz w:val="22"/>
                <w:lang w:eastAsia="lv-LV"/>
              </w:rPr>
              <w:t xml:space="preserve"> vai uzlaboto tramvaja līniju kopējais garums, km </w:t>
            </w:r>
          </w:p>
        </w:tc>
        <w:tc>
          <w:tcPr>
            <w:tcW w:w="1134" w:type="dxa"/>
            <w:noWrap/>
            <w:vAlign w:val="center"/>
            <w:hideMark/>
          </w:tcPr>
          <w:p w14:paraId="70774E88" w14:textId="77777777" w:rsidR="0003594B" w:rsidRPr="004646D1" w:rsidRDefault="0003594B" w:rsidP="00B32973">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lang w:eastAsia="lv-LV"/>
              </w:rPr>
            </w:pPr>
            <w:r w:rsidRPr="004646D1">
              <w:rPr>
                <w:rFonts w:eastAsia="Times New Roman"/>
                <w:color w:val="000000"/>
                <w:sz w:val="22"/>
                <w:lang w:eastAsia="lv-LV"/>
              </w:rPr>
              <w:t>20</w:t>
            </w:r>
          </w:p>
        </w:tc>
        <w:tc>
          <w:tcPr>
            <w:tcW w:w="1418" w:type="dxa"/>
            <w:noWrap/>
            <w:vAlign w:val="center"/>
            <w:hideMark/>
          </w:tcPr>
          <w:p w14:paraId="2C0CBB48" w14:textId="77777777" w:rsidR="0003594B" w:rsidRPr="004646D1" w:rsidRDefault="0003594B" w:rsidP="00B32973">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lang w:eastAsia="lv-LV"/>
              </w:rPr>
            </w:pPr>
            <w:r w:rsidRPr="004646D1">
              <w:rPr>
                <w:rFonts w:eastAsia="Times New Roman"/>
                <w:color w:val="000000"/>
                <w:sz w:val="22"/>
                <w:lang w:eastAsia="lv-LV"/>
              </w:rPr>
              <w:t>8,1</w:t>
            </w:r>
          </w:p>
        </w:tc>
        <w:tc>
          <w:tcPr>
            <w:tcW w:w="991" w:type="dxa"/>
            <w:tcBorders>
              <w:right w:val="single" w:sz="4" w:space="0" w:color="538135" w:themeColor="accent6" w:themeShade="BF"/>
            </w:tcBorders>
            <w:noWrap/>
            <w:vAlign w:val="center"/>
            <w:hideMark/>
          </w:tcPr>
          <w:p w14:paraId="7F798701" w14:textId="77777777" w:rsidR="0003594B" w:rsidRPr="004646D1" w:rsidRDefault="0003594B" w:rsidP="00B32973">
            <w:pPr>
              <w:jc w:val="right"/>
              <w:cnfStyle w:val="000000100000" w:firstRow="0" w:lastRow="0" w:firstColumn="0" w:lastColumn="0" w:oddVBand="0" w:evenVBand="0" w:oddHBand="1" w:evenHBand="0" w:firstRowFirstColumn="0" w:firstRowLastColumn="0" w:lastRowFirstColumn="0" w:lastRowLastColumn="0"/>
              <w:rPr>
                <w:rFonts w:eastAsia="Times New Roman"/>
                <w:sz w:val="22"/>
                <w:lang w:eastAsia="lv-LV"/>
              </w:rPr>
            </w:pPr>
            <w:r w:rsidRPr="004646D1">
              <w:rPr>
                <w:rFonts w:eastAsia="Times New Roman"/>
                <w:sz w:val="22"/>
                <w:lang w:eastAsia="lv-LV"/>
              </w:rPr>
              <w:t>41%</w:t>
            </w:r>
          </w:p>
        </w:tc>
      </w:tr>
      <w:tr w:rsidR="004646D1" w:rsidRPr="004646D1" w14:paraId="1C327961" w14:textId="77777777" w:rsidTr="004646D1">
        <w:trPr>
          <w:trHeight w:val="564"/>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538135" w:themeColor="accent6" w:themeShade="BF"/>
              <w:bottom w:val="single" w:sz="4" w:space="0" w:color="538135" w:themeColor="accent6" w:themeShade="BF"/>
            </w:tcBorders>
            <w:hideMark/>
          </w:tcPr>
          <w:p w14:paraId="690E0BBB" w14:textId="77777777" w:rsidR="0003594B" w:rsidRPr="004646D1" w:rsidRDefault="0003594B" w:rsidP="00B32973">
            <w:pPr>
              <w:rPr>
                <w:rFonts w:eastAsia="Times New Roman"/>
                <w:b w:val="0"/>
                <w:bCs w:val="0"/>
                <w:color w:val="000000"/>
                <w:sz w:val="22"/>
                <w:lang w:eastAsia="lv-LV"/>
              </w:rPr>
            </w:pPr>
            <w:r w:rsidRPr="004646D1">
              <w:rPr>
                <w:rFonts w:eastAsia="Times New Roman"/>
                <w:b w:val="0"/>
                <w:bCs w:val="0"/>
                <w:color w:val="000000"/>
                <w:sz w:val="22"/>
                <w:lang w:eastAsia="lv-LV"/>
              </w:rPr>
              <w:t xml:space="preserve">Jauni un pārbūvēti videi draudzīgi sabiedriskie transportlīdzekļi, skaits </w:t>
            </w:r>
          </w:p>
        </w:tc>
        <w:tc>
          <w:tcPr>
            <w:tcW w:w="1134" w:type="dxa"/>
            <w:tcBorders>
              <w:bottom w:val="single" w:sz="4" w:space="0" w:color="538135" w:themeColor="accent6" w:themeShade="BF"/>
            </w:tcBorders>
            <w:noWrap/>
            <w:vAlign w:val="center"/>
            <w:hideMark/>
          </w:tcPr>
          <w:p w14:paraId="5AE4F1F4" w14:textId="77777777" w:rsidR="0003594B" w:rsidRPr="004646D1" w:rsidRDefault="0003594B" w:rsidP="00B3297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lang w:eastAsia="lv-LV"/>
              </w:rPr>
            </w:pPr>
            <w:r w:rsidRPr="004646D1">
              <w:rPr>
                <w:rFonts w:eastAsia="Times New Roman"/>
                <w:color w:val="000000"/>
                <w:sz w:val="22"/>
                <w:lang w:eastAsia="lv-LV"/>
              </w:rPr>
              <w:t>123</w:t>
            </w:r>
          </w:p>
        </w:tc>
        <w:tc>
          <w:tcPr>
            <w:tcW w:w="1418" w:type="dxa"/>
            <w:tcBorders>
              <w:bottom w:val="single" w:sz="4" w:space="0" w:color="538135" w:themeColor="accent6" w:themeShade="BF"/>
            </w:tcBorders>
            <w:noWrap/>
            <w:vAlign w:val="center"/>
            <w:hideMark/>
          </w:tcPr>
          <w:p w14:paraId="1C23027F" w14:textId="77777777" w:rsidR="0003594B" w:rsidRPr="004646D1" w:rsidRDefault="0003594B" w:rsidP="00B3297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lang w:eastAsia="lv-LV"/>
              </w:rPr>
            </w:pPr>
            <w:r w:rsidRPr="004646D1">
              <w:rPr>
                <w:rFonts w:eastAsia="Times New Roman"/>
                <w:color w:val="000000"/>
                <w:sz w:val="22"/>
                <w:lang w:eastAsia="lv-LV"/>
              </w:rPr>
              <w:t>79</w:t>
            </w:r>
          </w:p>
        </w:tc>
        <w:tc>
          <w:tcPr>
            <w:tcW w:w="991" w:type="dxa"/>
            <w:tcBorders>
              <w:bottom w:val="single" w:sz="4" w:space="0" w:color="538135" w:themeColor="accent6" w:themeShade="BF"/>
              <w:right w:val="single" w:sz="4" w:space="0" w:color="538135" w:themeColor="accent6" w:themeShade="BF"/>
            </w:tcBorders>
            <w:noWrap/>
            <w:vAlign w:val="center"/>
            <w:hideMark/>
          </w:tcPr>
          <w:p w14:paraId="06238859" w14:textId="77777777" w:rsidR="0003594B" w:rsidRPr="004646D1" w:rsidRDefault="0003594B" w:rsidP="00B32973">
            <w:pPr>
              <w:jc w:val="right"/>
              <w:cnfStyle w:val="000000000000" w:firstRow="0" w:lastRow="0" w:firstColumn="0" w:lastColumn="0" w:oddVBand="0" w:evenVBand="0" w:oddHBand="0" w:evenHBand="0" w:firstRowFirstColumn="0" w:firstRowLastColumn="0" w:lastRowFirstColumn="0" w:lastRowLastColumn="0"/>
              <w:rPr>
                <w:rFonts w:eastAsia="Times New Roman"/>
                <w:sz w:val="22"/>
                <w:lang w:eastAsia="lv-LV"/>
              </w:rPr>
            </w:pPr>
            <w:r w:rsidRPr="004646D1">
              <w:rPr>
                <w:rFonts w:eastAsia="Times New Roman"/>
                <w:sz w:val="22"/>
                <w:lang w:eastAsia="lv-LV"/>
              </w:rPr>
              <w:t>64%</w:t>
            </w:r>
          </w:p>
        </w:tc>
      </w:tr>
    </w:tbl>
    <w:p w14:paraId="0CF32510" w14:textId="77777777" w:rsidR="0003594B" w:rsidRPr="008D6B50" w:rsidRDefault="0003594B" w:rsidP="0003594B">
      <w:pPr>
        <w:pStyle w:val="Heading2"/>
        <w:numPr>
          <w:ilvl w:val="1"/>
          <w:numId w:val="2"/>
        </w:numPr>
        <w:spacing w:before="120"/>
        <w:ind w:left="357" w:hanging="357"/>
        <w:rPr>
          <w:rFonts w:ascii="Times New Roman" w:hAnsi="Times New Roman" w:cs="Times New Roman"/>
          <w:b/>
          <w:bCs/>
          <w:color w:val="auto"/>
          <w:sz w:val="24"/>
          <w:szCs w:val="24"/>
        </w:rPr>
      </w:pPr>
      <w:bookmarkStart w:id="21" w:name="_Hlk110952479"/>
      <w:r>
        <w:rPr>
          <w:rFonts w:ascii="Times New Roman" w:hAnsi="Times New Roman" w:cs="Times New Roman"/>
          <w:b/>
          <w:bCs/>
          <w:color w:val="auto"/>
          <w:sz w:val="24"/>
          <w:szCs w:val="24"/>
        </w:rPr>
        <w:lastRenderedPageBreak/>
        <w:t xml:space="preserve"> </w:t>
      </w:r>
      <w:bookmarkStart w:id="22" w:name="_Toc125102643"/>
      <w:bookmarkStart w:id="23" w:name="_Toc132198346"/>
      <w:r w:rsidRPr="008D6B50">
        <w:rPr>
          <w:rFonts w:ascii="Times New Roman" w:hAnsi="Times New Roman" w:cs="Times New Roman"/>
          <w:b/>
          <w:bCs/>
          <w:color w:val="auto"/>
          <w:sz w:val="24"/>
          <w:szCs w:val="24"/>
        </w:rPr>
        <w:t xml:space="preserve">SAM/SAMP </w:t>
      </w:r>
      <w:bookmarkEnd w:id="21"/>
      <w:r w:rsidRPr="008D6B50">
        <w:rPr>
          <w:rFonts w:ascii="Times New Roman" w:hAnsi="Times New Roman" w:cs="Times New Roman"/>
          <w:b/>
          <w:bCs/>
          <w:color w:val="auto"/>
          <w:sz w:val="24"/>
          <w:szCs w:val="24"/>
        </w:rPr>
        <w:t>ar netiešu ietekmi uz HP IA un SAM/SAMP, kuru īstenošana neietekmē, HP IA īstenošanas analīze</w:t>
      </w:r>
      <w:bookmarkEnd w:id="22"/>
      <w:bookmarkEnd w:id="23"/>
    </w:p>
    <w:p w14:paraId="66E19DC4" w14:textId="77777777" w:rsidR="0003594B" w:rsidRDefault="0003594B" w:rsidP="0003594B">
      <w:pPr>
        <w:spacing w:before="120"/>
        <w:jc w:val="both"/>
      </w:pPr>
      <w:r>
        <w:t>At</w:t>
      </w:r>
      <w:r w:rsidRPr="0028504C">
        <w:t>balstot inženierzinātņu un tehnoloģiju attīstības, kā arī izglītības attīstības pasākumus, inovāciju jomā veicinot to risinājumu, kas vērsti uz labāko pieejamo tehnisko paņēmienu un tīrākas ražošanas izmantošanu, izstrādi, kas ilgtermiņā tuvinās Latviju „zema oglekļa” ekonomikai</w:t>
      </w:r>
      <w:r>
        <w:t>,</w:t>
      </w:r>
      <w:r w:rsidRPr="0028504C">
        <w:t xml:space="preserve"> </w:t>
      </w:r>
      <w:r>
        <w:t xml:space="preserve">nodrošināta </w:t>
      </w:r>
      <w:r w:rsidRPr="008F62E3">
        <w:t>netieš</w:t>
      </w:r>
      <w:r>
        <w:t>a</w:t>
      </w:r>
      <w:r w:rsidRPr="008F62E3">
        <w:t xml:space="preserve"> ietekm</w:t>
      </w:r>
      <w:r>
        <w:t>e uz HP IA.</w:t>
      </w:r>
    </w:p>
    <w:p w14:paraId="786E68ED" w14:textId="77777777" w:rsidR="0003594B" w:rsidRPr="005C3C37" w:rsidRDefault="0003594B" w:rsidP="0003594B">
      <w:pPr>
        <w:spacing w:before="120" w:line="259" w:lineRule="auto"/>
        <w:jc w:val="both"/>
        <w:rPr>
          <w:szCs w:val="24"/>
        </w:rPr>
      </w:pPr>
      <w:r w:rsidRPr="005C3C37">
        <w:rPr>
          <w:szCs w:val="24"/>
        </w:rPr>
        <w:t xml:space="preserve">Šo </w:t>
      </w:r>
      <w:r>
        <w:rPr>
          <w:szCs w:val="24"/>
        </w:rPr>
        <w:t>SAM/SAMP ietekmes uz HP IA monitoringam izmantoja tādus HP IA rādītājus, kā “Apmācīto skaits vides izglītības jomā”, “</w:t>
      </w:r>
      <w:proofErr w:type="spellStart"/>
      <w:r>
        <w:rPr>
          <w:szCs w:val="24"/>
        </w:rPr>
        <w:t>Ekoinovācijās</w:t>
      </w:r>
      <w:proofErr w:type="spellEnd"/>
      <w:r>
        <w:rPr>
          <w:szCs w:val="24"/>
        </w:rPr>
        <w:t xml:space="preserve"> ieguldītais finansējums” un “Atbalstu saņēmušie komersanti </w:t>
      </w:r>
      <w:proofErr w:type="spellStart"/>
      <w:r>
        <w:rPr>
          <w:szCs w:val="24"/>
        </w:rPr>
        <w:t>ekoinovāciju</w:t>
      </w:r>
      <w:proofErr w:type="spellEnd"/>
      <w:r>
        <w:rPr>
          <w:szCs w:val="24"/>
        </w:rPr>
        <w:t xml:space="preserve"> jomā”, “Radītās zaļās darba vietas” (skat. </w:t>
      </w:r>
      <w:r w:rsidRPr="00023545">
        <w:rPr>
          <w:i/>
          <w:iCs/>
          <w:szCs w:val="24"/>
        </w:rPr>
        <w:t>8. –11. attēlus</w:t>
      </w:r>
      <w:r>
        <w:rPr>
          <w:szCs w:val="24"/>
        </w:rPr>
        <w:t>).</w:t>
      </w:r>
    </w:p>
    <w:p w14:paraId="3EBC4E8C" w14:textId="063E8D38" w:rsidR="0003594B" w:rsidRDefault="00E92A00" w:rsidP="0003594B">
      <w:pPr>
        <w:spacing w:after="160" w:line="259" w:lineRule="auto"/>
        <w:jc w:val="center"/>
        <w:rPr>
          <w:b/>
          <w:bCs/>
          <w:szCs w:val="24"/>
        </w:rPr>
      </w:pPr>
      <w:r>
        <w:rPr>
          <w:b/>
          <w:bCs/>
          <w:noProof/>
          <w:szCs w:val="24"/>
        </w:rPr>
        <w:drawing>
          <wp:inline distT="0" distB="0" distL="0" distR="0" wp14:anchorId="7403D094" wp14:editId="7F47F2E7">
            <wp:extent cx="5767070" cy="2688590"/>
            <wp:effectExtent l="0" t="0" r="5080" b="0"/>
            <wp:docPr id="8041879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7070" cy="2688590"/>
                    </a:xfrm>
                    <a:prstGeom prst="rect">
                      <a:avLst/>
                    </a:prstGeom>
                    <a:noFill/>
                  </pic:spPr>
                </pic:pic>
              </a:graphicData>
            </a:graphic>
          </wp:inline>
        </w:drawing>
      </w:r>
    </w:p>
    <w:p w14:paraId="591E33D7" w14:textId="77777777" w:rsidR="0003594B" w:rsidRPr="00B032E8" w:rsidRDefault="0003594B" w:rsidP="0003594B">
      <w:pPr>
        <w:spacing w:after="160" w:line="259" w:lineRule="auto"/>
        <w:rPr>
          <w:b/>
          <w:i/>
          <w:szCs w:val="24"/>
        </w:rPr>
      </w:pPr>
      <w:r w:rsidRPr="00B032E8">
        <w:rPr>
          <w:b/>
          <w:i/>
          <w:iCs/>
          <w:szCs w:val="24"/>
        </w:rPr>
        <w:t xml:space="preserve">5. attēls. </w:t>
      </w:r>
      <w:r w:rsidRPr="00B032E8">
        <w:rPr>
          <w:b/>
          <w:i/>
          <w:szCs w:val="24"/>
        </w:rPr>
        <w:t xml:space="preserve">Atbalstu saņēmušie komersanti </w:t>
      </w:r>
      <w:proofErr w:type="spellStart"/>
      <w:r w:rsidRPr="00B032E8">
        <w:rPr>
          <w:b/>
          <w:i/>
          <w:szCs w:val="24"/>
        </w:rPr>
        <w:t>eko</w:t>
      </w:r>
      <w:proofErr w:type="spellEnd"/>
      <w:r w:rsidRPr="00B032E8">
        <w:rPr>
          <w:b/>
          <w:i/>
          <w:szCs w:val="24"/>
        </w:rPr>
        <w:t xml:space="preserve">-inovāciju jomā </w:t>
      </w:r>
      <w:bookmarkStart w:id="24" w:name="_Hlk131591665"/>
      <w:r w:rsidRPr="00B032E8">
        <w:rPr>
          <w:b/>
          <w:i/>
          <w:szCs w:val="24"/>
        </w:rPr>
        <w:t>(kumulatīvi)</w:t>
      </w:r>
      <w:bookmarkEnd w:id="24"/>
      <w:r w:rsidRPr="00B032E8">
        <w:rPr>
          <w:b/>
          <w:i/>
          <w:szCs w:val="24"/>
        </w:rPr>
        <w:t>, skaits</w:t>
      </w:r>
    </w:p>
    <w:p w14:paraId="76B796EB" w14:textId="352F63B1" w:rsidR="0003594B" w:rsidRPr="00D86577" w:rsidRDefault="00E92A00" w:rsidP="0003594B">
      <w:pPr>
        <w:spacing w:after="160" w:line="259" w:lineRule="auto"/>
        <w:jc w:val="center"/>
        <w:rPr>
          <w:szCs w:val="24"/>
        </w:rPr>
      </w:pPr>
      <w:r>
        <w:rPr>
          <w:noProof/>
          <w:szCs w:val="24"/>
        </w:rPr>
        <w:drawing>
          <wp:inline distT="0" distB="0" distL="0" distR="0" wp14:anchorId="27963BF5" wp14:editId="04831E55">
            <wp:extent cx="5700395" cy="2639695"/>
            <wp:effectExtent l="0" t="0" r="0" b="8255"/>
            <wp:docPr id="1468109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0395" cy="2639695"/>
                    </a:xfrm>
                    <a:prstGeom prst="rect">
                      <a:avLst/>
                    </a:prstGeom>
                    <a:noFill/>
                  </pic:spPr>
                </pic:pic>
              </a:graphicData>
            </a:graphic>
          </wp:inline>
        </w:drawing>
      </w:r>
    </w:p>
    <w:p w14:paraId="7C25B113" w14:textId="77777777" w:rsidR="0003594B" w:rsidRPr="00B032E8" w:rsidRDefault="0003594B" w:rsidP="0003594B">
      <w:pPr>
        <w:spacing w:after="160" w:line="259" w:lineRule="auto"/>
        <w:rPr>
          <w:b/>
          <w:i/>
          <w:szCs w:val="24"/>
        </w:rPr>
      </w:pPr>
      <w:r w:rsidRPr="00B032E8">
        <w:rPr>
          <w:b/>
          <w:i/>
          <w:iCs/>
          <w:szCs w:val="24"/>
        </w:rPr>
        <w:t>6. attēls.</w:t>
      </w:r>
      <w:r w:rsidRPr="00B032E8">
        <w:rPr>
          <w:b/>
          <w:bCs/>
          <w:i/>
          <w:szCs w:val="24"/>
        </w:rPr>
        <w:t xml:space="preserve"> </w:t>
      </w:r>
      <w:r w:rsidRPr="00B032E8">
        <w:rPr>
          <w:b/>
          <w:i/>
          <w:szCs w:val="24"/>
        </w:rPr>
        <w:t>Apmācīto skaits vides un klimata pārmaiņu jomās (kumulatīvi), skaits</w:t>
      </w:r>
    </w:p>
    <w:p w14:paraId="4D0721E8" w14:textId="3112EDFD" w:rsidR="0003594B" w:rsidRDefault="00E92A00" w:rsidP="0003594B">
      <w:pPr>
        <w:spacing w:after="160" w:line="259" w:lineRule="auto"/>
        <w:jc w:val="center"/>
        <w:rPr>
          <w:szCs w:val="24"/>
        </w:rPr>
      </w:pPr>
      <w:r>
        <w:rPr>
          <w:noProof/>
          <w:szCs w:val="24"/>
        </w:rPr>
        <w:lastRenderedPageBreak/>
        <w:drawing>
          <wp:inline distT="0" distB="0" distL="0" distR="0" wp14:anchorId="34710B9E" wp14:editId="66179097">
            <wp:extent cx="5206365" cy="2719070"/>
            <wp:effectExtent l="0" t="0" r="0" b="5080"/>
            <wp:docPr id="11794700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06365" cy="2719070"/>
                    </a:xfrm>
                    <a:prstGeom prst="rect">
                      <a:avLst/>
                    </a:prstGeom>
                    <a:noFill/>
                  </pic:spPr>
                </pic:pic>
              </a:graphicData>
            </a:graphic>
          </wp:inline>
        </w:drawing>
      </w:r>
    </w:p>
    <w:p w14:paraId="25ACB2CD" w14:textId="77777777" w:rsidR="0003594B" w:rsidRPr="00B032E8" w:rsidRDefault="0003594B" w:rsidP="0003594B">
      <w:pPr>
        <w:spacing w:after="160" w:line="259" w:lineRule="auto"/>
        <w:rPr>
          <w:b/>
          <w:bCs/>
          <w:i/>
          <w:szCs w:val="24"/>
        </w:rPr>
      </w:pPr>
      <w:r w:rsidRPr="00B032E8">
        <w:rPr>
          <w:b/>
          <w:i/>
          <w:iCs/>
          <w:szCs w:val="24"/>
        </w:rPr>
        <w:t>7. attēls.</w:t>
      </w:r>
      <w:r w:rsidRPr="00B032E8">
        <w:rPr>
          <w:b/>
          <w:i/>
          <w:szCs w:val="24"/>
        </w:rPr>
        <w:t xml:space="preserve"> Ieguldītais finansējums </w:t>
      </w:r>
      <w:proofErr w:type="spellStart"/>
      <w:r w:rsidRPr="00B032E8">
        <w:rPr>
          <w:b/>
          <w:i/>
          <w:szCs w:val="24"/>
        </w:rPr>
        <w:t>eko</w:t>
      </w:r>
      <w:proofErr w:type="spellEnd"/>
      <w:r w:rsidRPr="00B032E8">
        <w:rPr>
          <w:b/>
          <w:i/>
          <w:szCs w:val="24"/>
        </w:rPr>
        <w:t>-inovācijās (kumulatīvi), milj. euro</w:t>
      </w:r>
    </w:p>
    <w:p w14:paraId="6D541D10" w14:textId="7A8B9DE7" w:rsidR="0003594B" w:rsidRDefault="00E92A00" w:rsidP="0003594B">
      <w:pPr>
        <w:spacing w:after="160" w:line="259" w:lineRule="auto"/>
        <w:jc w:val="center"/>
        <w:rPr>
          <w:b/>
          <w:bCs/>
          <w:szCs w:val="24"/>
        </w:rPr>
      </w:pPr>
      <w:r>
        <w:rPr>
          <w:b/>
          <w:bCs/>
          <w:noProof/>
          <w:szCs w:val="24"/>
        </w:rPr>
        <w:drawing>
          <wp:inline distT="0" distB="0" distL="0" distR="0" wp14:anchorId="5EFEA50D" wp14:editId="32823A76">
            <wp:extent cx="5145405" cy="2674620"/>
            <wp:effectExtent l="0" t="0" r="0" b="0"/>
            <wp:docPr id="15196503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5405" cy="2674620"/>
                    </a:xfrm>
                    <a:prstGeom prst="rect">
                      <a:avLst/>
                    </a:prstGeom>
                    <a:noFill/>
                  </pic:spPr>
                </pic:pic>
              </a:graphicData>
            </a:graphic>
          </wp:inline>
        </w:drawing>
      </w:r>
    </w:p>
    <w:p w14:paraId="4EEBF0AA" w14:textId="77777777" w:rsidR="0003594B" w:rsidRPr="00B032E8" w:rsidRDefault="0003594B" w:rsidP="0003594B">
      <w:pPr>
        <w:spacing w:after="160" w:line="259" w:lineRule="auto"/>
        <w:rPr>
          <w:b/>
          <w:i/>
          <w:szCs w:val="24"/>
        </w:rPr>
      </w:pPr>
      <w:r w:rsidRPr="00B032E8">
        <w:rPr>
          <w:b/>
          <w:i/>
          <w:iCs/>
          <w:szCs w:val="24"/>
        </w:rPr>
        <w:t>8. attēls.</w:t>
      </w:r>
      <w:r w:rsidRPr="00B032E8">
        <w:rPr>
          <w:b/>
          <w:i/>
          <w:szCs w:val="24"/>
        </w:rPr>
        <w:t xml:space="preserve"> Radītās zaļās darba vietas (kumulatīvi), skaits</w:t>
      </w:r>
    </w:p>
    <w:p w14:paraId="4C7C7B5B" w14:textId="77777777" w:rsidR="0003594B" w:rsidRDefault="0003594B" w:rsidP="0003594B">
      <w:pPr>
        <w:jc w:val="both"/>
      </w:pPr>
    </w:p>
    <w:p w14:paraId="5E95247A" w14:textId="0FCDDC34" w:rsidR="0003594B" w:rsidRDefault="0003594B" w:rsidP="0003594B">
      <w:pPr>
        <w:jc w:val="both"/>
      </w:pPr>
      <w:r>
        <w:rPr>
          <w:szCs w:val="24"/>
        </w:rPr>
        <w:t>Rādītāja “Apmācīto skaits vides izglītības jomā” izpilde sasniegusi – 13%</w:t>
      </w:r>
      <w:r w:rsidR="00005139">
        <w:rPr>
          <w:rStyle w:val="FootnoteReference"/>
          <w:szCs w:val="24"/>
        </w:rPr>
        <w:footnoteReference w:id="8"/>
      </w:r>
      <w:r>
        <w:rPr>
          <w:szCs w:val="24"/>
        </w:rPr>
        <w:t>, rādītājs “</w:t>
      </w:r>
      <w:proofErr w:type="spellStart"/>
      <w:r>
        <w:rPr>
          <w:szCs w:val="24"/>
        </w:rPr>
        <w:t>Ekoinovācijās</w:t>
      </w:r>
      <w:proofErr w:type="spellEnd"/>
      <w:r>
        <w:rPr>
          <w:szCs w:val="24"/>
        </w:rPr>
        <w:t xml:space="preserve"> ieguldītais finansējums” pārsniedzis plānoto, sasniedzot 242%, savukārt rādītāja “Atbalstu saņēmušie komersanti </w:t>
      </w:r>
      <w:proofErr w:type="spellStart"/>
      <w:r>
        <w:rPr>
          <w:szCs w:val="24"/>
        </w:rPr>
        <w:t>ekoinovāciju</w:t>
      </w:r>
      <w:proofErr w:type="spellEnd"/>
      <w:r>
        <w:rPr>
          <w:szCs w:val="24"/>
        </w:rPr>
        <w:t xml:space="preserve"> jomā” izpilde – 77%, “Radītās zaļās darba vietas” </w:t>
      </w:r>
      <w:r w:rsidRPr="00E122CD">
        <w:rPr>
          <w:szCs w:val="24"/>
        </w:rPr>
        <w:t xml:space="preserve">– </w:t>
      </w:r>
      <w:r>
        <w:rPr>
          <w:szCs w:val="24"/>
        </w:rPr>
        <w:t>86%.</w:t>
      </w:r>
      <w:r>
        <w:t xml:space="preserve"> </w:t>
      </w:r>
    </w:p>
    <w:p w14:paraId="1AA55508" w14:textId="77777777" w:rsidR="0003594B" w:rsidRDefault="0003594B" w:rsidP="0003594B">
      <w:pPr>
        <w:spacing w:before="120"/>
        <w:jc w:val="both"/>
      </w:pPr>
      <w:r>
        <w:t xml:space="preserve">ESI fondu līdzfinansēto projektu īstenošanā tika rekomendēts piemērot „zaļo iepirkumu” (turpmāk </w:t>
      </w:r>
      <w:r w:rsidRPr="00350509">
        <w:t>–</w:t>
      </w:r>
      <w:r>
        <w:t xml:space="preserve"> ZPI) saskaņā ar izstrādājamā zaļā publiskā iepirkuma veicināšanas plānā noteiktajām </w:t>
      </w:r>
      <w:r>
        <w:lastRenderedPageBreak/>
        <w:t xml:space="preserve">prioritārajām produktu un pakalpojumu kategorijām, nosakot par vienu no horizontālā principa īstenošanas uzraudzības rādītājiem ZPI. </w:t>
      </w:r>
    </w:p>
    <w:p w14:paraId="53BBDF49" w14:textId="4DCD4267" w:rsidR="0003594B" w:rsidRDefault="00E92A00" w:rsidP="0003594B">
      <w:pPr>
        <w:spacing w:after="160" w:line="259" w:lineRule="auto"/>
        <w:jc w:val="center"/>
        <w:rPr>
          <w:b/>
          <w:bCs/>
          <w:szCs w:val="24"/>
        </w:rPr>
      </w:pPr>
      <w:r>
        <w:rPr>
          <w:b/>
          <w:bCs/>
          <w:noProof/>
          <w:szCs w:val="24"/>
        </w:rPr>
        <w:drawing>
          <wp:inline distT="0" distB="0" distL="0" distR="0" wp14:anchorId="3ADC15AE" wp14:editId="174F0706">
            <wp:extent cx="6115050" cy="2828925"/>
            <wp:effectExtent l="0" t="0" r="0" b="9525"/>
            <wp:docPr id="4205874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2828925"/>
                    </a:xfrm>
                    <a:prstGeom prst="rect">
                      <a:avLst/>
                    </a:prstGeom>
                    <a:noFill/>
                  </pic:spPr>
                </pic:pic>
              </a:graphicData>
            </a:graphic>
          </wp:inline>
        </w:drawing>
      </w:r>
    </w:p>
    <w:p w14:paraId="6971C304" w14:textId="77777777" w:rsidR="0003594B" w:rsidRPr="00B032E8" w:rsidRDefault="0003594B" w:rsidP="0003594B">
      <w:pPr>
        <w:spacing w:after="160" w:line="259" w:lineRule="auto"/>
        <w:rPr>
          <w:b/>
          <w:i/>
          <w:szCs w:val="24"/>
        </w:rPr>
      </w:pPr>
      <w:r w:rsidRPr="00B032E8">
        <w:rPr>
          <w:b/>
          <w:i/>
          <w:iCs/>
          <w:szCs w:val="24"/>
        </w:rPr>
        <w:t>9. attēls</w:t>
      </w:r>
      <w:r w:rsidRPr="00B032E8">
        <w:rPr>
          <w:b/>
          <w:i/>
          <w:szCs w:val="24"/>
        </w:rPr>
        <w:t>. Zaļā iepirkuma piemērošana (kumulatīvi), milj. euro</w:t>
      </w:r>
    </w:p>
    <w:p w14:paraId="4C5365F1" w14:textId="77777777" w:rsidR="0003594B" w:rsidRDefault="0003594B" w:rsidP="0003594B">
      <w:pPr>
        <w:spacing w:after="160" w:line="259" w:lineRule="auto"/>
        <w:jc w:val="both"/>
        <w:rPr>
          <w:szCs w:val="24"/>
        </w:rPr>
      </w:pPr>
      <w:r w:rsidRPr="00350509">
        <w:rPr>
          <w:szCs w:val="24"/>
        </w:rPr>
        <w:t xml:space="preserve"> Vis</w:t>
      </w:r>
      <w:r>
        <w:rPr>
          <w:szCs w:val="24"/>
        </w:rPr>
        <w:t xml:space="preserve">aktīvāk ZPI tika piemērots SAM/SAMP bez tiešas ietekmes uz HP IA, t.i., 44% no  kopējā ZPI tika piemērots, īstenojot SAM/SAMP bez tiešas ietekmes uz HP IA, 29% </w:t>
      </w:r>
      <w:bookmarkStart w:id="25" w:name="_Hlk125444066"/>
      <w:r w:rsidRPr="00350509">
        <w:rPr>
          <w:szCs w:val="24"/>
        </w:rPr>
        <w:t>–</w:t>
      </w:r>
      <w:bookmarkEnd w:id="25"/>
      <w:r>
        <w:rPr>
          <w:szCs w:val="24"/>
        </w:rPr>
        <w:t xml:space="preserve"> īstenojot SAM/SAMP ar netiešu ietekmi uz HP IA, un 27% </w:t>
      </w:r>
      <w:r w:rsidRPr="00073108">
        <w:rPr>
          <w:szCs w:val="24"/>
        </w:rPr>
        <w:t>–</w:t>
      </w:r>
      <w:r>
        <w:rPr>
          <w:szCs w:val="24"/>
        </w:rPr>
        <w:t xml:space="preserve"> īstenojot SAM/SAMP ar tiešu ietekmi uz HP IA. ZPI īpatsvars to SAM/SAMP ietvaros, kur tika piemērots ZPI, vidēji sasniedz 3,4% no investīciju apjoma, atsevišķos SAM/SAMP sasniedzot pat vairāk nekā 30%.</w:t>
      </w:r>
    </w:p>
    <w:p w14:paraId="367AA133" w14:textId="77777777" w:rsidR="0003594B" w:rsidRDefault="0003594B" w:rsidP="0003594B">
      <w:pPr>
        <w:spacing w:after="160" w:line="259" w:lineRule="auto"/>
        <w:rPr>
          <w:szCs w:val="24"/>
        </w:rPr>
      </w:pPr>
      <w:r>
        <w:rPr>
          <w:szCs w:val="24"/>
        </w:rPr>
        <w:br w:type="page"/>
      </w:r>
    </w:p>
    <w:p w14:paraId="1986E26B" w14:textId="77777777" w:rsidR="0003594B" w:rsidRPr="006923DE" w:rsidRDefault="0003594B" w:rsidP="0003594B">
      <w:pPr>
        <w:pStyle w:val="Heading1"/>
        <w:rPr>
          <w:rFonts w:ascii="Times New Roman" w:hAnsi="Times New Roman" w:cs="Times New Roman"/>
          <w:b/>
          <w:bCs/>
          <w:color w:val="auto"/>
        </w:rPr>
      </w:pPr>
      <w:bookmarkStart w:id="26" w:name="_Toc132198347"/>
      <w:r>
        <w:rPr>
          <w:rFonts w:ascii="Times New Roman" w:hAnsi="Times New Roman" w:cs="Times New Roman"/>
          <w:b/>
          <w:bCs/>
          <w:color w:val="auto"/>
        </w:rPr>
        <w:lastRenderedPageBreak/>
        <w:t>Kopsavilkums</w:t>
      </w:r>
      <w:bookmarkEnd w:id="26"/>
    </w:p>
    <w:p w14:paraId="66A8E1E2" w14:textId="77777777" w:rsidR="0003594B" w:rsidRDefault="0003594B" w:rsidP="0003594B">
      <w:pPr>
        <w:pStyle w:val="ListParagraph"/>
        <w:numPr>
          <w:ilvl w:val="0"/>
          <w:numId w:val="4"/>
        </w:numPr>
        <w:spacing w:before="120" w:after="120"/>
        <w:ind w:left="714" w:hanging="357"/>
        <w:jc w:val="both"/>
      </w:pPr>
      <w:r>
        <w:t>DP ietvaros SAM/SAMP ar tiešu pozitīvu ietekmi uz HP IA, arī pārdalot finansējumu DP īstenošanas gaitā, plānotas un ieguldītas vismazākās investīcijas, samazinoties no 28% plānojot DP līdz 24% 2022. gadā, no kopējā pieejamā ES fondu finansējuma. Tomēr atbilstoši sasniegtajiem HP IA rādītājiem, ko piemēroja SAM/SAMP ar netiešu ietekmi un bez ietekmes uz HP IA, redzams, ka ir bijusi tendence arī šajos SAM/SAMP integrēt HP IA.</w:t>
      </w:r>
    </w:p>
    <w:p w14:paraId="77EE9216" w14:textId="77777777" w:rsidR="0003594B" w:rsidRDefault="0003594B" w:rsidP="0003594B">
      <w:pPr>
        <w:pStyle w:val="ListParagraph"/>
        <w:spacing w:before="120" w:after="120"/>
        <w:ind w:left="714"/>
        <w:jc w:val="both"/>
      </w:pPr>
    </w:p>
    <w:p w14:paraId="166740EB" w14:textId="77777777" w:rsidR="0003594B" w:rsidRDefault="0003594B" w:rsidP="0003594B">
      <w:pPr>
        <w:pStyle w:val="ListParagraph"/>
        <w:numPr>
          <w:ilvl w:val="0"/>
          <w:numId w:val="4"/>
        </w:numPr>
        <w:spacing w:before="120" w:after="120"/>
        <w:ind w:left="714" w:hanging="357"/>
        <w:jc w:val="both"/>
      </w:pPr>
      <w:r w:rsidRPr="001C3D98">
        <w:t xml:space="preserve">5. prioritārā virziena ietvaros </w:t>
      </w:r>
      <w:r>
        <w:t>vislielākās</w:t>
      </w:r>
      <w:r w:rsidRPr="001C3D98">
        <w:t xml:space="preserve"> investīcijas </w:t>
      </w:r>
      <w:r>
        <w:t>ieguldītas</w:t>
      </w:r>
      <w:r w:rsidRPr="001C3D98">
        <w:t xml:space="preserve"> </w:t>
      </w:r>
      <w:r>
        <w:t>notekūdeņu</w:t>
      </w:r>
      <w:r w:rsidRPr="001C3D98">
        <w:t xml:space="preserve"> apsaimniekošan</w:t>
      </w:r>
      <w:r>
        <w:t xml:space="preserve">as infrastruktūrā </w:t>
      </w:r>
      <w:r w:rsidRPr="005565A0">
        <w:t>–</w:t>
      </w:r>
      <w:r w:rsidRPr="001C3D98">
        <w:t xml:space="preserve"> 34,5</w:t>
      </w:r>
      <w:r>
        <w:t>3</w:t>
      </w:r>
      <w:r w:rsidRPr="001C3D98">
        <w:t>% un atkritumu apsaimniekošanas infrastruktūras attīstīb</w:t>
      </w:r>
      <w:r>
        <w:t xml:space="preserve">ā </w:t>
      </w:r>
      <w:r w:rsidRPr="005565A0">
        <w:t>–</w:t>
      </w:r>
      <w:r>
        <w:t xml:space="preserve"> </w:t>
      </w:r>
      <w:r w:rsidRPr="001C3D98">
        <w:t>24,4</w:t>
      </w:r>
      <w:r>
        <w:t>3</w:t>
      </w:r>
      <w:r w:rsidRPr="001C3D98">
        <w:t>%, bioloģiskās daudzveidības saglabāšan</w:t>
      </w:r>
      <w:r>
        <w:t xml:space="preserve">ā investēti </w:t>
      </w:r>
      <w:r w:rsidRPr="001C3D98">
        <w:t>6,1</w:t>
      </w:r>
      <w:r>
        <w:t>2</w:t>
      </w:r>
      <w:r w:rsidRPr="001C3D98">
        <w:t>%, vēsturiski piesārņoto vietu sanācijai</w:t>
      </w:r>
      <w:r>
        <w:t xml:space="preserve"> </w:t>
      </w:r>
      <w:r w:rsidRPr="005565A0">
        <w:t>–</w:t>
      </w:r>
      <w:r>
        <w:t xml:space="preserve"> </w:t>
      </w:r>
      <w:r w:rsidRPr="001C3D98">
        <w:t>8,4</w:t>
      </w:r>
      <w:r>
        <w:t>1</w:t>
      </w:r>
      <w:r w:rsidRPr="001C3D98">
        <w:t>%, plūdu risku mazināšanai</w:t>
      </w:r>
      <w:r>
        <w:t xml:space="preserve"> </w:t>
      </w:r>
      <w:r w:rsidRPr="005565A0">
        <w:t>–</w:t>
      </w:r>
      <w:r>
        <w:t xml:space="preserve"> </w:t>
      </w:r>
      <w:r w:rsidRPr="001C3D98">
        <w:t>20,6</w:t>
      </w:r>
      <w:r>
        <w:t>0</w:t>
      </w:r>
      <w:r w:rsidRPr="001C3D98">
        <w:t>%</w:t>
      </w:r>
      <w:r>
        <w:t xml:space="preserve"> un</w:t>
      </w:r>
      <w:r w:rsidRPr="001C3D98">
        <w:t xml:space="preserve"> vides monitoringa un kontroles sistēmas attīstībai</w:t>
      </w:r>
      <w:r>
        <w:t xml:space="preserve"> </w:t>
      </w:r>
      <w:r w:rsidRPr="005565A0">
        <w:t>–</w:t>
      </w:r>
      <w:r w:rsidRPr="001C3D98">
        <w:t>5,9</w:t>
      </w:r>
      <w:r>
        <w:t>1</w:t>
      </w:r>
      <w:r w:rsidRPr="001C3D98">
        <w:t>%</w:t>
      </w:r>
      <w:r>
        <w:t xml:space="preserve"> no ES fondu investīcijām vides aizsardzībā. </w:t>
      </w:r>
    </w:p>
    <w:p w14:paraId="123232A4" w14:textId="77777777" w:rsidR="0003594B" w:rsidRDefault="0003594B" w:rsidP="0003594B">
      <w:pPr>
        <w:pStyle w:val="ListParagraph"/>
      </w:pPr>
    </w:p>
    <w:p w14:paraId="2ACD8B0E" w14:textId="77777777" w:rsidR="0003594B" w:rsidRDefault="0003594B" w:rsidP="0003594B">
      <w:pPr>
        <w:pStyle w:val="ListParagraph"/>
        <w:numPr>
          <w:ilvl w:val="0"/>
          <w:numId w:val="4"/>
        </w:numPr>
        <w:spacing w:before="120" w:after="120"/>
        <w:jc w:val="both"/>
      </w:pPr>
      <w:bookmarkStart w:id="27" w:name="_Hlk129099793"/>
      <w:r>
        <w:t>Īstenojot 5. prioritārā virziena pasākumus pielāgošanās klimata pārmaiņām jomā, ~87 tūkst. iedzīvotāju uzlabota aizsardzība pret plūdiem, atjaunotas 14 hidrobūves un pārbūvētas valsts nozīmes ūdensnotekas 204 km garumā, kā arī 33 piesārņoto vietu un piesārņojumu emitējošo objektiem samazināts vides un sociālekonomisko zaudējumu risks, kas rastos applūšanas gadījumā. Gandrīz 10 tūkst. iedzīvotājiem lauku teritorijās un ~27 tūkst. ha hidrobūvju aizsargātajās platībās samazināts plūdu apdraudējums.</w:t>
      </w:r>
    </w:p>
    <w:p w14:paraId="2A5C6AE2" w14:textId="77777777" w:rsidR="0003594B" w:rsidRDefault="0003594B" w:rsidP="0003594B">
      <w:pPr>
        <w:pStyle w:val="ListParagraph"/>
        <w:spacing w:before="120" w:after="120"/>
        <w:jc w:val="both"/>
      </w:pPr>
    </w:p>
    <w:p w14:paraId="367D2EED" w14:textId="77777777" w:rsidR="0003594B" w:rsidRDefault="0003594B" w:rsidP="0003594B">
      <w:pPr>
        <w:pStyle w:val="ListParagraph"/>
        <w:numPr>
          <w:ilvl w:val="0"/>
          <w:numId w:val="4"/>
        </w:numPr>
        <w:spacing w:before="120" w:after="120"/>
        <w:jc w:val="both"/>
      </w:pPr>
      <w:r>
        <w:t xml:space="preserve">Dabas aizsardzības jomā izstrādāts 21 īpaši aizsargājamo dabas teritoriju dabas aizsardzības plāns un pieci Eiropas Savienības nozīmes īpaši aizsargājamo sugu aizsardzības plāni, ~48 tūkst. ha platībā panākta dzīvotnēm labāka aizsardzības pakāpe. </w:t>
      </w:r>
      <w:proofErr w:type="spellStart"/>
      <w:r>
        <w:t>Sanējot</w:t>
      </w:r>
      <w:proofErr w:type="spellEnd"/>
      <w:r>
        <w:t xml:space="preserve"> vēsturiski piesārņotās vietas, atjaunota piecu ha zemes platība, kā arī samazinājies to piesārņoto vietu skaits, kas radušās naftas pārstrādes produktu ražošanas laikā un kurās nav veikta sanācija.</w:t>
      </w:r>
    </w:p>
    <w:p w14:paraId="7B7E173B" w14:textId="77777777" w:rsidR="0003594B" w:rsidRDefault="0003594B" w:rsidP="0003594B">
      <w:pPr>
        <w:pStyle w:val="ListParagraph"/>
        <w:spacing w:before="120" w:after="120"/>
        <w:jc w:val="both"/>
      </w:pPr>
    </w:p>
    <w:p w14:paraId="2F4E2A2C" w14:textId="77777777" w:rsidR="0003594B" w:rsidRDefault="0003594B" w:rsidP="0003594B">
      <w:pPr>
        <w:pStyle w:val="ListParagraph"/>
        <w:numPr>
          <w:ilvl w:val="0"/>
          <w:numId w:val="4"/>
        </w:numPr>
        <w:spacing w:before="120" w:after="120"/>
        <w:jc w:val="both"/>
      </w:pPr>
      <w:r>
        <w:t>Par ~22 tūkst. palielinājies to iedzīvotāju skaits, kas izmanto centralizētos kanalizācijas pakalpojumus, t.i.,  89,3% Latvijas iedzīvotāju ir nodrošināti normatīvo aktu prasībām atbilstošu centralizēto notekūdeņu apsaimniekošanas pakalpojumi.</w:t>
      </w:r>
    </w:p>
    <w:bookmarkEnd w:id="27"/>
    <w:p w14:paraId="64B497A6" w14:textId="77777777" w:rsidR="0003594B" w:rsidRDefault="0003594B" w:rsidP="0003594B">
      <w:pPr>
        <w:pStyle w:val="ListParagraph"/>
        <w:spacing w:before="120" w:after="120"/>
        <w:ind w:left="714"/>
        <w:jc w:val="both"/>
      </w:pPr>
    </w:p>
    <w:p w14:paraId="7F2AA7F2" w14:textId="77777777" w:rsidR="0003594B" w:rsidRDefault="0003594B" w:rsidP="0003594B">
      <w:pPr>
        <w:pStyle w:val="ListParagraph"/>
        <w:numPr>
          <w:ilvl w:val="0"/>
          <w:numId w:val="4"/>
        </w:numPr>
        <w:spacing w:before="120"/>
        <w:ind w:left="714" w:hanging="357"/>
        <w:jc w:val="both"/>
      </w:pPr>
      <w:r>
        <w:t>Klimata mērķu sasniegšanai l</w:t>
      </w:r>
      <w:r w:rsidRPr="00F44B95">
        <w:t>ielākās investīcijas ieguldītas energoefektivitātes paaugstināšanā un AER izmantošanā dzīvojamās, valsts un pašvaldību ēkās, centralizētās siltumapgādes nodrošināšanā un apstrādes rūpniecībā ~418,23 milj. euro, kā arī tās transporta infrastruktūras attīstībā, kas dod ieguldījumu klimata mērķu sasniegšanā, ~221,06 milj. euro. Būtiski mazāks ieguldījums, jau plānojot investīcijas DP,</w:t>
      </w:r>
      <w:r>
        <w:t xml:space="preserve"> </w:t>
      </w:r>
      <w:r w:rsidRPr="00F44B95">
        <w:t>ir pielāgošanās klimata pārmaiņām pasākumos ~60,96 milj. euro un tikai 2% no kopējām DP investīcijām klimata mērķiem ir investēts dabas aizsardzības pasākumos.</w:t>
      </w:r>
    </w:p>
    <w:p w14:paraId="2279FDA8" w14:textId="77777777" w:rsidR="0003594B" w:rsidRDefault="0003594B" w:rsidP="0003594B">
      <w:pPr>
        <w:pStyle w:val="ListParagraph"/>
      </w:pPr>
    </w:p>
    <w:p w14:paraId="3D04CA8E" w14:textId="77777777" w:rsidR="0003594B" w:rsidRDefault="0003594B" w:rsidP="0003594B">
      <w:pPr>
        <w:pStyle w:val="ListParagraph"/>
        <w:numPr>
          <w:ilvl w:val="0"/>
          <w:numId w:val="4"/>
        </w:numPr>
        <w:spacing w:before="120"/>
        <w:jc w:val="both"/>
      </w:pPr>
      <w:bookmarkStart w:id="28" w:name="_Hlk129099859"/>
      <w:r w:rsidRPr="00920E7F">
        <w:t xml:space="preserve">Īstenojot 4. prioritārā virziena pasākumus, samazinājušās aprēķinātās siltumnīcefekta gāzu emisijas ~156,5 tūkst. CO2 </w:t>
      </w:r>
      <w:proofErr w:type="spellStart"/>
      <w:r w:rsidRPr="00920E7F">
        <w:t>ekviv</w:t>
      </w:r>
      <w:proofErr w:type="spellEnd"/>
      <w:r w:rsidRPr="00920E7F">
        <w:t xml:space="preserve">. t gadā, nodrošināta no atjaunojamiem energoresursiem ražotā </w:t>
      </w:r>
      <w:proofErr w:type="spellStart"/>
      <w:r w:rsidRPr="00920E7F">
        <w:t>papildjauda</w:t>
      </w:r>
      <w:proofErr w:type="spellEnd"/>
      <w:r w:rsidRPr="00920E7F">
        <w:t xml:space="preserve"> 21 MW apjomā, kā arī panākts ~179,5 MWh/gadā enerģijas ietaupījums.</w:t>
      </w:r>
      <w:r>
        <w:t xml:space="preserve"> Uzstādītas 139 </w:t>
      </w:r>
      <w:proofErr w:type="spellStart"/>
      <w:r>
        <w:t>eletrotransportlīdzekļu</w:t>
      </w:r>
      <w:proofErr w:type="spellEnd"/>
      <w:r>
        <w:t xml:space="preserve"> uzlādes stacijas, rekonstruēti vai izbūvēti ~54 km siltumtīkli, </w:t>
      </w:r>
      <w:proofErr w:type="spellStart"/>
      <w:r>
        <w:t>jaunuzbūvēto</w:t>
      </w:r>
      <w:proofErr w:type="spellEnd"/>
      <w:r>
        <w:t xml:space="preserve"> vai uzlaboto tramvaju līniju garums sasniedzis 8,1 km, iegādāti jauni vai pārbūvēti 79 videi draudzīgi sabiedriskie transportlīdzekļi, par ~10 tūkst. palielinājies mājsaimniecību skaits ar uzlabotu enerģijas patēriņa klasifikāciju.</w:t>
      </w:r>
    </w:p>
    <w:bookmarkEnd w:id="28"/>
    <w:p w14:paraId="7BDB9016" w14:textId="77777777" w:rsidR="0003594B" w:rsidRDefault="0003594B" w:rsidP="0003594B">
      <w:pPr>
        <w:pStyle w:val="ListParagraph"/>
      </w:pPr>
    </w:p>
    <w:p w14:paraId="3133886A" w14:textId="77777777" w:rsidR="0003594B" w:rsidRDefault="0003594B" w:rsidP="0003594B">
      <w:pPr>
        <w:pStyle w:val="ListParagraph"/>
        <w:numPr>
          <w:ilvl w:val="0"/>
          <w:numId w:val="4"/>
        </w:numPr>
        <w:spacing w:before="120"/>
        <w:ind w:left="714" w:hanging="357"/>
        <w:jc w:val="both"/>
      </w:pPr>
      <w:r>
        <w:lastRenderedPageBreak/>
        <w:t>HP IA rādītāju analīze uzrāda būtisku to izpildes progresu, t.i.,</w:t>
      </w:r>
      <w:r w:rsidRPr="00E122CD">
        <w:t xml:space="preserve"> </w:t>
      </w:r>
      <w:r>
        <w:t>r</w:t>
      </w:r>
      <w:r w:rsidRPr="00E122CD">
        <w:t>ādītāja “Apmācīto skaits vides izglītības jomā” izpilde sasniegusi – 13%, rādītājs “</w:t>
      </w:r>
      <w:proofErr w:type="spellStart"/>
      <w:r w:rsidRPr="00E122CD">
        <w:t>Ekoinovācijās</w:t>
      </w:r>
      <w:proofErr w:type="spellEnd"/>
      <w:r w:rsidRPr="00E122CD">
        <w:t xml:space="preserve"> ieguldītais finansējums” pārsniedzis plānoto, sasniedzot 242%, savukārt rādītāja “Atbalstu saņēmušie komersanti </w:t>
      </w:r>
      <w:proofErr w:type="spellStart"/>
      <w:r w:rsidRPr="00E122CD">
        <w:t>ekoinovāciju</w:t>
      </w:r>
      <w:proofErr w:type="spellEnd"/>
      <w:r w:rsidRPr="00E122CD">
        <w:t xml:space="preserve"> jomā” izpilde – 77%, “Radītās zaļās darba vietas” – 86%.</w:t>
      </w:r>
    </w:p>
    <w:p w14:paraId="21051E0E" w14:textId="77777777" w:rsidR="0003594B" w:rsidRDefault="0003594B" w:rsidP="0003594B">
      <w:pPr>
        <w:pStyle w:val="ListParagraph"/>
      </w:pPr>
    </w:p>
    <w:p w14:paraId="5C5EC6DE" w14:textId="77777777" w:rsidR="0003594B" w:rsidRDefault="0003594B" w:rsidP="0003594B">
      <w:pPr>
        <w:pStyle w:val="ListParagraph"/>
        <w:numPr>
          <w:ilvl w:val="0"/>
          <w:numId w:val="4"/>
        </w:numPr>
        <w:spacing w:before="120"/>
        <w:ind w:left="714" w:hanging="357"/>
        <w:jc w:val="both"/>
      </w:pPr>
      <w:r>
        <w:t xml:space="preserve">ZPI līdz 2022. gada beigām piemērots 127,49 milj. euro apmērā, sasniedzot 82% no projektos plānotā apjoma. </w:t>
      </w:r>
      <w:r w:rsidRPr="00E122CD">
        <w:t>ZPI īpatsvars to SAM/SAMP ietvaros, kur tika piemērots ZPI, vidēji sasniedz 3,4% no investīciju apjoma, atsevišķos SAM/SAMP sasniedzot pat vairāk nekā 30%.</w:t>
      </w:r>
    </w:p>
    <w:p w14:paraId="3B000CF0" w14:textId="77777777" w:rsidR="0003594B" w:rsidRDefault="0003594B" w:rsidP="0003594B">
      <w:pPr>
        <w:jc w:val="both"/>
      </w:pPr>
    </w:p>
    <w:p w14:paraId="0BFD284F" w14:textId="77777777" w:rsidR="0003594B" w:rsidRDefault="0003594B" w:rsidP="0003594B">
      <w:pPr>
        <w:jc w:val="both"/>
      </w:pPr>
    </w:p>
    <w:p w14:paraId="0A001F5E" w14:textId="77777777" w:rsidR="0003594B" w:rsidRDefault="0003594B" w:rsidP="0003594B">
      <w:pPr>
        <w:jc w:val="both"/>
      </w:pPr>
    </w:p>
    <w:p w14:paraId="41C00342" w14:textId="77777777" w:rsidR="0003594B" w:rsidRDefault="0003594B" w:rsidP="0003594B">
      <w:pPr>
        <w:jc w:val="both"/>
      </w:pPr>
    </w:p>
    <w:p w14:paraId="7E49D7F6" w14:textId="77777777" w:rsidR="0003594B" w:rsidRDefault="0003594B" w:rsidP="0003594B">
      <w:pPr>
        <w:jc w:val="both"/>
      </w:pPr>
    </w:p>
    <w:p w14:paraId="71EEE22A" w14:textId="77777777" w:rsidR="0003594B" w:rsidRDefault="0003594B" w:rsidP="0003594B">
      <w:pPr>
        <w:jc w:val="both"/>
      </w:pPr>
    </w:p>
    <w:p w14:paraId="74675160" w14:textId="77777777" w:rsidR="0003594B" w:rsidRPr="0028504C" w:rsidRDefault="0003594B" w:rsidP="0003594B">
      <w:pPr>
        <w:jc w:val="both"/>
      </w:pPr>
    </w:p>
    <w:p w14:paraId="3AA9D446" w14:textId="77777777" w:rsidR="0002144C" w:rsidRDefault="0002144C"/>
    <w:sectPr w:rsidR="0002144C" w:rsidSect="00B032E8">
      <w:footerReference w:type="default" r:id="rId21"/>
      <w:pgSz w:w="12240" w:h="15840" w:code="1"/>
      <w:pgMar w:top="1418" w:right="1134"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85076" w14:textId="77777777" w:rsidR="00917F01" w:rsidRDefault="00917F01" w:rsidP="0003594B">
      <w:r>
        <w:separator/>
      </w:r>
    </w:p>
  </w:endnote>
  <w:endnote w:type="continuationSeparator" w:id="0">
    <w:p w14:paraId="79E4C917" w14:textId="77777777" w:rsidR="00917F01" w:rsidRDefault="00917F01" w:rsidP="0003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799082"/>
      <w:docPartObj>
        <w:docPartGallery w:val="Page Numbers (Bottom of Page)"/>
        <w:docPartUnique/>
      </w:docPartObj>
    </w:sdtPr>
    <w:sdtEndPr>
      <w:rPr>
        <w:noProof/>
      </w:rPr>
    </w:sdtEndPr>
    <w:sdtContent>
      <w:p w14:paraId="594CAD13" w14:textId="77777777" w:rsidR="003C2A23" w:rsidRDefault="00B433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988BF7" w14:textId="77777777" w:rsidR="003C2A2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13FE2" w14:textId="77777777" w:rsidR="00917F01" w:rsidRDefault="00917F01" w:rsidP="0003594B">
      <w:r>
        <w:separator/>
      </w:r>
    </w:p>
  </w:footnote>
  <w:footnote w:type="continuationSeparator" w:id="0">
    <w:p w14:paraId="6A9085F3" w14:textId="77777777" w:rsidR="00917F01" w:rsidRDefault="00917F01" w:rsidP="0003594B">
      <w:r>
        <w:continuationSeparator/>
      </w:r>
    </w:p>
  </w:footnote>
  <w:footnote w:id="1">
    <w:p w14:paraId="46D636CA" w14:textId="77777777" w:rsidR="0003594B" w:rsidRDefault="0003594B" w:rsidP="0003594B">
      <w:pPr>
        <w:pStyle w:val="FootnoteText"/>
        <w:contextualSpacing/>
      </w:pPr>
      <w:r>
        <w:rPr>
          <w:rStyle w:val="FootnoteReference"/>
        </w:rPr>
        <w:footnoteRef/>
      </w:r>
      <w:r>
        <w:t xml:space="preserve"> </w:t>
      </w:r>
      <w:hyperlink r:id="rId1" w:history="1">
        <w:r w:rsidRPr="00DA2D61">
          <w:rPr>
            <w:rStyle w:val="Hyperlink"/>
          </w:rPr>
          <w:t>http://www.esfondi.lv/upload/Planosana/partnership-agreement.pdf</w:t>
        </w:r>
      </w:hyperlink>
    </w:p>
  </w:footnote>
  <w:footnote w:id="2">
    <w:p w14:paraId="2300C6D1" w14:textId="77777777" w:rsidR="0003594B" w:rsidRPr="009F3A7F" w:rsidRDefault="0003594B" w:rsidP="0003594B">
      <w:pPr>
        <w:pStyle w:val="FootnoteText"/>
        <w:contextualSpacing/>
      </w:pPr>
      <w:r>
        <w:rPr>
          <w:rStyle w:val="FootnoteReference"/>
        </w:rPr>
        <w:footnoteRef/>
      </w:r>
      <w:r>
        <w:t xml:space="preserve"> </w:t>
      </w:r>
      <w:hyperlink r:id="rId2" w:history="1">
        <w:r w:rsidRPr="00897638">
          <w:rPr>
            <w:rStyle w:val="Hyperlink"/>
          </w:rPr>
          <w:t>http://www.varam.gov.lv/lat/fondi/kohez/2014_2020/?doc=25726</w:t>
        </w:r>
      </w:hyperlink>
    </w:p>
  </w:footnote>
  <w:footnote w:id="3">
    <w:p w14:paraId="6FD7F4D3" w14:textId="77777777" w:rsidR="0003594B" w:rsidRDefault="0003594B" w:rsidP="0003594B">
      <w:pPr>
        <w:pStyle w:val="FootnoteText"/>
      </w:pPr>
      <w:r>
        <w:rPr>
          <w:rStyle w:val="FootnoteReference"/>
        </w:rPr>
        <w:footnoteRef/>
      </w:r>
      <w:r w:rsidRPr="00F33292">
        <w:rPr>
          <w:vertAlign w:val="superscript"/>
        </w:rPr>
        <w:t>,</w:t>
      </w:r>
      <w:r>
        <w:t xml:space="preserve"> </w:t>
      </w:r>
      <w:r w:rsidRPr="00F33292">
        <w:rPr>
          <w:vertAlign w:val="superscript"/>
        </w:rPr>
        <w:t>4</w:t>
      </w:r>
      <w:r>
        <w:t xml:space="preserve"> Dati no KP VIS 19.01.2023. par apstiprināto ES fondu finansējumu ar </w:t>
      </w:r>
      <w:r>
        <w:t>virssaistībām.</w:t>
      </w:r>
    </w:p>
  </w:footnote>
  <w:footnote w:id="4">
    <w:p w14:paraId="4AD825A2" w14:textId="77777777" w:rsidR="0003594B" w:rsidRDefault="0003594B" w:rsidP="0003594B">
      <w:pPr>
        <w:pStyle w:val="FootnoteText"/>
      </w:pPr>
    </w:p>
  </w:footnote>
  <w:footnote w:id="5">
    <w:p w14:paraId="61288FBE" w14:textId="77777777" w:rsidR="0003594B" w:rsidRDefault="0003594B" w:rsidP="0003594B">
      <w:pPr>
        <w:pStyle w:val="FootnoteText"/>
      </w:pPr>
      <w:r>
        <w:rPr>
          <w:rStyle w:val="FootnoteReference"/>
        </w:rPr>
        <w:footnoteRef/>
      </w:r>
      <w:r>
        <w:t xml:space="preserve"> </w:t>
      </w:r>
      <w:r w:rsidRPr="00E844B8">
        <w:t>Nacionālais enerģētikas un klimata plāns 2021.-2030.gadam</w:t>
      </w:r>
    </w:p>
  </w:footnote>
  <w:footnote w:id="6">
    <w:p w14:paraId="6C1F4855" w14:textId="77777777" w:rsidR="0003594B" w:rsidRDefault="0003594B" w:rsidP="0003594B">
      <w:pPr>
        <w:pStyle w:val="FootnoteText"/>
      </w:pPr>
      <w:r>
        <w:rPr>
          <w:rStyle w:val="FootnoteReference"/>
        </w:rPr>
        <w:footnoteRef/>
      </w:r>
      <w:r>
        <w:t xml:space="preserve"> </w:t>
      </w:r>
      <w:r w:rsidRPr="00F33292">
        <w:t>Dati no KP VIS 19.01.202</w:t>
      </w:r>
      <w:r>
        <w:t>3</w:t>
      </w:r>
      <w:r w:rsidRPr="00F33292">
        <w:t xml:space="preserve">. par apstiprināto ES fondu finansējumu ar </w:t>
      </w:r>
      <w:r w:rsidRPr="00F33292">
        <w:t>virssaistībām.</w:t>
      </w:r>
    </w:p>
  </w:footnote>
  <w:footnote w:id="7">
    <w:p w14:paraId="2641AD34" w14:textId="77777777" w:rsidR="00005139" w:rsidRPr="00005139" w:rsidRDefault="00005139">
      <w:pPr>
        <w:pStyle w:val="FootnoteText"/>
        <w:rPr>
          <w:lang w:val="en-GB"/>
        </w:rPr>
      </w:pPr>
      <w:r>
        <w:rPr>
          <w:rStyle w:val="FootnoteReference"/>
        </w:rPr>
        <w:footnoteRef/>
      </w:r>
      <w:r>
        <w:t xml:space="preserve"> Dati no </w:t>
      </w:r>
      <w:r w:rsidRPr="00DB69B2">
        <w:t>KPVIS, 19.01.2023.</w:t>
      </w:r>
      <w:r>
        <w:t xml:space="preserve"> par apstiprinātajiem projektiem</w:t>
      </w:r>
    </w:p>
  </w:footnote>
  <w:footnote w:id="8">
    <w:p w14:paraId="6785700F" w14:textId="46C29C13" w:rsidR="00005139" w:rsidRPr="00005139" w:rsidRDefault="00005139">
      <w:pPr>
        <w:pStyle w:val="FootnoteText"/>
      </w:pPr>
      <w:r>
        <w:rPr>
          <w:rStyle w:val="FootnoteReference"/>
        </w:rPr>
        <w:footnoteRef/>
      </w:r>
      <w:r>
        <w:t xml:space="preserve"> </w:t>
      </w:r>
      <w:r w:rsidRPr="00005139">
        <w:t xml:space="preserve">5.4.2.2. SAMP bija projektā 5.4.2.2/17/I/002 "Valsts vides monitoringa programmu un kontroles sistēmas attīstība un sabiedrības līdzdalības veicināšana, pilnveidojot nacionālas nozīmes vides informācijas un izglītības centru infrastruktūru" plānoti 5650 apmācītie, taču projekta realizācija turpinās līdz 2023.gada 31.decembrim un centru, kas radīs iespēju sniegt apmācību,  izveidi ir plānots pabeigt  </w:t>
      </w:r>
      <w:r w:rsidR="001E5BAA">
        <w:t xml:space="preserve">līdz minētajam datumam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3ACF"/>
    <w:multiLevelType w:val="hybridMultilevel"/>
    <w:tmpl w:val="B67AED7C"/>
    <w:lvl w:ilvl="0" w:tplc="A9387B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11382"/>
    <w:multiLevelType w:val="hybridMultilevel"/>
    <w:tmpl w:val="6C4C0B02"/>
    <w:lvl w:ilvl="0" w:tplc="C0DA270C">
      <w:start w:val="1"/>
      <w:numFmt w:val="decimal"/>
      <w:lvlText w:val="%1."/>
      <w:lvlJc w:val="left"/>
      <w:pPr>
        <w:ind w:left="720" w:hanging="360"/>
      </w:pPr>
      <w:rPr>
        <w:rFonts w:eastAsia="Calibri" w:hint="default"/>
        <w:b w:val="0"/>
        <w:i/>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399135B"/>
    <w:multiLevelType w:val="hybridMultilevel"/>
    <w:tmpl w:val="F4E8FF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2277CC"/>
    <w:multiLevelType w:val="multilevel"/>
    <w:tmpl w:val="239A0F78"/>
    <w:lvl w:ilvl="0">
      <w:start w:val="2"/>
      <w:numFmt w:val="decimal"/>
      <w:lvlText w:val="%1."/>
      <w:lvlJc w:val="left"/>
      <w:pPr>
        <w:ind w:left="7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20" w:hanging="1800"/>
      </w:pPr>
      <w:rPr>
        <w:rFonts w:hint="default"/>
      </w:rPr>
    </w:lvl>
  </w:abstractNum>
  <w:num w:numId="1" w16cid:durableId="860318071">
    <w:abstractNumId w:val="0"/>
  </w:num>
  <w:num w:numId="2" w16cid:durableId="953051128">
    <w:abstractNumId w:val="3"/>
  </w:num>
  <w:num w:numId="3" w16cid:durableId="468670527">
    <w:abstractNumId w:val="1"/>
  </w:num>
  <w:num w:numId="4" w16cid:durableId="930744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4B"/>
    <w:rsid w:val="00005139"/>
    <w:rsid w:val="0002144C"/>
    <w:rsid w:val="0003594B"/>
    <w:rsid w:val="001E5BAA"/>
    <w:rsid w:val="004646D1"/>
    <w:rsid w:val="005330EF"/>
    <w:rsid w:val="0068161C"/>
    <w:rsid w:val="007D7A77"/>
    <w:rsid w:val="00864D04"/>
    <w:rsid w:val="00917F01"/>
    <w:rsid w:val="00AD6551"/>
    <w:rsid w:val="00B032E8"/>
    <w:rsid w:val="00B433E4"/>
    <w:rsid w:val="00CC0591"/>
    <w:rsid w:val="00E92A00"/>
    <w:rsid w:val="00FC6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7E5A"/>
  <w15:chartTrackingRefBased/>
  <w15:docId w15:val="{E02011F9-AED9-4497-8923-6130DCD7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94B"/>
    <w:pPr>
      <w:spacing w:after="0" w:line="240" w:lineRule="auto"/>
    </w:pPr>
    <w:rPr>
      <w:rFonts w:ascii="Times New Roman" w:eastAsia="Calibri" w:hAnsi="Times New Roman" w:cs="Times New Roman"/>
      <w:sz w:val="24"/>
      <w:lang w:val="lv-LV"/>
    </w:rPr>
  </w:style>
  <w:style w:type="paragraph" w:styleId="Heading1">
    <w:name w:val="heading 1"/>
    <w:basedOn w:val="Normal"/>
    <w:next w:val="Normal"/>
    <w:link w:val="Heading1Char"/>
    <w:uiPriority w:val="9"/>
    <w:qFormat/>
    <w:rsid w:val="0003594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59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594B"/>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94B"/>
    <w:rPr>
      <w:rFonts w:asciiTheme="majorHAnsi" w:eastAsiaTheme="majorEastAsia" w:hAnsiTheme="majorHAnsi" w:cstheme="majorBidi"/>
      <w:color w:val="2F5496" w:themeColor="accent1" w:themeShade="BF"/>
      <w:sz w:val="32"/>
      <w:szCs w:val="32"/>
      <w:lang w:val="lv-LV"/>
    </w:rPr>
  </w:style>
  <w:style w:type="character" w:customStyle="1" w:styleId="Heading2Char">
    <w:name w:val="Heading 2 Char"/>
    <w:basedOn w:val="DefaultParagraphFont"/>
    <w:link w:val="Heading2"/>
    <w:uiPriority w:val="9"/>
    <w:rsid w:val="0003594B"/>
    <w:rPr>
      <w:rFonts w:asciiTheme="majorHAnsi" w:eastAsiaTheme="majorEastAsia" w:hAnsiTheme="majorHAnsi" w:cstheme="majorBidi"/>
      <w:color w:val="2F5496" w:themeColor="accent1" w:themeShade="BF"/>
      <w:sz w:val="26"/>
      <w:szCs w:val="26"/>
      <w:lang w:val="lv-LV"/>
    </w:rPr>
  </w:style>
  <w:style w:type="character" w:customStyle="1" w:styleId="Heading3Char">
    <w:name w:val="Heading 3 Char"/>
    <w:basedOn w:val="DefaultParagraphFont"/>
    <w:link w:val="Heading3"/>
    <w:uiPriority w:val="9"/>
    <w:rsid w:val="0003594B"/>
    <w:rPr>
      <w:rFonts w:asciiTheme="majorHAnsi" w:eastAsiaTheme="majorEastAsia" w:hAnsiTheme="majorHAnsi" w:cstheme="majorBidi"/>
      <w:color w:val="1F3763" w:themeColor="accent1" w:themeShade="7F"/>
      <w:sz w:val="24"/>
      <w:szCs w:val="24"/>
      <w:lang w:val="lv-LV"/>
    </w:rPr>
  </w:style>
  <w:style w:type="paragraph" w:styleId="ListParagraph">
    <w:name w:val="List Paragraph"/>
    <w:aliases w:val="H&amp;P List Paragraph,2,Saraksta rindkopa1,Strip,Numbered Para 1,Dot pt,No Spacing1,List Paragraph Char Char Char,Indicator Text,List Paragraph1,Bullet 1,Bullet Points,MAIN CONTENT,IFCL - List Paragraph,List Paragraph12,Normal bullet 2"/>
    <w:basedOn w:val="Normal"/>
    <w:link w:val="ListParagraphChar"/>
    <w:uiPriority w:val="34"/>
    <w:qFormat/>
    <w:rsid w:val="0003594B"/>
    <w:pPr>
      <w:ind w:left="720"/>
      <w:contextualSpacing/>
    </w:p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03594B"/>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03594B"/>
    <w:rPr>
      <w:rFonts w:ascii="Times New Roman" w:eastAsia="Calibri" w:hAnsi="Times New Roman" w:cs="Times New Roman"/>
      <w:sz w:val="20"/>
      <w:szCs w:val="20"/>
      <w:lang w:val="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unhideWhenUsed/>
    <w:rsid w:val="0003594B"/>
    <w:rPr>
      <w:vertAlign w:val="superscript"/>
    </w:rPr>
  </w:style>
  <w:style w:type="character" w:customStyle="1" w:styleId="ListParagraphChar">
    <w:name w:val="List Paragraph Char"/>
    <w:aliases w:val="H&amp;P List Paragraph Char,2 Char,Saraksta rindkopa1 Char,Strip Char,Numbered Para 1 Char,Dot pt Char,No Spacing1 Char,List Paragraph Char Char Char Char,Indicator Text Char,List Paragraph1 Char,Bullet 1 Char,Bullet Points Char"/>
    <w:link w:val="ListParagraph"/>
    <w:uiPriority w:val="34"/>
    <w:qFormat/>
    <w:locked/>
    <w:rsid w:val="0003594B"/>
    <w:rPr>
      <w:rFonts w:ascii="Times New Roman" w:eastAsia="Calibri" w:hAnsi="Times New Roman" w:cs="Times New Roman"/>
      <w:sz w:val="24"/>
      <w:lang w:val="lv-LV"/>
    </w:rPr>
  </w:style>
  <w:style w:type="character" w:styleId="Hyperlink">
    <w:name w:val="Hyperlink"/>
    <w:basedOn w:val="DefaultParagraphFont"/>
    <w:uiPriority w:val="99"/>
    <w:unhideWhenUsed/>
    <w:rsid w:val="0003594B"/>
    <w:rPr>
      <w:color w:val="0563C1" w:themeColor="hyperlink"/>
      <w:u w:val="single"/>
    </w:rPr>
  </w:style>
  <w:style w:type="paragraph" w:styleId="Footer">
    <w:name w:val="footer"/>
    <w:basedOn w:val="Normal"/>
    <w:link w:val="FooterChar"/>
    <w:uiPriority w:val="99"/>
    <w:unhideWhenUsed/>
    <w:rsid w:val="0003594B"/>
    <w:pPr>
      <w:tabs>
        <w:tab w:val="center" w:pos="4153"/>
        <w:tab w:val="right" w:pos="8306"/>
      </w:tabs>
    </w:pPr>
  </w:style>
  <w:style w:type="character" w:customStyle="1" w:styleId="FooterChar">
    <w:name w:val="Footer Char"/>
    <w:basedOn w:val="DefaultParagraphFont"/>
    <w:link w:val="Footer"/>
    <w:uiPriority w:val="99"/>
    <w:rsid w:val="0003594B"/>
    <w:rPr>
      <w:rFonts w:ascii="Times New Roman" w:eastAsia="Calibri" w:hAnsi="Times New Roman" w:cs="Times New Roman"/>
      <w:sz w:val="24"/>
      <w:lang w:val="lv-LV"/>
    </w:rPr>
  </w:style>
  <w:style w:type="paragraph" w:styleId="TOC1">
    <w:name w:val="toc 1"/>
    <w:basedOn w:val="Normal"/>
    <w:next w:val="Normal"/>
    <w:autoRedefine/>
    <w:uiPriority w:val="39"/>
    <w:unhideWhenUsed/>
    <w:rsid w:val="0003594B"/>
    <w:pPr>
      <w:spacing w:after="100"/>
    </w:pPr>
  </w:style>
  <w:style w:type="paragraph" w:styleId="TOC2">
    <w:name w:val="toc 2"/>
    <w:basedOn w:val="Normal"/>
    <w:next w:val="Normal"/>
    <w:autoRedefine/>
    <w:uiPriority w:val="39"/>
    <w:unhideWhenUsed/>
    <w:rsid w:val="0003594B"/>
    <w:pPr>
      <w:spacing w:after="100"/>
      <w:ind w:left="240"/>
    </w:pPr>
  </w:style>
  <w:style w:type="table" w:styleId="ListTable4-Accent6">
    <w:name w:val="List Table 4 Accent 6"/>
    <w:basedOn w:val="TableNormal"/>
    <w:uiPriority w:val="49"/>
    <w:rsid w:val="0003594B"/>
    <w:pPr>
      <w:spacing w:after="0" w:line="240" w:lineRule="auto"/>
    </w:pPr>
    <w:rPr>
      <w:rFonts w:ascii="Times New Roman" w:hAnsi="Times New Roman" w:cs="Times New Roma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03594B"/>
    <w:rPr>
      <w:sz w:val="16"/>
      <w:szCs w:val="16"/>
    </w:rPr>
  </w:style>
  <w:style w:type="paragraph" w:styleId="CommentText">
    <w:name w:val="annotation text"/>
    <w:basedOn w:val="Normal"/>
    <w:link w:val="CommentTextChar"/>
    <w:uiPriority w:val="99"/>
    <w:unhideWhenUsed/>
    <w:rsid w:val="0003594B"/>
    <w:rPr>
      <w:sz w:val="20"/>
      <w:szCs w:val="20"/>
    </w:rPr>
  </w:style>
  <w:style w:type="character" w:customStyle="1" w:styleId="CommentTextChar">
    <w:name w:val="Comment Text Char"/>
    <w:basedOn w:val="DefaultParagraphFont"/>
    <w:link w:val="CommentText"/>
    <w:uiPriority w:val="99"/>
    <w:rsid w:val="0003594B"/>
    <w:rPr>
      <w:rFonts w:ascii="Times New Roman" w:eastAsia="Calibri" w:hAnsi="Times New Roman" w:cs="Times New Roman"/>
      <w:sz w:val="20"/>
      <w:szCs w:val="20"/>
      <w:lang w:val="lv-LV"/>
    </w:rPr>
  </w:style>
  <w:style w:type="paragraph" w:styleId="TOC3">
    <w:name w:val="toc 3"/>
    <w:basedOn w:val="Normal"/>
    <w:next w:val="Normal"/>
    <w:autoRedefine/>
    <w:uiPriority w:val="39"/>
    <w:unhideWhenUsed/>
    <w:rsid w:val="0003594B"/>
    <w:pPr>
      <w:spacing w:after="100"/>
      <w:ind w:left="480"/>
    </w:pPr>
  </w:style>
  <w:style w:type="paragraph" w:styleId="TOCHeading">
    <w:name w:val="TOC Heading"/>
    <w:basedOn w:val="Heading1"/>
    <w:next w:val="Normal"/>
    <w:uiPriority w:val="39"/>
    <w:unhideWhenUsed/>
    <w:qFormat/>
    <w:rsid w:val="0003594B"/>
    <w:pPr>
      <w:spacing w:line="259" w:lineRule="auto"/>
      <w:outlineLvl w:val="9"/>
    </w:pPr>
    <w:rPr>
      <w:lang w:val="en-US"/>
    </w:rPr>
  </w:style>
  <w:style w:type="table" w:styleId="ListTable3-Accent6">
    <w:name w:val="List Table 3 Accent 6"/>
    <w:basedOn w:val="TableNormal"/>
    <w:uiPriority w:val="48"/>
    <w:rsid w:val="0003594B"/>
    <w:pPr>
      <w:spacing w:after="0" w:line="240" w:lineRule="auto"/>
    </w:pPr>
    <w:rPr>
      <w:rFonts w:ascii="Times New Roman" w:hAnsi="Times New Roman" w:cs="Times New Roman"/>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BalloonText">
    <w:name w:val="Balloon Text"/>
    <w:basedOn w:val="Normal"/>
    <w:link w:val="BalloonTextChar"/>
    <w:uiPriority w:val="99"/>
    <w:semiHidden/>
    <w:unhideWhenUsed/>
    <w:rsid w:val="000359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94B"/>
    <w:rPr>
      <w:rFonts w:ascii="Segoe UI" w:eastAsia="Calibr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varam.gov.lv/lat/fondi/kohez/2014_2020/?doc=25726" TargetMode="External"/><Relationship Id="rId1" Type="http://schemas.openxmlformats.org/officeDocument/2006/relationships/hyperlink" Target="http://www.esfondi.lv/upload/Planosana/partnership-agre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1" ma:contentTypeDescription="Izveidot jaunu dokumentu." ma:contentTypeScope="" ma:versionID="45dae31adb184fa28c5d354aa2220430">
  <xsd:schema xmlns:xsd="http://www.w3.org/2001/XMLSchema" xmlns:xs="http://www.w3.org/2001/XMLSchema" xmlns:p="http://schemas.microsoft.com/office/2006/metadata/properties" xmlns:ns3="122e0e09-afb4-4bf9-abab-ecc4519bc6eb" xmlns:ns4="ace8e44c-fa88-44c0-8590-dfda63664a63" targetNamespace="http://schemas.microsoft.com/office/2006/metadata/properties" ma:root="true" ma:fieldsID="8bb415a84dbd96463bf827e8cd81300e" ns3:_="" ns4:_="">
    <xsd:import namespace="122e0e09-afb4-4bf9-abab-ecc4519bc6eb"/>
    <xsd:import namespace="ace8e44c-fa88-44c0-8590-dfda63664a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9F1AF-130C-4871-A968-A7BA2C12A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e0e09-afb4-4bf9-abab-ecc4519bc6eb"/>
    <ds:schemaRef ds:uri="ace8e44c-fa88-44c0-8590-dfda63664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233C6-8DFF-458D-BE22-A4BAAA6088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EEA182-2F71-4E83-8D2D-D07A8FCCD539}">
  <ds:schemaRefs>
    <ds:schemaRef ds:uri="http://schemas.openxmlformats.org/officeDocument/2006/bibliography"/>
  </ds:schemaRefs>
</ds:datastoreItem>
</file>

<file path=customXml/itemProps4.xml><?xml version="1.0" encoding="utf-8"?>
<ds:datastoreItem xmlns:ds="http://schemas.openxmlformats.org/officeDocument/2006/customXml" ds:itemID="{14D17BC0-3916-4987-BF71-AEDD6196E8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13517</Words>
  <Characters>7706</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dc:creator>
  <cp:keywords/>
  <dc:description/>
  <cp:lastModifiedBy>Lita Trakina</cp:lastModifiedBy>
  <cp:revision>2</cp:revision>
  <dcterms:created xsi:type="dcterms:W3CDTF">2023-04-13T06:40:00Z</dcterms:created>
  <dcterms:modified xsi:type="dcterms:W3CDTF">2023-04-13T06:40:00Z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