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CCA1" w14:textId="54F1D4D5" w:rsidR="001D06B8" w:rsidRPr="001D06B8" w:rsidRDefault="00B06927" w:rsidP="006F7F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SATURISKĀ ATSKAITE</w:t>
      </w:r>
      <w:r w:rsidR="003462DD">
        <w:rPr>
          <w:rFonts w:ascii="Times New Roman" w:hAnsi="Times New Roman"/>
          <w:b/>
          <w:sz w:val="24"/>
          <w:szCs w:val="24"/>
        </w:rPr>
        <w:t xml:space="preserve"> NR.___</w:t>
      </w:r>
    </w:p>
    <w:p w14:paraId="41FC271D" w14:textId="330E001D" w:rsidR="001D06B8" w:rsidRDefault="00B06927" w:rsidP="006F7F1E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6B8">
        <w:rPr>
          <w:rFonts w:ascii="Times New Roman" w:hAnsi="Times New Roman"/>
          <w:i/>
          <w:sz w:val="24"/>
          <w:szCs w:val="24"/>
        </w:rPr>
        <w:t>Projekta Nr. LV-CLIMATE-0001 “Klimata pārmaiņu politikas integrācija nozaru un reģionālajā politikā” 1.1.</w:t>
      </w:r>
      <w:r>
        <w:rPr>
          <w:rFonts w:ascii="Times New Roman" w:hAnsi="Times New Roman"/>
          <w:i/>
          <w:sz w:val="24"/>
          <w:szCs w:val="24"/>
        </w:rPr>
        <w:t xml:space="preserve">iznākuma </w:t>
      </w:r>
      <w:r w:rsidR="003622E9" w:rsidRPr="003622E9">
        <w:rPr>
          <w:rFonts w:ascii="Times New Roman" w:hAnsi="Times New Roman"/>
          <w:i/>
          <w:sz w:val="24"/>
          <w:szCs w:val="24"/>
        </w:rPr>
        <w:t xml:space="preserve">5.2. aktivitātes “SEG inventarizācijas kvalitātes kontroles un kvalitātes nodrošināšanas sistēmas uzlabošana un SEG aprēķina uzlabošana enerģētikas nozarē, pamatojoties uz 2019. gada KPSP vadlīniju papildinājuma 2006. gada KPSP vadlīnijām” 5.2.2. </w:t>
      </w:r>
      <w:proofErr w:type="spellStart"/>
      <w:r w:rsidR="003622E9" w:rsidRPr="003622E9">
        <w:rPr>
          <w:rFonts w:ascii="Times New Roman" w:hAnsi="Times New Roman"/>
          <w:i/>
          <w:sz w:val="24"/>
          <w:szCs w:val="24"/>
        </w:rPr>
        <w:t>apakšaktivitātes</w:t>
      </w:r>
      <w:proofErr w:type="spellEnd"/>
      <w:r w:rsidR="003622E9" w:rsidRPr="003622E9">
        <w:rPr>
          <w:rFonts w:ascii="Times New Roman" w:hAnsi="Times New Roman"/>
          <w:i/>
          <w:sz w:val="24"/>
          <w:szCs w:val="24"/>
        </w:rPr>
        <w:t xml:space="preserve"> “Aprēķinu metodikas izstrāde noplūdes emisijām no kurināmā pārveidošanas” </w:t>
      </w:r>
      <w:r w:rsidRPr="001D06B8">
        <w:rPr>
          <w:rFonts w:ascii="Times New Roman" w:hAnsi="Times New Roman"/>
          <w:i/>
          <w:sz w:val="24"/>
          <w:szCs w:val="24"/>
        </w:rPr>
        <w:t>ieviešanai</w:t>
      </w:r>
      <w:r w:rsidR="003462DD">
        <w:rPr>
          <w:rFonts w:ascii="Times New Roman" w:hAnsi="Times New Roman"/>
          <w:i/>
          <w:sz w:val="24"/>
          <w:szCs w:val="24"/>
        </w:rPr>
        <w:t xml:space="preserve"> 202</w:t>
      </w:r>
      <w:r w:rsidR="00782273">
        <w:rPr>
          <w:rFonts w:ascii="Times New Roman" w:hAnsi="Times New Roman"/>
          <w:i/>
          <w:sz w:val="24"/>
          <w:szCs w:val="24"/>
        </w:rPr>
        <w:t>2</w:t>
      </w:r>
      <w:r w:rsidR="003462DD">
        <w:rPr>
          <w:rFonts w:ascii="Times New Roman" w:hAnsi="Times New Roman"/>
          <w:i/>
          <w:sz w:val="24"/>
          <w:szCs w:val="24"/>
        </w:rPr>
        <w:t>.gadā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2547"/>
        <w:gridCol w:w="1872"/>
        <w:gridCol w:w="1813"/>
        <w:gridCol w:w="1560"/>
        <w:gridCol w:w="1559"/>
        <w:gridCol w:w="4819"/>
      </w:tblGrid>
      <w:tr w:rsidR="0040415F" w14:paraId="2144E29F" w14:textId="77777777" w:rsidTr="00EA753D">
        <w:trPr>
          <w:trHeight w:val="375"/>
        </w:trPr>
        <w:tc>
          <w:tcPr>
            <w:tcW w:w="4419" w:type="dxa"/>
            <w:gridSpan w:val="2"/>
            <w:noWrap/>
            <w:vAlign w:val="center"/>
            <w:hideMark/>
          </w:tcPr>
          <w:p w14:paraId="596E21E5" w14:textId="77777777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 xml:space="preserve">Projekta aktivitātes ieviesējs 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71172DCC" w14:textId="5A52294F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FEI</w:t>
            </w:r>
          </w:p>
        </w:tc>
      </w:tr>
      <w:tr w:rsidR="0040415F" w14:paraId="76FE6688" w14:textId="77777777" w:rsidTr="00EA753D">
        <w:trPr>
          <w:trHeight w:val="375"/>
        </w:trPr>
        <w:tc>
          <w:tcPr>
            <w:tcW w:w="4419" w:type="dxa"/>
            <w:gridSpan w:val="2"/>
            <w:noWrap/>
            <w:vAlign w:val="center"/>
            <w:hideMark/>
          </w:tcPr>
          <w:p w14:paraId="6AB6BCCF" w14:textId="77777777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9751" w:type="dxa"/>
            <w:gridSpan w:val="4"/>
            <w:vAlign w:val="center"/>
            <w:hideMark/>
          </w:tcPr>
          <w:p w14:paraId="7F76433D" w14:textId="77777777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Norvēģijas finanšu instrumenta 2014.–2021.gada perioda programma “Klimata pārmaiņu mazināšana, pielāgošanās tām un vide”</w:t>
            </w:r>
          </w:p>
        </w:tc>
      </w:tr>
      <w:tr w:rsidR="0040415F" w14:paraId="5C977DCF" w14:textId="77777777" w:rsidTr="00EA753D">
        <w:trPr>
          <w:trHeight w:val="375"/>
        </w:trPr>
        <w:tc>
          <w:tcPr>
            <w:tcW w:w="4419" w:type="dxa"/>
            <w:gridSpan w:val="2"/>
            <w:noWrap/>
            <w:vAlign w:val="center"/>
            <w:hideMark/>
          </w:tcPr>
          <w:p w14:paraId="18B0547D" w14:textId="37E68B42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Nr. un nosaukums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3FA5F43C" w14:textId="22792FC8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Nr. LV-CLIMATE-0001 “Klimata pārmaiņu politikas integrācija nozaru un reģionālajā politikā”</w:t>
            </w:r>
          </w:p>
        </w:tc>
      </w:tr>
      <w:tr w:rsidR="0040415F" w14:paraId="68B813A9" w14:textId="77777777" w:rsidTr="00EA753D">
        <w:trPr>
          <w:trHeight w:val="375"/>
        </w:trPr>
        <w:tc>
          <w:tcPr>
            <w:tcW w:w="4419" w:type="dxa"/>
            <w:gridSpan w:val="2"/>
            <w:noWrap/>
            <w:vAlign w:val="center"/>
            <w:hideMark/>
          </w:tcPr>
          <w:p w14:paraId="3AC24A23" w14:textId="77777777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aktivitātes ieviešanas atskaites periods, laiks no-līdz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4AA2F5AF" w14:textId="1EA5799C" w:rsidR="00EE10A6" w:rsidRPr="00EE10A6" w:rsidRDefault="00B06927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01.0</w:t>
            </w:r>
            <w:r w:rsidR="009D0675">
              <w:rPr>
                <w:rFonts w:ascii="Times New Roman" w:hAnsi="Times New Roman"/>
                <w:sz w:val="24"/>
                <w:szCs w:val="24"/>
              </w:rPr>
              <w:t>1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.202</w:t>
            </w:r>
            <w:r w:rsidR="009D0675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.-3</w:t>
            </w:r>
            <w:r w:rsidR="009D0675">
              <w:rPr>
                <w:rFonts w:ascii="Times New Roman" w:hAnsi="Times New Roman"/>
                <w:sz w:val="24"/>
                <w:szCs w:val="24"/>
              </w:rPr>
              <w:t>1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.0</w:t>
            </w:r>
            <w:r w:rsidR="009D0675">
              <w:rPr>
                <w:rFonts w:ascii="Times New Roman" w:hAnsi="Times New Roman"/>
                <w:sz w:val="24"/>
                <w:szCs w:val="24"/>
              </w:rPr>
              <w:t>3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.202</w:t>
            </w:r>
            <w:r w:rsidR="009D0675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15F" w14:paraId="12FEEA3D" w14:textId="77777777" w:rsidTr="00AB7DB9">
        <w:trPr>
          <w:trHeight w:val="424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5494C" w14:textId="77777777" w:rsidR="00391BA6" w:rsidRPr="00FD5BFE" w:rsidRDefault="00B06927" w:rsidP="00391BA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BFE">
              <w:rPr>
                <w:rFonts w:ascii="Times New Roman" w:hAnsi="Times New Roman"/>
                <w:b/>
                <w:sz w:val="24"/>
                <w:szCs w:val="24"/>
              </w:rPr>
              <w:t>Aktivitāte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9A036" w14:textId="53E0DD6C" w:rsidR="00391BA6" w:rsidRPr="00FD5BFE" w:rsidRDefault="00B06927" w:rsidP="00391BA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Eksperta vārds, uzvārds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3E28E" w14:textId="30B5BA86" w:rsidR="00391BA6" w:rsidRPr="00FD5BFE" w:rsidRDefault="00B06927" w:rsidP="003462D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BFE">
              <w:rPr>
                <w:rFonts w:ascii="Times New Roman" w:hAnsi="Times New Roman"/>
                <w:b/>
                <w:sz w:val="24"/>
                <w:szCs w:val="24"/>
              </w:rPr>
              <w:t xml:space="preserve">Izpildes </w:t>
            </w:r>
            <w:r w:rsidR="003462DD">
              <w:rPr>
                <w:rFonts w:ascii="Times New Roman" w:hAnsi="Times New Roman"/>
                <w:b/>
                <w:sz w:val="24"/>
                <w:szCs w:val="24"/>
              </w:rPr>
              <w:t>laiks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723A3" w14:textId="29D42A08" w:rsidR="00391BA6" w:rsidRPr="00FD5BFE" w:rsidRDefault="00B06927" w:rsidP="00EA753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Nostrādātās d</w:t>
            </w:r>
            <w:r w:rsidR="00EE10A6">
              <w:rPr>
                <w:rFonts w:ascii="Times New Roman" w:hAnsi="Times New Roman"/>
                <w:b/>
                <w:sz w:val="24"/>
                <w:szCs w:val="24"/>
              </w:rPr>
              <w:t>arba stundas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BBCF4" w14:textId="77777777" w:rsidR="003462DD" w:rsidRDefault="00B06927" w:rsidP="003A718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F4474F">
              <w:rPr>
                <w:rFonts w:ascii="Times New Roman" w:hAnsi="Times New Roman"/>
                <w:b/>
                <w:sz w:val="24"/>
                <w:szCs w:val="24"/>
              </w:rPr>
              <w:t>zdevumu izpildes rezultāti</w:t>
            </w:r>
          </w:p>
          <w:p w14:paraId="770EEF4A" w14:textId="5E3CBEA5" w:rsidR="00391BA6" w:rsidRPr="00FD5BFE" w:rsidRDefault="00B06927" w:rsidP="003A718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atskaites periodā</w:t>
            </w:r>
          </w:p>
        </w:tc>
      </w:tr>
      <w:tr w:rsidR="0040415F" w14:paraId="63C649CC" w14:textId="77777777" w:rsidTr="00FD5CC1">
        <w:trPr>
          <w:trHeight w:val="1114"/>
        </w:trPr>
        <w:tc>
          <w:tcPr>
            <w:tcW w:w="141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CDF7B" w14:textId="2907980A" w:rsidR="00EE10A6" w:rsidRPr="007C76D8" w:rsidRDefault="00B06927" w:rsidP="00EE10A6">
            <w:pPr>
              <w:pStyle w:val="NoSpacing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76D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5.2. aktivitātes “SEG inventarizācijas kvalitātes kontroles un kvalitātes nodrošināšanas sistēmas uzlabošana un SEG aprēķina uzlabošana enerģētikas nozarē, pamatojoties uz 2019. gada KPSP vadlīniju papildinājuma 2006. gada KPSP vadlīnijām” 5.2.2. </w:t>
            </w:r>
            <w:proofErr w:type="spellStart"/>
            <w:r w:rsidRPr="007C76D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apakšaktivitāte</w:t>
            </w:r>
            <w:proofErr w:type="spellEnd"/>
            <w:r w:rsidRPr="007C76D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“Aprēķinu metodikas izstrāde noplūdes emisijām no kurināmā pārveidošanas”</w:t>
            </w:r>
          </w:p>
        </w:tc>
      </w:tr>
      <w:tr w:rsidR="0040415F" w14:paraId="5096919F" w14:textId="77777777" w:rsidTr="00EE10A6">
        <w:trPr>
          <w:trHeight w:val="59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DF5EA" w14:textId="78F5D642" w:rsidR="007D1E1B" w:rsidRPr="005411A8" w:rsidRDefault="00B06927" w:rsidP="004A7EF5">
            <w:pPr>
              <w:spacing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="004057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  <w:r w:rsidR="0040579F" w:rsidRPr="004057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057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0579F" w:rsidRPr="0040579F">
              <w:rPr>
                <w:rFonts w:ascii="Times New Roman" w:hAnsi="Times New Roman"/>
                <w:iCs/>
                <w:sz w:val="24"/>
                <w:szCs w:val="24"/>
              </w:rPr>
              <w:t xml:space="preserve">Aprēķinu metodikas izstrāde </w:t>
            </w:r>
            <w:r w:rsidR="0040579F" w:rsidRPr="004057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noplūdes emisijām no kurināmā pārveidošana</w:t>
            </w:r>
          </w:p>
          <w:p w14:paraId="7D4E04C7" w14:textId="49C3EE96" w:rsidR="00391BA6" w:rsidRPr="005411A8" w:rsidRDefault="00B06927" w:rsidP="004A7EF5">
            <w:pPr>
              <w:spacing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(ja ir vairāki nodarbinātie, jāatspoguļo katra eksperta darba uzdevumi un darba izpildei paredzētais apjoms (h)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351A302B" w14:textId="6309F4A1" w:rsidR="00391BA6" w:rsidRPr="00FD5BFE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8B6AE6C" w14:textId="585A6F71" w:rsidR="00391BA6" w:rsidRPr="00FD5BFE" w:rsidRDefault="00B06927" w:rsidP="003462D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D067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1.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34E460B" w14:textId="77777777" w:rsidR="00391BA6" w:rsidRPr="00FD5BFE" w:rsidRDefault="00391BA6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0CE1E18D" w14:textId="1BCEFA3F" w:rsidR="00391BA6" w:rsidRPr="00EE10A6" w:rsidRDefault="00B06927" w:rsidP="001D06B8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sasniegto rezultātu uzdevuma izpildē atskaites periodā </w:t>
            </w:r>
          </w:p>
        </w:tc>
      </w:tr>
      <w:tr w:rsidR="0040415F" w14:paraId="3BD30993" w14:textId="77777777" w:rsidTr="00EE10A6">
        <w:trPr>
          <w:trHeight w:val="610"/>
        </w:trPr>
        <w:tc>
          <w:tcPr>
            <w:tcW w:w="254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D71D4" w14:textId="77777777" w:rsidR="00391BA6" w:rsidRPr="005411A8" w:rsidRDefault="00391BA6" w:rsidP="001D06B8">
            <w:pPr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0AE4AF88" w14:textId="08DD7C42" w:rsidR="00391BA6" w:rsidRPr="00FD5BFE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14:paraId="022E9BE6" w14:textId="582E42C3" w:rsidR="00391BA6" w:rsidRPr="00FD5BFE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D067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2.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</w:tcPr>
          <w:p w14:paraId="511F6F77" w14:textId="77777777" w:rsidR="00391BA6" w:rsidRPr="00FD5BFE" w:rsidRDefault="00391BA6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E0408D1" w14:textId="54F11E9F" w:rsidR="00391BA6" w:rsidRPr="00EE10A6" w:rsidRDefault="00B06927" w:rsidP="00A266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:rsidR="0040415F" w14:paraId="154D2162" w14:textId="77777777" w:rsidTr="00EE10A6">
        <w:trPr>
          <w:trHeight w:val="633"/>
        </w:trPr>
        <w:tc>
          <w:tcPr>
            <w:tcW w:w="254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32977" w14:textId="77777777" w:rsidR="00391BA6" w:rsidRPr="005411A8" w:rsidRDefault="00391BA6" w:rsidP="001D06B8">
            <w:pPr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21FA84A3" w14:textId="563C9F8A" w:rsidR="00391BA6" w:rsidRPr="00FD5BFE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14:paraId="22BF22DB" w14:textId="5726CE78" w:rsidR="00391BA6" w:rsidRPr="00FD5BFE" w:rsidRDefault="00B06927" w:rsidP="003462D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822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3.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</w:tcPr>
          <w:p w14:paraId="19A8E388" w14:textId="77777777" w:rsidR="00391BA6" w:rsidRPr="00FD5BFE" w:rsidRDefault="00391BA6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F2DA62E" w14:textId="3E476B6E" w:rsidR="00391BA6" w:rsidRPr="00EE10A6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0415F" w14:paraId="2CBBBFDD" w14:textId="77777777" w:rsidTr="00EE10A6">
        <w:trPr>
          <w:trHeight w:val="507"/>
        </w:trPr>
        <w:tc>
          <w:tcPr>
            <w:tcW w:w="25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66B04" w14:textId="77777777" w:rsidR="00391BA6" w:rsidRPr="005411A8" w:rsidRDefault="00391BA6" w:rsidP="001D06B8">
            <w:pPr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01A75500" w14:textId="77777777" w:rsidR="00391BA6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  <w:p w14:paraId="0B748F02" w14:textId="77777777" w:rsidR="00AB7DB9" w:rsidRDefault="00AB7DB9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50445E0E" w14:textId="35B822F6" w:rsidR="00AB7DB9" w:rsidRPr="00FD5BFE" w:rsidRDefault="00AB7DB9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D9249D" w14:textId="4E7F72DE" w:rsidR="00391BA6" w:rsidRPr="00FD5BFE" w:rsidRDefault="00B06927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822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.gada </w:t>
            </w:r>
            <w:r w:rsidR="003A718D">
              <w:rPr>
                <w:rFonts w:ascii="Times New Roman" w:hAnsi="Times New Roman"/>
                <w:sz w:val="24"/>
                <w:szCs w:val="24"/>
              </w:rPr>
              <w:t xml:space="preserve">4.ceturksnis </w:t>
            </w:r>
          </w:p>
        </w:tc>
        <w:tc>
          <w:tcPr>
            <w:tcW w:w="1559" w:type="dxa"/>
          </w:tcPr>
          <w:p w14:paraId="4A5E7998" w14:textId="77777777" w:rsidR="00391BA6" w:rsidRPr="00FD5BFE" w:rsidRDefault="00391BA6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3267A86" w14:textId="77777777" w:rsidR="00391BA6" w:rsidRDefault="00B06927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363746E3" w14:textId="77777777" w:rsidR="00AB7DB9" w:rsidRDefault="00AB7DB9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256B9EE7" w14:textId="01D0B1F3" w:rsidR="00AB7DB9" w:rsidRPr="00EE10A6" w:rsidRDefault="00AB7DB9" w:rsidP="001D06B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15F" w14:paraId="11C0F0CA" w14:textId="77777777" w:rsidTr="003C1B01">
        <w:trPr>
          <w:trHeight w:val="674"/>
        </w:trPr>
        <w:tc>
          <w:tcPr>
            <w:tcW w:w="14170" w:type="dxa"/>
            <w:gridSpan w:val="6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5AC80" w14:textId="26F8B888" w:rsidR="003A718D" w:rsidRPr="005411A8" w:rsidRDefault="00B06927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Izvērsts apraksts par uzdevumu izpildi</w:t>
            </w:r>
            <w:r w:rsidR="003462DD"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atskaites periodā</w:t>
            </w: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:</w:t>
            </w:r>
          </w:p>
          <w:p w14:paraId="202789A9" w14:textId="77777777" w:rsidR="003A718D" w:rsidRPr="005411A8" w:rsidRDefault="003A718D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7E3F3DB0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5B2E75A8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20649D74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1737718C" w14:textId="77777777" w:rsidR="00AB7DB9" w:rsidRPr="005411A8" w:rsidRDefault="00AB7DB9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EF92270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6AAFE79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28F1555B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D643F07" w14:textId="77777777" w:rsidR="006F7F1E" w:rsidRPr="005411A8" w:rsidRDefault="006F7F1E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10DD382E" w14:textId="62F3E8C5" w:rsidR="003A718D" w:rsidRPr="005411A8" w:rsidRDefault="003A718D" w:rsidP="001D06B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3B7011A8" w14:textId="1EDED3D0" w:rsidR="00F6174A" w:rsidRDefault="00F6174A" w:rsidP="002D14C2">
      <w:pPr>
        <w:pStyle w:val="NoSpacing"/>
        <w:rPr>
          <w:rFonts w:ascii="Times New Roman" w:hAnsi="Times New Roman"/>
          <w:sz w:val="24"/>
          <w:szCs w:val="24"/>
        </w:rPr>
      </w:pPr>
    </w:p>
    <w:p w14:paraId="65709446" w14:textId="2AF526BC" w:rsidR="00CB5BE5" w:rsidRDefault="00CB5BE5" w:rsidP="002D14C2">
      <w:pPr>
        <w:pStyle w:val="NoSpacing"/>
        <w:rPr>
          <w:rFonts w:ascii="Times New Roman" w:hAnsi="Times New Roman"/>
          <w:sz w:val="24"/>
          <w:szCs w:val="24"/>
        </w:rPr>
      </w:pPr>
    </w:p>
    <w:p w14:paraId="19DBC3F4" w14:textId="77777777" w:rsidR="00CB5BE5" w:rsidRPr="00A1544A" w:rsidRDefault="00CB5BE5" w:rsidP="002D14C2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2"/>
        <w:tblW w:w="16526" w:type="dxa"/>
        <w:tblLook w:val="04A0" w:firstRow="1" w:lastRow="0" w:firstColumn="1" w:lastColumn="0" w:noHBand="0" w:noVBand="1"/>
      </w:tblPr>
      <w:tblGrid>
        <w:gridCol w:w="1832"/>
        <w:gridCol w:w="3324"/>
        <w:gridCol w:w="5192"/>
        <w:gridCol w:w="236"/>
        <w:gridCol w:w="2366"/>
        <w:gridCol w:w="2414"/>
        <w:gridCol w:w="1162"/>
      </w:tblGrid>
      <w:tr w:rsidR="0040415F" w14:paraId="34F54BE2" w14:textId="77777777" w:rsidTr="00444D0F">
        <w:trPr>
          <w:trHeight w:val="300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8D58" w14:textId="77777777" w:rsidR="005411A8" w:rsidRPr="00A1544A" w:rsidRDefault="00B06927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44A">
              <w:rPr>
                <w:rFonts w:ascii="Times New Roman" w:hAnsi="Times New Roman"/>
                <w:color w:val="000000"/>
                <w:sz w:val="24"/>
                <w:szCs w:val="24"/>
              </w:rPr>
              <w:t>Atskaiti sagatavoja: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F55D7" w14:textId="77777777" w:rsidR="005411A8" w:rsidRPr="00A1544A" w:rsidRDefault="005411A8" w:rsidP="00444D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F006" w14:textId="77777777" w:rsidR="005411A8" w:rsidRPr="00A1544A" w:rsidRDefault="005411A8" w:rsidP="00444D0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14:paraId="01B0E4A2" w14:textId="77777777" w:rsidR="005411A8" w:rsidRPr="00A1544A" w:rsidRDefault="005411A8" w:rsidP="00444D0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D524" w14:textId="77777777" w:rsidR="005411A8" w:rsidRPr="00A1544A" w:rsidRDefault="005411A8" w:rsidP="00444D0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D26B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0415F" w14:paraId="11408BB5" w14:textId="77777777" w:rsidTr="00657E66">
        <w:trPr>
          <w:trHeight w:val="341"/>
        </w:trPr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DE11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F82A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0966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52FD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14:paraId="37AD91F2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C92F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C280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0415F" w14:paraId="7ADCD5AA" w14:textId="77777777" w:rsidTr="00444D0F">
        <w:trPr>
          <w:trHeight w:val="300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651C" w14:textId="77777777" w:rsidR="005411A8" w:rsidRPr="00A1544A" w:rsidRDefault="00B06927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44A">
              <w:rPr>
                <w:rFonts w:ascii="Times New Roman" w:hAnsi="Times New Roman"/>
                <w:color w:val="000000"/>
                <w:sz w:val="24"/>
                <w:szCs w:val="24"/>
              </w:rPr>
              <w:t>Iestādes vadītāja paraksts: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D284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E8CC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14:paraId="055EA198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02A3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E674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0415F" w14:paraId="3957E8B1" w14:textId="77777777" w:rsidTr="00444D0F">
        <w:trPr>
          <w:trHeight w:val="300"/>
        </w:trPr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DFC2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D8D7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6EE5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2947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14:paraId="6BEF335A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E421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9723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0415F" w14:paraId="336F0835" w14:textId="77777777" w:rsidTr="00A1544A">
        <w:trPr>
          <w:trHeight w:val="80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9302" w14:textId="77777777" w:rsidR="005411A8" w:rsidRPr="00A1544A" w:rsidRDefault="00B06927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44A">
              <w:rPr>
                <w:rFonts w:ascii="Times New Roman" w:hAnsi="Times New Roman"/>
                <w:color w:val="000000"/>
                <w:sz w:val="24"/>
                <w:szCs w:val="24"/>
              </w:rPr>
              <w:t>202___.gada _____.____________________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A338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7FF9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14:paraId="1BC64B20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209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5AB8" w14:textId="77777777" w:rsidR="005411A8" w:rsidRPr="00A1544A" w:rsidRDefault="005411A8" w:rsidP="00444D0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151C834F" w14:textId="77777777" w:rsidR="005E16FC" w:rsidRDefault="005E16FC" w:rsidP="00C53235">
      <w:pPr>
        <w:suppressAutoHyphens/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E24D1" w14:textId="1BC9505B" w:rsidR="00C53235" w:rsidRPr="00C53235" w:rsidRDefault="00B06927" w:rsidP="00C53235">
      <w:pPr>
        <w:suppressAutoHyphens/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53235">
        <w:rPr>
          <w:rFonts w:ascii="Times New Roman" w:eastAsia="Times New Roman" w:hAnsi="Times New Roman"/>
          <w:b/>
          <w:sz w:val="24"/>
          <w:szCs w:val="24"/>
          <w:lang w:eastAsia="zh-CN"/>
        </w:rPr>
        <w:t>PUŠU PARAKSTI:</w:t>
      </w:r>
    </w:p>
    <w:tbl>
      <w:tblPr>
        <w:tblW w:w="970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40415F" w14:paraId="2014D02C" w14:textId="77777777" w:rsidTr="00A832A3">
        <w:tc>
          <w:tcPr>
            <w:tcW w:w="4854" w:type="dxa"/>
          </w:tcPr>
          <w:p w14:paraId="31873859" w14:textId="77777777" w:rsidR="00C53235" w:rsidRPr="00C53235" w:rsidRDefault="00B06927" w:rsidP="00C53235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Vides aizsardzības un reģionālās attīstības ministrija</w:t>
            </w:r>
          </w:p>
          <w:p w14:paraId="2B8980AE" w14:textId="77777777" w:rsidR="00C53235" w:rsidRPr="00C53235" w:rsidRDefault="00B06927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  <w:t>vienotais reģistrācijas Nr. 90000028508</w:t>
            </w:r>
          </w:p>
          <w:p w14:paraId="551A5E96" w14:textId="77777777" w:rsidR="00C53235" w:rsidRPr="00C53235" w:rsidRDefault="00B06927" w:rsidP="00C5323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  <w:t>Peldu iela 25, Rīga, LV–1494</w:t>
            </w:r>
          </w:p>
          <w:p w14:paraId="630F2AE9" w14:textId="77777777" w:rsidR="005E16FC" w:rsidRDefault="005E16FC" w:rsidP="00CB5BE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3847621C" w14:textId="00A8B407" w:rsidR="00CB5BE5" w:rsidRDefault="00CB5BE5" w:rsidP="00657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Valsts sekretāra vietnieks </w:t>
            </w:r>
          </w:p>
          <w:p w14:paraId="258B911C" w14:textId="77777777" w:rsidR="00CB5BE5" w:rsidRDefault="00CB5BE5" w:rsidP="005E16F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klimata politikas jautājumos</w:t>
            </w:r>
          </w:p>
          <w:p w14:paraId="764A96D7" w14:textId="77777777" w:rsidR="00CB5BE5" w:rsidRDefault="00CB5BE5" w:rsidP="005E16F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paraksts* </w:t>
            </w:r>
          </w:p>
          <w:p w14:paraId="2689B4BC" w14:textId="77777777" w:rsidR="00CB5BE5" w:rsidRDefault="00CB5BE5" w:rsidP="005E1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Dagnis Dubrovskis</w:t>
            </w:r>
          </w:p>
          <w:p w14:paraId="65A60518" w14:textId="77777777" w:rsidR="00C53235" w:rsidRPr="00C53235" w:rsidRDefault="00C53235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4853" w:type="dxa"/>
          </w:tcPr>
          <w:p w14:paraId="2D1E60B5" w14:textId="77777777" w:rsidR="00C53235" w:rsidRPr="00C53235" w:rsidRDefault="00B06927" w:rsidP="00C53235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4"/>
                <w:szCs w:val="20"/>
                <w:lang w:eastAsia="ar-SA"/>
              </w:rPr>
              <w:t xml:space="preserve">Atvasināta publiska persona </w:t>
            </w:r>
            <w:r w:rsidRPr="00C5323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0"/>
                <w:lang w:eastAsia="ar-SA"/>
              </w:rPr>
              <w:t>–</w:t>
            </w:r>
          </w:p>
          <w:p w14:paraId="0170C451" w14:textId="77777777" w:rsidR="00C53235" w:rsidRPr="00C53235" w:rsidRDefault="00B06927" w:rsidP="00C53235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0"/>
                <w:lang w:eastAsia="ar-SA"/>
              </w:rPr>
              <w:t xml:space="preserve">Valsts zinātniskais institūts </w:t>
            </w:r>
          </w:p>
          <w:p w14:paraId="5E28129E" w14:textId="77777777" w:rsidR="00C53235" w:rsidRPr="00C53235" w:rsidRDefault="00B06927" w:rsidP="00C53235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“Fizikālās enerģētikas institūts”</w:t>
            </w:r>
          </w:p>
          <w:p w14:paraId="425F2445" w14:textId="77777777" w:rsidR="00C53235" w:rsidRPr="00C53235" w:rsidRDefault="00B06927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  <w:t>vienotais reģistrācijas Nr. </w:t>
            </w:r>
            <w:r w:rsidRPr="00C53235">
              <w:rPr>
                <w:rFonts w:ascii="Times New Roman" w:eastAsia="Times New Roman" w:hAnsi="Times New Roman"/>
                <w:sz w:val="24"/>
                <w:szCs w:val="24"/>
              </w:rPr>
              <w:t>90002128912</w:t>
            </w:r>
          </w:p>
          <w:p w14:paraId="56FF4D72" w14:textId="77777777" w:rsidR="00C53235" w:rsidRPr="00C53235" w:rsidRDefault="00B06927" w:rsidP="00C53235">
            <w:pPr>
              <w:tabs>
                <w:tab w:val="left" w:pos="567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  <w:t>Krīvu iela 11,Rīga, LV-1006</w:t>
            </w:r>
          </w:p>
          <w:p w14:paraId="1DBCBE92" w14:textId="77777777" w:rsidR="005E16FC" w:rsidRDefault="005E16FC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1B4AFB36" w14:textId="0BECFD44" w:rsidR="00C53235" w:rsidRPr="00C53235" w:rsidRDefault="00B06927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53235">
              <w:rPr>
                <w:rFonts w:ascii="Times New Roman" w:eastAsia="Times New Roman" w:hAnsi="Times New Roman"/>
                <w:sz w:val="24"/>
                <w:szCs w:val="20"/>
              </w:rPr>
              <w:t>Direktors</w:t>
            </w:r>
          </w:p>
          <w:p w14:paraId="26941691" w14:textId="77777777" w:rsidR="00C53235" w:rsidRPr="00C53235" w:rsidRDefault="00B06927" w:rsidP="00C532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53235">
              <w:rPr>
                <w:rFonts w:ascii="Times New Roman" w:eastAsia="Times New Roman" w:hAnsi="Times New Roman"/>
                <w:sz w:val="24"/>
                <w:szCs w:val="20"/>
              </w:rPr>
              <w:t>paraksts*</w:t>
            </w:r>
          </w:p>
          <w:p w14:paraId="3D91F262" w14:textId="77777777" w:rsidR="004A7EF5" w:rsidRDefault="004A7EF5" w:rsidP="00C532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1A328B40" w14:textId="43FF8B5B" w:rsidR="00C53235" w:rsidRPr="00C53235" w:rsidRDefault="00B06927" w:rsidP="00C53235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  <w:r w:rsidRPr="00C532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Gaidis Klāvs</w:t>
            </w:r>
          </w:p>
        </w:tc>
      </w:tr>
    </w:tbl>
    <w:p w14:paraId="29B96633" w14:textId="32CA0133" w:rsidR="00657E66" w:rsidRDefault="00B06927" w:rsidP="00C5323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53235">
        <w:rPr>
          <w:rFonts w:ascii="Times New Roman" w:eastAsia="Times New Roman" w:hAnsi="Times New Roman"/>
          <w:sz w:val="24"/>
          <w:szCs w:val="24"/>
          <w:lang w:eastAsia="zh-CN"/>
        </w:rPr>
        <w:t>*Piezīme: “Dokumenta rekvizītus “paraksts” un “datums” neaizpilda, ja elektroniskais dokuments sagatavots atbilstoši normatīvajiem aktiem par elektronisko dokumentu noformēšanu.”</w:t>
      </w:r>
    </w:p>
    <w:p w14:paraId="7689C887" w14:textId="77777777" w:rsidR="00CB5BE5" w:rsidRPr="00C53235" w:rsidRDefault="00CB5BE5" w:rsidP="00657E6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5623E96" w14:textId="1BEAEB65" w:rsidR="00DF0259" w:rsidRPr="00657E66" w:rsidRDefault="00B06927" w:rsidP="00657E6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C53235">
        <w:rPr>
          <w:rFonts w:ascii="Times New Roman" w:eastAsia="Times New Roman" w:hAnsi="Times New Roman"/>
          <w:sz w:val="24"/>
          <w:szCs w:val="24"/>
          <w:lang w:eastAsia="zh-CN"/>
        </w:rPr>
        <w:t>ŠIS DOKUMENTS IR ELEKTRONISKI PARAKSTĪTS AR DROŠU ELEKTRONISKO PARAKSTU UN SATUR LAIKA ZĪMOGU</w:t>
      </w:r>
    </w:p>
    <w:sectPr w:rsidR="00DF0259" w:rsidRPr="00657E66" w:rsidSect="001D06B8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8D64D" w14:textId="77777777" w:rsidR="001762F1" w:rsidRDefault="001762F1">
      <w:pPr>
        <w:spacing w:after="0" w:line="240" w:lineRule="auto"/>
      </w:pPr>
      <w:r>
        <w:separator/>
      </w:r>
    </w:p>
  </w:endnote>
  <w:endnote w:type="continuationSeparator" w:id="0">
    <w:p w14:paraId="56AF6B2D" w14:textId="77777777" w:rsidR="001762F1" w:rsidRDefault="0017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0809" w14:textId="77777777" w:rsidR="001762F1" w:rsidRDefault="001762F1">
      <w:pPr>
        <w:spacing w:after="0" w:line="240" w:lineRule="auto"/>
      </w:pPr>
      <w:r>
        <w:separator/>
      </w:r>
    </w:p>
  </w:footnote>
  <w:footnote w:type="continuationSeparator" w:id="0">
    <w:p w14:paraId="174E739B" w14:textId="77777777" w:rsidR="001762F1" w:rsidRDefault="0017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345E" w14:textId="4D4AFA7E" w:rsidR="003238B1" w:rsidRPr="003238B1" w:rsidRDefault="00B06927" w:rsidP="003238B1">
    <w:pPr>
      <w:spacing w:after="0" w:line="0" w:lineRule="atLeast"/>
      <w:jc w:val="right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b/>
        <w:bCs/>
      </w:rPr>
      <w:t>6</w:t>
    </w:r>
    <w:r w:rsidRPr="003238B1">
      <w:rPr>
        <w:rFonts w:ascii="Times New Roman" w:eastAsia="Times New Roman" w:hAnsi="Times New Roman"/>
        <w:b/>
        <w:bCs/>
      </w:rPr>
      <w:t xml:space="preserve">. pielikums </w:t>
    </w:r>
    <w:r w:rsidRPr="003238B1">
      <w:rPr>
        <w:rFonts w:ascii="Times New Roman" w:eastAsia="Times New Roman" w:hAnsi="Times New Roman"/>
        <w:b/>
      </w:rPr>
      <w:t>līgumam Nr.</w:t>
    </w:r>
    <w:r w:rsidRPr="003238B1">
      <w:rPr>
        <w:rFonts w:ascii="Times New Roman" w:eastAsia="Times New Roman" w:hAnsi="Times New Roman"/>
        <w:b/>
        <w:caps/>
        <w:lang w:eastAsia="lv-LV"/>
      </w:rPr>
      <w:t xml:space="preserve"> </w:t>
    </w:r>
    <w:r w:rsidR="005E16FC">
      <w:rPr>
        <w:rFonts w:ascii="Times New Roman" w:hAnsi="Times New Roman"/>
        <w:sz w:val="24"/>
        <w:szCs w:val="24"/>
      </w:rPr>
      <w:t>{{DOKREGNUMURS}}</w:t>
    </w:r>
  </w:p>
  <w:p w14:paraId="31EDCD78" w14:textId="77777777" w:rsidR="003238B1" w:rsidRPr="003238B1" w:rsidRDefault="00B06927" w:rsidP="003238B1">
    <w:pPr>
      <w:spacing w:after="0" w:line="0" w:lineRule="atLeast"/>
      <w:jc w:val="right"/>
      <w:rPr>
        <w:rFonts w:ascii="Times New Roman" w:eastAsia="Times New Roman" w:hAnsi="Times New Roman"/>
      </w:rPr>
    </w:pPr>
    <w:r w:rsidRPr="003238B1">
      <w:rPr>
        <w:rFonts w:ascii="Times New Roman" w:eastAsia="Times New Roman" w:hAnsi="Times New Roman"/>
      </w:rPr>
      <w:t xml:space="preserve">starp Vides aizsardzības un reģionālās attīstības ministriju </w:t>
    </w:r>
  </w:p>
  <w:p w14:paraId="0AF04DD6" w14:textId="77777777" w:rsidR="003238B1" w:rsidRPr="003238B1" w:rsidRDefault="00B06927" w:rsidP="003238B1">
    <w:pPr>
      <w:spacing w:after="0" w:line="0" w:lineRule="atLeast"/>
      <w:jc w:val="right"/>
      <w:rPr>
        <w:rFonts w:ascii="Times New Roman" w:eastAsia="Times New Roman" w:hAnsi="Times New Roman"/>
      </w:rPr>
    </w:pPr>
    <w:r w:rsidRPr="003238B1">
      <w:rPr>
        <w:rFonts w:ascii="Times New Roman" w:eastAsia="Times New Roman" w:hAnsi="Times New Roman"/>
      </w:rPr>
      <w:t>turpmāk “Ministrija” un</w:t>
    </w:r>
  </w:p>
  <w:p w14:paraId="3FE6CB08" w14:textId="77777777" w:rsidR="003238B1" w:rsidRPr="003238B1" w:rsidRDefault="00B06927" w:rsidP="003238B1">
    <w:pPr>
      <w:tabs>
        <w:tab w:val="center" w:pos="4153"/>
        <w:tab w:val="right" w:pos="8306"/>
      </w:tabs>
      <w:suppressAutoHyphens/>
      <w:spacing w:after="0" w:line="240" w:lineRule="atLeast"/>
      <w:jc w:val="right"/>
      <w:rPr>
        <w:rFonts w:ascii="Times New Roman" w:eastAsia="Times New Roman" w:hAnsi="Times New Roman"/>
        <w:lang w:eastAsia="zh-CN"/>
      </w:rPr>
    </w:pPr>
    <w:r w:rsidRPr="003238B1">
      <w:rPr>
        <w:rFonts w:ascii="Times New Roman" w:eastAsia="Times New Roman" w:hAnsi="Times New Roman"/>
        <w:lang w:eastAsia="zh-CN"/>
      </w:rPr>
      <w:t>Atvasinātu publisku personu –</w:t>
    </w:r>
  </w:p>
  <w:p w14:paraId="1407C5E7" w14:textId="302E1CD3" w:rsidR="003238B1" w:rsidRPr="003238B1" w:rsidRDefault="00B06927" w:rsidP="003238B1">
    <w:pPr>
      <w:tabs>
        <w:tab w:val="center" w:pos="4153"/>
        <w:tab w:val="right" w:pos="8306"/>
      </w:tabs>
      <w:suppressAutoHyphens/>
      <w:spacing w:after="0" w:line="240" w:lineRule="atLeast"/>
      <w:jc w:val="right"/>
      <w:rPr>
        <w:rFonts w:ascii="Times New Roman" w:eastAsia="Times New Roman" w:hAnsi="Times New Roman"/>
        <w:lang w:eastAsia="zh-CN"/>
      </w:rPr>
    </w:pPr>
    <w:r w:rsidRPr="003238B1">
      <w:rPr>
        <w:rFonts w:ascii="Times New Roman" w:eastAsia="Times New Roman" w:hAnsi="Times New Roman"/>
        <w:lang w:eastAsia="zh-CN"/>
      </w:rPr>
      <w:t xml:space="preserve">“Valsts zinātniskā institūta </w:t>
    </w:r>
    <w:r w:rsidR="00DE754B">
      <w:rPr>
        <w:rFonts w:ascii="Times New Roman" w:eastAsia="Times New Roman" w:hAnsi="Times New Roman"/>
        <w:lang w:eastAsia="zh-CN"/>
      </w:rPr>
      <w:t>“</w:t>
    </w:r>
    <w:r w:rsidRPr="003238B1">
      <w:rPr>
        <w:rFonts w:ascii="Times New Roman" w:eastAsia="Times New Roman" w:hAnsi="Times New Roman"/>
        <w:lang w:eastAsia="zh-CN"/>
      </w:rPr>
      <w:t xml:space="preserve">Fizikālās enerģētikas institūts”, turpmāk </w:t>
    </w:r>
    <w:r w:rsidR="00DE754B">
      <w:rPr>
        <w:rFonts w:ascii="Times New Roman" w:eastAsia="Times New Roman" w:hAnsi="Times New Roman"/>
        <w:lang w:eastAsia="zh-CN"/>
      </w:rPr>
      <w:t>“</w:t>
    </w:r>
    <w:r w:rsidRPr="003238B1">
      <w:rPr>
        <w:rFonts w:ascii="Times New Roman" w:eastAsia="Times New Roman" w:hAnsi="Times New Roman"/>
        <w:lang w:eastAsia="zh-CN"/>
      </w:rPr>
      <w:t>FEI</w:t>
    </w:r>
    <w:r w:rsidR="00DE754B">
      <w:rPr>
        <w:rFonts w:ascii="Times New Roman" w:eastAsia="Times New Roman" w:hAnsi="Times New Roman"/>
        <w:lang w:eastAsia="zh-CN"/>
      </w:rPr>
      <w:t>”</w:t>
    </w:r>
  </w:p>
  <w:p w14:paraId="2563F2BE" w14:textId="0815E2BD" w:rsidR="00E75533" w:rsidRPr="00A42718" w:rsidRDefault="00E75533" w:rsidP="00E75533">
    <w:pPr>
      <w:pStyle w:val="Footer"/>
      <w:spacing w:line="240" w:lineRule="atLeast"/>
      <w:jc w:val="right"/>
      <w:rPr>
        <w:rFonts w:ascii="Times New Roman" w:hAnsi="Times New Roman"/>
      </w:rPr>
    </w:pPr>
  </w:p>
  <w:p w14:paraId="64AFA881" w14:textId="17AD79AB" w:rsidR="001D06B8" w:rsidRPr="00E75533" w:rsidRDefault="001D06B8" w:rsidP="00E75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08C4A32"/>
    <w:multiLevelType w:val="hybridMultilevel"/>
    <w:tmpl w:val="28AA55B6"/>
    <w:lvl w:ilvl="0" w:tplc="115EA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0C5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E94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46F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0DF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EE9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40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4EA0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8A5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7CE82BC7"/>
    <w:multiLevelType w:val="hybridMultilevel"/>
    <w:tmpl w:val="9C06FAF0"/>
    <w:lvl w:ilvl="0" w:tplc="984A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D013C8" w:tentative="1">
      <w:start w:val="1"/>
      <w:numFmt w:val="lowerLetter"/>
      <w:lvlText w:val="%2."/>
      <w:lvlJc w:val="left"/>
      <w:pPr>
        <w:ind w:left="1440" w:hanging="360"/>
      </w:pPr>
    </w:lvl>
    <w:lvl w:ilvl="2" w:tplc="2250BA44" w:tentative="1">
      <w:start w:val="1"/>
      <w:numFmt w:val="lowerRoman"/>
      <w:lvlText w:val="%3."/>
      <w:lvlJc w:val="right"/>
      <w:pPr>
        <w:ind w:left="2160" w:hanging="180"/>
      </w:pPr>
    </w:lvl>
    <w:lvl w:ilvl="3" w:tplc="6F9E5E52" w:tentative="1">
      <w:start w:val="1"/>
      <w:numFmt w:val="decimal"/>
      <w:lvlText w:val="%4."/>
      <w:lvlJc w:val="left"/>
      <w:pPr>
        <w:ind w:left="2880" w:hanging="360"/>
      </w:pPr>
    </w:lvl>
    <w:lvl w:ilvl="4" w:tplc="FE827B5E" w:tentative="1">
      <w:start w:val="1"/>
      <w:numFmt w:val="lowerLetter"/>
      <w:lvlText w:val="%5."/>
      <w:lvlJc w:val="left"/>
      <w:pPr>
        <w:ind w:left="3600" w:hanging="360"/>
      </w:pPr>
    </w:lvl>
    <w:lvl w:ilvl="5" w:tplc="38D4742E" w:tentative="1">
      <w:start w:val="1"/>
      <w:numFmt w:val="lowerRoman"/>
      <w:lvlText w:val="%6."/>
      <w:lvlJc w:val="right"/>
      <w:pPr>
        <w:ind w:left="4320" w:hanging="180"/>
      </w:pPr>
    </w:lvl>
    <w:lvl w:ilvl="6" w:tplc="A4609002" w:tentative="1">
      <w:start w:val="1"/>
      <w:numFmt w:val="decimal"/>
      <w:lvlText w:val="%7."/>
      <w:lvlJc w:val="left"/>
      <w:pPr>
        <w:ind w:left="5040" w:hanging="360"/>
      </w:pPr>
    </w:lvl>
    <w:lvl w:ilvl="7" w:tplc="1B666BF8" w:tentative="1">
      <w:start w:val="1"/>
      <w:numFmt w:val="lowerLetter"/>
      <w:lvlText w:val="%8."/>
      <w:lvlJc w:val="left"/>
      <w:pPr>
        <w:ind w:left="5760" w:hanging="360"/>
      </w:pPr>
    </w:lvl>
    <w:lvl w:ilvl="8" w:tplc="AC40C6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DF"/>
    <w:rsid w:val="00032DAD"/>
    <w:rsid w:val="0005632E"/>
    <w:rsid w:val="00067F35"/>
    <w:rsid w:val="00082567"/>
    <w:rsid w:val="00086629"/>
    <w:rsid w:val="00097314"/>
    <w:rsid w:val="000B36C1"/>
    <w:rsid w:val="001203F1"/>
    <w:rsid w:val="00130157"/>
    <w:rsid w:val="001703CA"/>
    <w:rsid w:val="001762F1"/>
    <w:rsid w:val="001831B2"/>
    <w:rsid w:val="001B3C80"/>
    <w:rsid w:val="001D06B8"/>
    <w:rsid w:val="001D4AF1"/>
    <w:rsid w:val="001F5211"/>
    <w:rsid w:val="002775F4"/>
    <w:rsid w:val="00277AAC"/>
    <w:rsid w:val="0028309E"/>
    <w:rsid w:val="002D14C2"/>
    <w:rsid w:val="002E5EEB"/>
    <w:rsid w:val="00312A6B"/>
    <w:rsid w:val="003238B1"/>
    <w:rsid w:val="003462DD"/>
    <w:rsid w:val="003622E9"/>
    <w:rsid w:val="00391BA6"/>
    <w:rsid w:val="003A1262"/>
    <w:rsid w:val="003A5775"/>
    <w:rsid w:val="003A718D"/>
    <w:rsid w:val="003B7EA3"/>
    <w:rsid w:val="003C1B01"/>
    <w:rsid w:val="003C5529"/>
    <w:rsid w:val="003D25AE"/>
    <w:rsid w:val="00401143"/>
    <w:rsid w:val="0040415F"/>
    <w:rsid w:val="0040579F"/>
    <w:rsid w:val="00444D0F"/>
    <w:rsid w:val="00484A9A"/>
    <w:rsid w:val="004A7EF5"/>
    <w:rsid w:val="005342A9"/>
    <w:rsid w:val="005411A8"/>
    <w:rsid w:val="00594625"/>
    <w:rsid w:val="005D31C4"/>
    <w:rsid w:val="005E16FC"/>
    <w:rsid w:val="005E3A44"/>
    <w:rsid w:val="0060168C"/>
    <w:rsid w:val="00620181"/>
    <w:rsid w:val="00657E66"/>
    <w:rsid w:val="006B0629"/>
    <w:rsid w:val="006B42FA"/>
    <w:rsid w:val="006F7F1E"/>
    <w:rsid w:val="007138A3"/>
    <w:rsid w:val="007248A4"/>
    <w:rsid w:val="00766295"/>
    <w:rsid w:val="00782273"/>
    <w:rsid w:val="00783809"/>
    <w:rsid w:val="00790B1A"/>
    <w:rsid w:val="007C76D8"/>
    <w:rsid w:val="007D1E1B"/>
    <w:rsid w:val="00805E7F"/>
    <w:rsid w:val="00812944"/>
    <w:rsid w:val="00827B3A"/>
    <w:rsid w:val="00836315"/>
    <w:rsid w:val="00875304"/>
    <w:rsid w:val="008800AD"/>
    <w:rsid w:val="00950EE9"/>
    <w:rsid w:val="00981D00"/>
    <w:rsid w:val="00987113"/>
    <w:rsid w:val="009977E9"/>
    <w:rsid w:val="009B6F15"/>
    <w:rsid w:val="009B78AE"/>
    <w:rsid w:val="009C3223"/>
    <w:rsid w:val="009D0675"/>
    <w:rsid w:val="009D67C2"/>
    <w:rsid w:val="009F4376"/>
    <w:rsid w:val="00A00EA9"/>
    <w:rsid w:val="00A01F0A"/>
    <w:rsid w:val="00A1544A"/>
    <w:rsid w:val="00A2669C"/>
    <w:rsid w:val="00A4050D"/>
    <w:rsid w:val="00A42718"/>
    <w:rsid w:val="00A6728F"/>
    <w:rsid w:val="00AB7C5B"/>
    <w:rsid w:val="00AB7DB9"/>
    <w:rsid w:val="00AC7700"/>
    <w:rsid w:val="00AD191E"/>
    <w:rsid w:val="00AD3FC3"/>
    <w:rsid w:val="00AF06BF"/>
    <w:rsid w:val="00B01A7E"/>
    <w:rsid w:val="00B06927"/>
    <w:rsid w:val="00B275D0"/>
    <w:rsid w:val="00B70BA6"/>
    <w:rsid w:val="00B714D9"/>
    <w:rsid w:val="00B723DA"/>
    <w:rsid w:val="00BD72DB"/>
    <w:rsid w:val="00C11F95"/>
    <w:rsid w:val="00C53235"/>
    <w:rsid w:val="00C5759C"/>
    <w:rsid w:val="00C62339"/>
    <w:rsid w:val="00CB5BE5"/>
    <w:rsid w:val="00CB602D"/>
    <w:rsid w:val="00CC7008"/>
    <w:rsid w:val="00D17C79"/>
    <w:rsid w:val="00D6691D"/>
    <w:rsid w:val="00D83985"/>
    <w:rsid w:val="00D96AA8"/>
    <w:rsid w:val="00DC4D56"/>
    <w:rsid w:val="00DE754B"/>
    <w:rsid w:val="00DF0259"/>
    <w:rsid w:val="00E346CC"/>
    <w:rsid w:val="00E51336"/>
    <w:rsid w:val="00E53B37"/>
    <w:rsid w:val="00E62B93"/>
    <w:rsid w:val="00E66490"/>
    <w:rsid w:val="00E75533"/>
    <w:rsid w:val="00EA2A7A"/>
    <w:rsid w:val="00EA753D"/>
    <w:rsid w:val="00EB4DD2"/>
    <w:rsid w:val="00EE10A6"/>
    <w:rsid w:val="00F14F3A"/>
    <w:rsid w:val="00F4474F"/>
    <w:rsid w:val="00F448DF"/>
    <w:rsid w:val="00F540C4"/>
    <w:rsid w:val="00F6174A"/>
    <w:rsid w:val="00F94158"/>
    <w:rsid w:val="00F962BB"/>
    <w:rsid w:val="00FC1D8B"/>
    <w:rsid w:val="00FD5BFE"/>
    <w:rsid w:val="00FF2A47"/>
    <w:rsid w:val="00FF46EB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D5BF29"/>
  <w15:docId w15:val="{1002BCDD-1D25-4CED-9BD6-BDECF59F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4D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1st level - Bullet List Paragraph,2,Bullet list,H&amp;P List Paragraph,Lettre d'introduction,List Paragraph1,List Paragraph11,Medium Grid 1 - Accent 21,Normal bullet 2,Numbered List,Paragrafo elenco,Reference list,Saraksta rindkopa1,Strip"/>
    <w:basedOn w:val="Normal"/>
    <w:link w:val="ListParagraphChar"/>
    <w:uiPriority w:val="34"/>
    <w:qFormat/>
    <w:rsid w:val="00A672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8A4"/>
    <w:rPr>
      <w:lang w:eastAsia="en-US"/>
    </w:rPr>
  </w:style>
  <w:style w:type="paragraph" w:styleId="Footer">
    <w:name w:val="footer"/>
    <w:basedOn w:val="Normal"/>
    <w:link w:val="FooterChar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248A4"/>
    <w:rPr>
      <w:lang w:eastAsia="en-US"/>
    </w:rPr>
  </w:style>
  <w:style w:type="paragraph" w:styleId="NoSpacing">
    <w:name w:val="No Spacing"/>
    <w:uiPriority w:val="1"/>
    <w:qFormat/>
    <w:rsid w:val="002D14C2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6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29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29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Tahoma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1st level - Bullet List Paragraph Char,2 Char,Bullet list Char,H&amp;P List Paragraph Char,Lettre d'introduction Char,List Paragraph1 Char,List Paragraph11 Char,Medium Grid 1 - Accent 21 Char,Normal bullet 2 Char,Numbered List Char"/>
    <w:link w:val="ListParagraph"/>
    <w:uiPriority w:val="34"/>
    <w:qFormat/>
    <w:locked/>
    <w:rsid w:val="005342A9"/>
    <w:rPr>
      <w:lang w:eastAsia="en-US"/>
    </w:rPr>
  </w:style>
  <w:style w:type="paragraph" w:styleId="Revision">
    <w:name w:val="Revision"/>
    <w:hidden/>
    <w:uiPriority w:val="99"/>
    <w:semiHidden/>
    <w:rsid w:val="005E16F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63E37-C336-46BD-8B43-EF91FA5B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”Priekšlikumu izstrāde Nacionālajai klimata pārmaiņu pielāgošanās stratēģijai, identificējot zinātniskos datus un pasākumus pielāgošanās klimata pārmaiņām nodrošināšanai, kā arī veicot ietekmju un izmaksu novērtējumu” ietvaros: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”Priekšlikumu izstrāde Nacionālajai klimata pārmaiņu pielāgošanās stratēģijai, identificējot zinātniskos datus un pasākumus pielāgošanās klimata pārmaiņām nodrošināšanai, kā arī veicot ietekmju un izmaksu novērtējumu” ietvaros:</dc:title>
  <dc:creator>Sandra;Kristine</dc:creator>
  <cp:lastModifiedBy>Raimonds Kašs</cp:lastModifiedBy>
  <cp:revision>5</cp:revision>
  <dcterms:created xsi:type="dcterms:W3CDTF">2022-01-19T07:04:00Z</dcterms:created>
  <dcterms:modified xsi:type="dcterms:W3CDTF">2022-02-06T10:32:00Z</dcterms:modified>
</cp:coreProperties>
</file>