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7F7" w14:textId="17004106" w:rsidR="00E173AC" w:rsidRPr="0050361E" w:rsidRDefault="008241F0" w:rsidP="00507AB5">
      <w:pPr>
        <w:pStyle w:val="Default"/>
        <w:jc w:val="center"/>
        <w:rPr>
          <w:rFonts w:ascii="Times New Roman" w:hAnsi="Times New Roman" w:cs="Times New Roman"/>
          <w:b/>
          <w:bCs/>
          <w:color w:val="auto"/>
        </w:rPr>
      </w:pPr>
      <w:bookmarkStart w:id="1" w:name="_Hlk76132619"/>
      <w:r w:rsidRPr="0050361E">
        <w:rPr>
          <w:rFonts w:ascii="Times New Roman" w:hAnsi="Times New Roman" w:cs="Times New Roman"/>
          <w:b/>
          <w:bCs/>
          <w:color w:val="auto"/>
        </w:rPr>
        <w:t>Metodiskie norādījumi netieš</w:t>
      </w:r>
      <w:r w:rsidR="006628B0">
        <w:rPr>
          <w:rFonts w:ascii="Times New Roman" w:hAnsi="Times New Roman" w:cs="Times New Roman"/>
          <w:b/>
          <w:bCs/>
          <w:color w:val="auto"/>
        </w:rPr>
        <w:t>o</w:t>
      </w:r>
      <w:r w:rsidRPr="0050361E">
        <w:rPr>
          <w:rFonts w:ascii="Times New Roman" w:hAnsi="Times New Roman" w:cs="Times New Roman"/>
          <w:b/>
          <w:bCs/>
          <w:color w:val="auto"/>
        </w:rPr>
        <w:t xml:space="preserve"> </w:t>
      </w:r>
      <w:r w:rsidR="00112CD4">
        <w:rPr>
          <w:rFonts w:ascii="Times New Roman" w:hAnsi="Times New Roman" w:cs="Times New Roman"/>
          <w:b/>
          <w:bCs/>
          <w:color w:val="auto"/>
        </w:rPr>
        <w:t xml:space="preserve">un tiešo </w:t>
      </w:r>
      <w:r w:rsidRPr="0050361E">
        <w:rPr>
          <w:rFonts w:ascii="Times New Roman" w:hAnsi="Times New Roman" w:cs="Times New Roman"/>
          <w:b/>
          <w:bCs/>
          <w:color w:val="auto"/>
        </w:rPr>
        <w:t>izmaks</w:t>
      </w:r>
      <w:r w:rsidR="00112CD4">
        <w:rPr>
          <w:rFonts w:ascii="Times New Roman" w:hAnsi="Times New Roman" w:cs="Times New Roman"/>
          <w:b/>
          <w:bCs/>
          <w:color w:val="auto"/>
        </w:rPr>
        <w:t>u</w:t>
      </w:r>
      <w:r w:rsidRPr="0050361E">
        <w:rPr>
          <w:rFonts w:ascii="Times New Roman" w:hAnsi="Times New Roman" w:cs="Times New Roman"/>
          <w:b/>
          <w:bCs/>
          <w:color w:val="auto"/>
        </w:rPr>
        <w:t xml:space="preserve"> </w:t>
      </w:r>
      <w:r w:rsidR="00112CD4">
        <w:rPr>
          <w:rFonts w:ascii="Times New Roman" w:hAnsi="Times New Roman" w:cs="Times New Roman"/>
          <w:b/>
          <w:bCs/>
          <w:color w:val="auto"/>
        </w:rPr>
        <w:t>nodalīšan</w:t>
      </w:r>
      <w:r w:rsidR="009114B5">
        <w:rPr>
          <w:rFonts w:ascii="Times New Roman" w:hAnsi="Times New Roman" w:cs="Times New Roman"/>
          <w:b/>
          <w:bCs/>
          <w:color w:val="auto"/>
        </w:rPr>
        <w:t>ai</w:t>
      </w:r>
      <w:r w:rsidR="00125768" w:rsidRPr="0050361E">
        <w:rPr>
          <w:rFonts w:ascii="Times New Roman" w:hAnsi="Times New Roman" w:cs="Times New Roman"/>
          <w:b/>
          <w:bCs/>
          <w:color w:val="auto"/>
        </w:rPr>
        <w:t xml:space="preserve"> projektos</w:t>
      </w:r>
      <w:bookmarkEnd w:id="1"/>
    </w:p>
    <w:p w14:paraId="11D202BB" w14:textId="77777777" w:rsidR="00E173AC" w:rsidRPr="0050361E" w:rsidRDefault="00E173AC" w:rsidP="001F7520">
      <w:pPr>
        <w:pStyle w:val="Default"/>
        <w:jc w:val="both"/>
        <w:rPr>
          <w:rFonts w:ascii="Times New Roman" w:hAnsi="Times New Roman" w:cs="Times New Roman"/>
          <w:color w:val="auto"/>
        </w:rPr>
      </w:pPr>
    </w:p>
    <w:p w14:paraId="5713CE13" w14:textId="647A8A55" w:rsidR="001F7520" w:rsidRDefault="0050361E" w:rsidP="001F7520">
      <w:pPr>
        <w:pStyle w:val="Default"/>
        <w:jc w:val="both"/>
        <w:rPr>
          <w:rFonts w:ascii="Times New Roman" w:hAnsi="Times New Roman" w:cs="Times New Roman"/>
          <w:color w:val="auto"/>
        </w:rPr>
      </w:pPr>
      <w:r w:rsidRPr="0050361E">
        <w:rPr>
          <w:rFonts w:ascii="Times New Roman" w:hAnsi="Times New Roman" w:cs="Times New Roman"/>
          <w:color w:val="auto"/>
        </w:rPr>
        <w:t>Lai nodrošinātu</w:t>
      </w:r>
      <w:r>
        <w:rPr>
          <w:rFonts w:ascii="Times New Roman" w:hAnsi="Times New Roman" w:cs="Times New Roman"/>
          <w:color w:val="auto"/>
        </w:rPr>
        <w:t xml:space="preserve"> vienotu pieeju un skaidrus norādījumus</w:t>
      </w:r>
      <w:r w:rsidRPr="0050361E">
        <w:rPr>
          <w:rFonts w:ascii="Times New Roman" w:hAnsi="Times New Roman" w:cs="Times New Roman"/>
          <w:color w:val="auto"/>
        </w:rPr>
        <w:t xml:space="preserve"> </w:t>
      </w:r>
      <w:r w:rsidR="00FD7760" w:rsidRPr="00FD7760">
        <w:rPr>
          <w:rFonts w:ascii="Times New Roman" w:hAnsi="Times New Roman" w:cs="Times New Roman"/>
          <w:color w:val="auto"/>
        </w:rPr>
        <w:t>Eiropas Ekonomikas zonas finanšu instrumenta 2014.‑2021. gada perioda programmas “Vietējā attīstība, nabadzības mazināšana un kultūras sadarbība”</w:t>
      </w:r>
      <w:r w:rsidR="00FD7760">
        <w:rPr>
          <w:rFonts w:ascii="Times New Roman" w:hAnsi="Times New Roman" w:cs="Times New Roman"/>
          <w:color w:val="auto"/>
        </w:rPr>
        <w:t xml:space="preserve"> iepriekš noteikto projektu un </w:t>
      </w:r>
      <w:r w:rsidRPr="0050361E">
        <w:rPr>
          <w:rFonts w:ascii="Times New Roman" w:hAnsi="Times New Roman" w:cs="Times New Roman"/>
          <w:color w:val="auto"/>
        </w:rPr>
        <w:t>Norvēģijas finanšu instrumenta 2014.-2021.gada perioda programmas „Klimata pārmaiņu mazināšana, pielāgošanās tām un vide”</w:t>
      </w:r>
      <w:r>
        <w:rPr>
          <w:rFonts w:ascii="Times New Roman" w:hAnsi="Times New Roman" w:cs="Times New Roman"/>
          <w:color w:val="auto"/>
        </w:rPr>
        <w:t xml:space="preserve"> iepriekš noteikto projektu</w:t>
      </w:r>
      <w:r w:rsidR="006E0FC5">
        <w:rPr>
          <w:rFonts w:ascii="Times New Roman" w:hAnsi="Times New Roman" w:cs="Times New Roman"/>
          <w:color w:val="auto"/>
        </w:rPr>
        <w:t xml:space="preserve"> un atklātā konkursa</w:t>
      </w:r>
      <w:r>
        <w:rPr>
          <w:rFonts w:ascii="Times New Roman" w:hAnsi="Times New Roman" w:cs="Times New Roman"/>
          <w:color w:val="auto"/>
        </w:rPr>
        <w:t xml:space="preserve"> </w:t>
      </w:r>
      <w:r w:rsidR="00FD7760">
        <w:rPr>
          <w:rFonts w:ascii="Times New Roman" w:hAnsi="Times New Roman" w:cs="Times New Roman"/>
          <w:color w:val="auto"/>
        </w:rPr>
        <w:t xml:space="preserve">projektu </w:t>
      </w:r>
      <w:r>
        <w:rPr>
          <w:rFonts w:ascii="Times New Roman" w:hAnsi="Times New Roman" w:cs="Times New Roman"/>
          <w:color w:val="auto"/>
        </w:rPr>
        <w:t xml:space="preserve">līdzfinansējuma saņēmējiem un projektu partneriem par </w:t>
      </w:r>
      <w:r w:rsidR="00224419">
        <w:rPr>
          <w:rFonts w:ascii="Times New Roman" w:hAnsi="Times New Roman" w:cs="Times New Roman"/>
          <w:color w:val="auto"/>
        </w:rPr>
        <w:t xml:space="preserve">to, kādas </w:t>
      </w:r>
      <w:r w:rsidRPr="0050361E">
        <w:rPr>
          <w:rFonts w:ascii="Times New Roman" w:hAnsi="Times New Roman" w:cs="Times New Roman"/>
          <w:color w:val="auto"/>
        </w:rPr>
        <w:t xml:space="preserve">izmaksas </w:t>
      </w:r>
      <w:r w:rsidR="00224419">
        <w:rPr>
          <w:rFonts w:ascii="Times New Roman" w:hAnsi="Times New Roman" w:cs="Times New Roman"/>
          <w:color w:val="auto"/>
        </w:rPr>
        <w:t>ir iekļaujamas projekta netiešajās izmaksās</w:t>
      </w:r>
      <w:r w:rsidR="00D35844">
        <w:rPr>
          <w:rFonts w:ascii="Times New Roman" w:hAnsi="Times New Roman" w:cs="Times New Roman"/>
          <w:color w:val="auto"/>
        </w:rPr>
        <w:t xml:space="preserve"> un kā netiešās izmaksas nošķiramas no projekta tiešajām izmaksām</w:t>
      </w:r>
      <w:r w:rsidR="000B43CA">
        <w:rPr>
          <w:rFonts w:ascii="Times New Roman" w:hAnsi="Times New Roman" w:cs="Times New Roman"/>
          <w:color w:val="auto"/>
        </w:rPr>
        <w:t>,</w:t>
      </w:r>
      <w:r w:rsidRPr="0050361E">
        <w:rPr>
          <w:rFonts w:ascii="Times New Roman" w:hAnsi="Times New Roman" w:cs="Times New Roman"/>
          <w:color w:val="auto"/>
        </w:rPr>
        <w:t xml:space="preserve"> Vides aizsardzības un reģionālās attīstības ministrija kā </w:t>
      </w:r>
      <w:r w:rsidR="001F7520" w:rsidRPr="0050361E">
        <w:rPr>
          <w:rFonts w:ascii="Times New Roman" w:hAnsi="Times New Roman" w:cs="Times New Roman"/>
          <w:color w:val="auto"/>
        </w:rPr>
        <w:t xml:space="preserve">programmas </w:t>
      </w:r>
      <w:proofErr w:type="spellStart"/>
      <w:r w:rsidR="001F7520" w:rsidRPr="0050361E">
        <w:rPr>
          <w:rFonts w:ascii="Times New Roman" w:hAnsi="Times New Roman" w:cs="Times New Roman"/>
          <w:color w:val="auto"/>
        </w:rPr>
        <w:t>apsaimniekotāj</w:t>
      </w:r>
      <w:r w:rsidR="000B43CA">
        <w:rPr>
          <w:rFonts w:ascii="Times New Roman" w:hAnsi="Times New Roman" w:cs="Times New Roman"/>
          <w:color w:val="auto"/>
        </w:rPr>
        <w:t>s</w:t>
      </w:r>
      <w:proofErr w:type="spellEnd"/>
      <w:r w:rsidR="001F7520" w:rsidRPr="0050361E">
        <w:rPr>
          <w:rFonts w:ascii="Times New Roman" w:hAnsi="Times New Roman" w:cs="Times New Roman"/>
          <w:color w:val="auto"/>
        </w:rPr>
        <w:t xml:space="preserve"> </w:t>
      </w:r>
      <w:r w:rsidR="000B43CA">
        <w:rPr>
          <w:rFonts w:ascii="Times New Roman" w:hAnsi="Times New Roman" w:cs="Times New Roman"/>
          <w:color w:val="auto"/>
        </w:rPr>
        <w:t xml:space="preserve">ir sagatavojis šos </w:t>
      </w:r>
      <w:r w:rsidR="001F7520" w:rsidRPr="0050361E">
        <w:rPr>
          <w:rFonts w:ascii="Times New Roman" w:hAnsi="Times New Roman" w:cs="Times New Roman"/>
          <w:color w:val="auto"/>
        </w:rPr>
        <w:t>metodisk</w:t>
      </w:r>
      <w:r w:rsidR="000B43CA">
        <w:rPr>
          <w:rFonts w:ascii="Times New Roman" w:hAnsi="Times New Roman" w:cs="Times New Roman"/>
          <w:color w:val="auto"/>
        </w:rPr>
        <w:t>os</w:t>
      </w:r>
      <w:r w:rsidR="001F7520" w:rsidRPr="0050361E">
        <w:rPr>
          <w:rFonts w:ascii="Times New Roman" w:hAnsi="Times New Roman" w:cs="Times New Roman"/>
          <w:color w:val="auto"/>
        </w:rPr>
        <w:t xml:space="preserve"> norādījum</w:t>
      </w:r>
      <w:r w:rsidR="00410DDC">
        <w:rPr>
          <w:rFonts w:ascii="Times New Roman" w:hAnsi="Times New Roman" w:cs="Times New Roman"/>
          <w:color w:val="auto"/>
        </w:rPr>
        <w:t>us</w:t>
      </w:r>
      <w:r w:rsidR="001F7520" w:rsidRPr="0050361E">
        <w:rPr>
          <w:rFonts w:ascii="Times New Roman" w:hAnsi="Times New Roman" w:cs="Times New Roman"/>
          <w:color w:val="auto"/>
        </w:rPr>
        <w:t>.</w:t>
      </w:r>
    </w:p>
    <w:p w14:paraId="57C0A8FC" w14:textId="77777777" w:rsidR="00404BE7" w:rsidRDefault="00404BE7" w:rsidP="001F7520">
      <w:pPr>
        <w:pStyle w:val="Default"/>
        <w:jc w:val="both"/>
        <w:rPr>
          <w:rFonts w:ascii="Times New Roman" w:hAnsi="Times New Roman" w:cs="Times New Roman"/>
          <w:color w:val="auto"/>
        </w:rPr>
      </w:pPr>
    </w:p>
    <w:p w14:paraId="2ECB0B7B" w14:textId="11781582" w:rsidR="00410DDC" w:rsidRDefault="00C500D1" w:rsidP="001F7520">
      <w:pPr>
        <w:pStyle w:val="Default"/>
        <w:jc w:val="both"/>
        <w:rPr>
          <w:rFonts w:ascii="Times New Roman" w:hAnsi="Times New Roman" w:cs="Times New Roman"/>
          <w:color w:val="auto"/>
        </w:rPr>
      </w:pPr>
      <w:r>
        <w:rPr>
          <w:rFonts w:ascii="Times New Roman" w:hAnsi="Times New Roman" w:cs="Times New Roman"/>
          <w:color w:val="auto"/>
        </w:rPr>
        <w:t>Normatīvajos aktos</w:t>
      </w:r>
      <w:r w:rsidR="00404BE7">
        <w:rPr>
          <w:rFonts w:ascii="Times New Roman" w:hAnsi="Times New Roman" w:cs="Times New Roman"/>
          <w:color w:val="auto"/>
        </w:rPr>
        <w:t xml:space="preserve"> iekļautais regulējums par netieš</w:t>
      </w:r>
      <w:r w:rsidR="00B922D1">
        <w:rPr>
          <w:rFonts w:ascii="Times New Roman" w:hAnsi="Times New Roman" w:cs="Times New Roman"/>
          <w:color w:val="auto"/>
        </w:rPr>
        <w:t>ajām izmaksām projektu ietvaros:</w:t>
      </w:r>
    </w:p>
    <w:p w14:paraId="70FD2C90" w14:textId="20885C0A" w:rsidR="0070694D" w:rsidRDefault="00D76C1A" w:rsidP="001F7520">
      <w:pPr>
        <w:pStyle w:val="Default"/>
        <w:numPr>
          <w:ilvl w:val="0"/>
          <w:numId w:val="1"/>
        </w:numPr>
        <w:ind w:left="426" w:hanging="426"/>
        <w:jc w:val="both"/>
        <w:rPr>
          <w:rFonts w:ascii="Times New Roman" w:hAnsi="Times New Roman" w:cs="Times New Roman"/>
          <w:color w:val="auto"/>
        </w:rPr>
      </w:pPr>
      <w:hyperlink r:id="rId10" w:history="1">
        <w:r w:rsidR="00F03B52" w:rsidRPr="00BB0281">
          <w:rPr>
            <w:rStyle w:val="Hyperlink"/>
            <w:rFonts w:ascii="Times New Roman" w:hAnsi="Times New Roman" w:cs="Times New Roman"/>
          </w:rPr>
          <w:t>Noteikumu par Norvēģijas finanšu instrumenta 2014-2021.gadam ieviešanu</w:t>
        </w:r>
      </w:hyperlink>
      <w:r w:rsidR="00F03B52" w:rsidRPr="000A4C7B">
        <w:rPr>
          <w:rFonts w:ascii="Times New Roman" w:hAnsi="Times New Roman" w:cs="Times New Roman"/>
          <w:color w:val="auto"/>
        </w:rPr>
        <w:t xml:space="preserve"> </w:t>
      </w:r>
      <w:r w:rsidR="00BB0281">
        <w:rPr>
          <w:rFonts w:ascii="Times New Roman" w:hAnsi="Times New Roman" w:cs="Times New Roman"/>
          <w:color w:val="auto"/>
        </w:rPr>
        <w:t xml:space="preserve">un </w:t>
      </w:r>
      <w:hyperlink r:id="rId11" w:history="1">
        <w:r w:rsidR="00BB0281" w:rsidRPr="00BB0281">
          <w:rPr>
            <w:rStyle w:val="Hyperlink"/>
            <w:rFonts w:ascii="Times New Roman" w:hAnsi="Times New Roman" w:cs="Times New Roman"/>
          </w:rPr>
          <w:t>Noteikumu par Eiropas Ekonomikas zonas finanšu instrumenta 2014-2021.gadam ieviešanu</w:t>
        </w:r>
      </w:hyperlink>
      <w:r w:rsidR="00BB0281" w:rsidRPr="000A4C7B">
        <w:rPr>
          <w:rFonts w:ascii="Times New Roman" w:hAnsi="Times New Roman" w:cs="Times New Roman"/>
          <w:color w:val="auto"/>
        </w:rPr>
        <w:t xml:space="preserve"> </w:t>
      </w:r>
      <w:r w:rsidR="00050A9F">
        <w:rPr>
          <w:rFonts w:ascii="Times New Roman" w:hAnsi="Times New Roman" w:cs="Times New Roman"/>
          <w:color w:val="auto"/>
        </w:rPr>
        <w:t xml:space="preserve">(turpmāk – Noteikumi) </w:t>
      </w:r>
      <w:r w:rsidR="00EC52FA" w:rsidRPr="000A4C7B">
        <w:rPr>
          <w:rFonts w:ascii="Times New Roman" w:hAnsi="Times New Roman" w:cs="Times New Roman"/>
          <w:color w:val="auto"/>
        </w:rPr>
        <w:t xml:space="preserve">8.5.panta 1.punkts nosaka, ka </w:t>
      </w:r>
      <w:r w:rsidR="0090724A" w:rsidRPr="00EB304D">
        <w:rPr>
          <w:rFonts w:ascii="Times New Roman" w:hAnsi="Times New Roman" w:cs="Times New Roman"/>
          <w:i/>
          <w:iCs/>
          <w:color w:val="auto"/>
        </w:rPr>
        <w:t xml:space="preserve">netiešās </w:t>
      </w:r>
      <w:r w:rsidR="00EC52FA" w:rsidRPr="00EB304D">
        <w:rPr>
          <w:rFonts w:ascii="Times New Roman" w:hAnsi="Times New Roman" w:cs="Times New Roman"/>
          <w:i/>
          <w:iCs/>
          <w:color w:val="auto"/>
        </w:rPr>
        <w:t xml:space="preserve">izmaksas ir visas tās attiecināmās izmaksas, kuras projekta iesniedzējs un/vai projekta partneris nespēj identificēt kā izmaksas, kas tieši attiecināmas uz projektu, bet kuras tā grāmatvedības sistēmā ir iespējams identificēt un pamatot kā izmaksas, kas radušās tiešā saistībā ar attiecināmajām tiešajām izmaksām, kuras ir attiecināmas uz projektu. </w:t>
      </w:r>
      <w:r w:rsidR="00EC52FA" w:rsidRPr="00CF6781">
        <w:rPr>
          <w:rFonts w:ascii="Times New Roman" w:hAnsi="Times New Roman" w:cs="Times New Roman"/>
          <w:i/>
          <w:iCs/>
          <w:color w:val="auto"/>
          <w:u w:val="single"/>
        </w:rPr>
        <w:t>Netieš</w:t>
      </w:r>
      <w:r w:rsidR="007F428F" w:rsidRPr="00CF6781">
        <w:rPr>
          <w:rFonts w:ascii="Times New Roman" w:hAnsi="Times New Roman" w:cs="Times New Roman"/>
          <w:i/>
          <w:iCs/>
          <w:color w:val="auto"/>
          <w:u w:val="single"/>
        </w:rPr>
        <w:t>aj</w:t>
      </w:r>
      <w:r w:rsidR="00EC52FA" w:rsidRPr="00CF6781">
        <w:rPr>
          <w:rFonts w:ascii="Times New Roman" w:hAnsi="Times New Roman" w:cs="Times New Roman"/>
          <w:i/>
          <w:iCs/>
          <w:color w:val="auto"/>
          <w:u w:val="single"/>
        </w:rPr>
        <w:t>ās izmaks</w:t>
      </w:r>
      <w:r w:rsidR="007F428F" w:rsidRPr="00CF6781">
        <w:rPr>
          <w:rFonts w:ascii="Times New Roman" w:hAnsi="Times New Roman" w:cs="Times New Roman"/>
          <w:i/>
          <w:iCs/>
          <w:color w:val="auto"/>
          <w:u w:val="single"/>
        </w:rPr>
        <w:t>ā</w:t>
      </w:r>
      <w:r w:rsidR="00EC52FA" w:rsidRPr="00CF6781">
        <w:rPr>
          <w:rFonts w:ascii="Times New Roman" w:hAnsi="Times New Roman" w:cs="Times New Roman"/>
          <w:i/>
          <w:iCs/>
          <w:color w:val="auto"/>
          <w:u w:val="single"/>
        </w:rPr>
        <w:t xml:space="preserve">s </w:t>
      </w:r>
      <w:r w:rsidR="007F428F" w:rsidRPr="00CF6781">
        <w:rPr>
          <w:rFonts w:ascii="Times New Roman" w:hAnsi="Times New Roman" w:cs="Times New Roman"/>
          <w:i/>
          <w:iCs/>
          <w:color w:val="auto"/>
          <w:u w:val="single"/>
        </w:rPr>
        <w:t>ne</w:t>
      </w:r>
      <w:r w:rsidR="00EC52FA" w:rsidRPr="00CF6781">
        <w:rPr>
          <w:rFonts w:ascii="Times New Roman" w:hAnsi="Times New Roman" w:cs="Times New Roman"/>
          <w:i/>
          <w:iCs/>
          <w:color w:val="auto"/>
          <w:u w:val="single"/>
        </w:rPr>
        <w:t>var ietvert attiecināmās tiešās izmaksas</w:t>
      </w:r>
      <w:r w:rsidR="00EC52FA" w:rsidRPr="000A4C7B">
        <w:rPr>
          <w:rFonts w:ascii="Times New Roman" w:hAnsi="Times New Roman" w:cs="Times New Roman"/>
          <w:color w:val="auto"/>
        </w:rPr>
        <w:t xml:space="preserve">. </w:t>
      </w:r>
    </w:p>
    <w:p w14:paraId="7BF9EBEF" w14:textId="5A4B2DDB" w:rsidR="00617DBF" w:rsidRDefault="00617DBF" w:rsidP="001F7520">
      <w:pPr>
        <w:pStyle w:val="Default"/>
        <w:numPr>
          <w:ilvl w:val="0"/>
          <w:numId w:val="1"/>
        </w:numPr>
        <w:ind w:left="426" w:hanging="426"/>
        <w:jc w:val="both"/>
        <w:rPr>
          <w:rFonts w:ascii="Times New Roman" w:hAnsi="Times New Roman" w:cs="Times New Roman"/>
          <w:color w:val="auto"/>
        </w:rPr>
      </w:pPr>
      <w:proofErr w:type="spellStart"/>
      <w:r>
        <w:rPr>
          <w:rFonts w:ascii="Times New Roman" w:hAnsi="Times New Roman" w:cs="Times New Roman"/>
          <w:color w:val="auto"/>
        </w:rPr>
        <w:t>Donorvalstu</w:t>
      </w:r>
      <w:proofErr w:type="spellEnd"/>
      <w:r>
        <w:rPr>
          <w:rFonts w:ascii="Times New Roman" w:hAnsi="Times New Roman" w:cs="Times New Roman"/>
          <w:color w:val="auto"/>
        </w:rPr>
        <w:t xml:space="preserve"> </w:t>
      </w:r>
      <w:hyperlink r:id="rId12" w:history="1">
        <w:r w:rsidRPr="007F5A7E">
          <w:rPr>
            <w:rStyle w:val="Hyperlink"/>
            <w:rFonts w:ascii="Times New Roman" w:hAnsi="Times New Roman" w:cs="Times New Roman"/>
          </w:rPr>
          <w:t>Finanšu vadlīniju</w:t>
        </w:r>
      </w:hyperlink>
      <w:r>
        <w:rPr>
          <w:rFonts w:ascii="Times New Roman" w:hAnsi="Times New Roman" w:cs="Times New Roman"/>
          <w:color w:val="auto"/>
        </w:rPr>
        <w:t xml:space="preserve"> </w:t>
      </w:r>
      <w:r w:rsidR="00EB304D">
        <w:rPr>
          <w:rFonts w:ascii="Times New Roman" w:hAnsi="Times New Roman" w:cs="Times New Roman"/>
          <w:color w:val="auto"/>
        </w:rPr>
        <w:t>2.4.4.</w:t>
      </w:r>
      <w:r w:rsidR="007A0D06">
        <w:rPr>
          <w:rFonts w:ascii="Times New Roman" w:hAnsi="Times New Roman" w:cs="Times New Roman"/>
          <w:color w:val="auto"/>
        </w:rPr>
        <w:t>apakš</w:t>
      </w:r>
      <w:r w:rsidR="00EB304D">
        <w:rPr>
          <w:rFonts w:ascii="Times New Roman" w:hAnsi="Times New Roman" w:cs="Times New Roman"/>
          <w:color w:val="auto"/>
        </w:rPr>
        <w:t xml:space="preserve">punktā dotajā piemērā tiek minēts, ka, </w:t>
      </w:r>
      <w:r w:rsidR="00EB304D" w:rsidRPr="00050A9F">
        <w:rPr>
          <w:rFonts w:ascii="Times New Roman" w:hAnsi="Times New Roman" w:cs="Times New Roman"/>
          <w:i/>
          <w:iCs/>
          <w:color w:val="auto"/>
        </w:rPr>
        <w:t>ja saskaņā ar projekta iesniedzēja un/vai projekta partnera grāmatvedības principiem kādas izmaksas tiek uzskatītas par netiešām izmaksām, tām jātiek uzskatītām par netiešām izmaksām arī projektā, ko finansē ar EEZ un Norvēģijas finanšu instrumentu.</w:t>
      </w:r>
      <w:r w:rsidR="007B40D4" w:rsidRPr="00050A9F">
        <w:rPr>
          <w:rFonts w:ascii="Times New Roman" w:hAnsi="Times New Roman" w:cs="Times New Roman"/>
          <w:i/>
          <w:iCs/>
          <w:color w:val="auto"/>
        </w:rPr>
        <w:t xml:space="preserve"> Ja projekta iesniedzējam un/vai projekta partnerim ir jāievieš izmaiņas, lai savu ierasto grāmatvedības praksi saskaņotu ar citiem projekta līguma un Noteikumu nosacījumiem (piemēram, attiecībā uz laika uzskaites praksi, netiešo izmaksu aprēķinu, produktīvā darba stundu pieeju u.c.), ir skaidrs, ka šīs izmaiņas ir ne tikai iespējams veikt, bet </w:t>
      </w:r>
      <w:r w:rsidR="007B40D4" w:rsidRPr="00050A9F">
        <w:rPr>
          <w:rFonts w:ascii="Times New Roman" w:hAnsi="Times New Roman" w:cs="Times New Roman"/>
          <w:i/>
          <w:iCs/>
          <w:color w:val="auto"/>
          <w:u w:val="single"/>
        </w:rPr>
        <w:t>to veikšana ir obligāta</w:t>
      </w:r>
      <w:r w:rsidR="007B40D4" w:rsidRPr="007B40D4">
        <w:rPr>
          <w:rFonts w:ascii="Times New Roman" w:hAnsi="Times New Roman" w:cs="Times New Roman"/>
          <w:color w:val="auto"/>
        </w:rPr>
        <w:t>.</w:t>
      </w:r>
    </w:p>
    <w:p w14:paraId="7E187C6E" w14:textId="4F78639F" w:rsidR="00DE6CBE" w:rsidRDefault="00C22CC9" w:rsidP="001F7520">
      <w:pPr>
        <w:pStyle w:val="Default"/>
        <w:numPr>
          <w:ilvl w:val="0"/>
          <w:numId w:val="1"/>
        </w:numPr>
        <w:ind w:left="426" w:hanging="426"/>
        <w:jc w:val="both"/>
        <w:rPr>
          <w:rFonts w:ascii="Times New Roman" w:hAnsi="Times New Roman" w:cs="Times New Roman"/>
          <w:color w:val="auto"/>
        </w:rPr>
      </w:pPr>
      <w:r>
        <w:rPr>
          <w:rFonts w:ascii="Times New Roman" w:hAnsi="Times New Roman" w:cs="Times New Roman"/>
          <w:color w:val="auto"/>
        </w:rPr>
        <w:t xml:space="preserve">Ministru kabineta </w:t>
      </w:r>
      <w:r w:rsidR="007A0D06">
        <w:rPr>
          <w:rFonts w:ascii="Times New Roman" w:hAnsi="Times New Roman" w:cs="Times New Roman"/>
          <w:color w:val="auto"/>
        </w:rPr>
        <w:t xml:space="preserve">2020.gada 18.februāra </w:t>
      </w:r>
      <w:hyperlink r:id="rId13" w:history="1">
        <w:r w:rsidRPr="007F5A7E">
          <w:rPr>
            <w:rStyle w:val="Hyperlink"/>
            <w:rFonts w:ascii="Times New Roman" w:hAnsi="Times New Roman" w:cs="Times New Roman"/>
          </w:rPr>
          <w:t>noteikumu Nr.93 “Norvēģijas finanšu instrumenta 2014.</w:t>
        </w:r>
        <w:r w:rsidR="006267D8" w:rsidRPr="007F5A7E">
          <w:rPr>
            <w:rStyle w:val="Hyperlink"/>
            <w:rFonts w:ascii="Times New Roman" w:hAnsi="Times New Roman" w:cs="Times New Roman"/>
          </w:rPr>
          <w:t>-</w:t>
        </w:r>
        <w:r w:rsidRPr="007F5A7E">
          <w:rPr>
            <w:rStyle w:val="Hyperlink"/>
            <w:rFonts w:ascii="Times New Roman" w:hAnsi="Times New Roman" w:cs="Times New Roman"/>
          </w:rPr>
          <w:t>2021. gada perioda programmas “Klimata pārmaiņu mazināšana, pielāgošanās tām un vide” īstenošanas noteikumi”</w:t>
        </w:r>
      </w:hyperlink>
      <w:r w:rsidR="0068122D">
        <w:rPr>
          <w:rFonts w:ascii="Times New Roman" w:hAnsi="Times New Roman" w:cs="Times New Roman"/>
          <w:color w:val="auto"/>
        </w:rPr>
        <w:t xml:space="preserve"> </w:t>
      </w:r>
      <w:r w:rsidR="00395786">
        <w:rPr>
          <w:rFonts w:ascii="Times New Roman" w:hAnsi="Times New Roman" w:cs="Times New Roman"/>
          <w:color w:val="auto"/>
        </w:rPr>
        <w:t>(turpmāk – MK noteikumi</w:t>
      </w:r>
      <w:r w:rsidR="00DE6CBE">
        <w:rPr>
          <w:rFonts w:ascii="Times New Roman" w:hAnsi="Times New Roman" w:cs="Times New Roman"/>
          <w:color w:val="auto"/>
        </w:rPr>
        <w:t xml:space="preserve"> Nr.93</w:t>
      </w:r>
      <w:r w:rsidR="00395786">
        <w:rPr>
          <w:rFonts w:ascii="Times New Roman" w:hAnsi="Times New Roman" w:cs="Times New Roman"/>
          <w:color w:val="auto"/>
        </w:rPr>
        <w:t>)</w:t>
      </w:r>
      <w:r w:rsidR="00DE6CBE">
        <w:rPr>
          <w:rFonts w:ascii="Times New Roman" w:hAnsi="Times New Roman" w:cs="Times New Roman"/>
          <w:color w:val="auto"/>
        </w:rPr>
        <w:t>:</w:t>
      </w:r>
    </w:p>
    <w:p w14:paraId="42E14387" w14:textId="4953BF4D" w:rsidR="00DE6CBE" w:rsidRDefault="0068122D" w:rsidP="00DE6CBE">
      <w:pPr>
        <w:pStyle w:val="Default"/>
        <w:numPr>
          <w:ilvl w:val="1"/>
          <w:numId w:val="1"/>
        </w:numPr>
        <w:jc w:val="both"/>
        <w:rPr>
          <w:rFonts w:ascii="Times New Roman" w:hAnsi="Times New Roman" w:cs="Times New Roman"/>
          <w:color w:val="auto"/>
        </w:rPr>
      </w:pPr>
      <w:r>
        <w:rPr>
          <w:rFonts w:ascii="Times New Roman" w:hAnsi="Times New Roman" w:cs="Times New Roman"/>
          <w:color w:val="auto"/>
        </w:rPr>
        <w:t xml:space="preserve">13.2.2.apakšpunkts nosaka, ka </w:t>
      </w:r>
      <w:r w:rsidR="0006717A" w:rsidRPr="00CF6781">
        <w:rPr>
          <w:rFonts w:ascii="Times New Roman" w:hAnsi="Times New Roman" w:cs="Times New Roman"/>
          <w:i/>
          <w:iCs/>
          <w:color w:val="auto"/>
        </w:rPr>
        <w:t>iepriekš noteiktā projekta netiešās attiecināmās izmaksas (tai skaitā izmaksas, kas saistītas ar telpu nomu, komunālo pakalpojumu izmaksām, kancelejas preču, aprīkojuma un programmatūras iegādes izmaksām, un citas izmaksas, kas netieši saistītas ar iepriekš noteiktā projekta īstenošanas administrēšanu) aprēķina kā vienotu likmi 10 procentu apmērā no tiešajām attiecināmajām personāla atlīdzības izmaksām</w:t>
      </w:r>
      <w:r w:rsidR="00DE6CBE">
        <w:rPr>
          <w:rFonts w:ascii="Times New Roman" w:hAnsi="Times New Roman" w:cs="Times New Roman"/>
          <w:color w:val="auto"/>
        </w:rPr>
        <w:t>;</w:t>
      </w:r>
    </w:p>
    <w:p w14:paraId="1DC14538" w14:textId="4611B332" w:rsidR="00DE6CBE" w:rsidRPr="007B78F8" w:rsidRDefault="00DE6CBE" w:rsidP="007B78F8">
      <w:pPr>
        <w:pStyle w:val="Default"/>
        <w:numPr>
          <w:ilvl w:val="1"/>
          <w:numId w:val="1"/>
        </w:numPr>
        <w:jc w:val="both"/>
        <w:rPr>
          <w:rFonts w:ascii="Times New Roman" w:hAnsi="Times New Roman" w:cs="Times New Roman"/>
          <w:color w:val="auto"/>
        </w:rPr>
      </w:pPr>
      <w:r w:rsidRPr="007B78F8">
        <w:rPr>
          <w:rFonts w:ascii="Times New Roman" w:hAnsi="Times New Roman" w:cs="Times New Roman"/>
          <w:color w:val="auto"/>
        </w:rPr>
        <w:t xml:space="preserve">13.3.2.apakšpunkts nosaka, ka </w:t>
      </w:r>
      <w:r w:rsidRPr="007B78F8">
        <w:rPr>
          <w:rFonts w:ascii="Times New Roman" w:hAnsi="Times New Roman" w:cs="Times New Roman"/>
          <w:i/>
          <w:iCs/>
          <w:color w:val="auto"/>
        </w:rPr>
        <w:t>netiešās attiecināmās izmaksas, tai skaitā izmaksas, kas saistītas ar telpu nomu, komunālo pakalpojumu izmaksām, kancelejas preču, aprīkojuma un programmatūras iegādes izmaksām, un citas izmaksas, kas netieši saistītas ar projekta īstenošanas administrēšan</w:t>
      </w:r>
      <w:r w:rsidRPr="007B78F8">
        <w:rPr>
          <w:rFonts w:ascii="Times New Roman" w:hAnsi="Times New Roman" w:cs="Times New Roman"/>
          <w:color w:val="auto"/>
        </w:rPr>
        <w:t>u</w:t>
      </w:r>
      <w:r w:rsidR="007B78F8" w:rsidRPr="007B78F8">
        <w:rPr>
          <w:rFonts w:ascii="Times New Roman" w:hAnsi="Times New Roman" w:cs="Times New Roman"/>
          <w:i/>
          <w:iCs/>
          <w:color w:val="auto"/>
        </w:rPr>
        <w:t>, kuras</w:t>
      </w:r>
      <w:r w:rsidRPr="007B78F8">
        <w:rPr>
          <w:rFonts w:ascii="Times New Roman" w:hAnsi="Times New Roman" w:cs="Times New Roman"/>
          <w:i/>
          <w:iCs/>
          <w:color w:val="auto"/>
        </w:rPr>
        <w:t xml:space="preserve"> aprēķina</w:t>
      </w:r>
      <w:r w:rsidR="007B78F8" w:rsidRPr="007B78F8">
        <w:rPr>
          <w:rFonts w:ascii="Times New Roman" w:hAnsi="Times New Roman" w:cs="Times New Roman"/>
          <w:i/>
          <w:iCs/>
          <w:color w:val="auto"/>
        </w:rPr>
        <w:t xml:space="preserve"> </w:t>
      </w:r>
      <w:r w:rsidRPr="007B78F8">
        <w:rPr>
          <w:rFonts w:ascii="Times New Roman" w:hAnsi="Times New Roman" w:cs="Times New Roman"/>
          <w:i/>
          <w:iCs/>
          <w:color w:val="auto"/>
        </w:rPr>
        <w:t xml:space="preserve"> kā vienotu likmi 15 procentu apmērā no </w:t>
      </w:r>
      <w:r w:rsidR="007B78F8" w:rsidRPr="007B78F8">
        <w:rPr>
          <w:rFonts w:ascii="Times New Roman" w:hAnsi="Times New Roman" w:cs="Times New Roman"/>
          <w:i/>
          <w:iCs/>
          <w:color w:val="auto"/>
        </w:rPr>
        <w:t xml:space="preserve">tiešajām attiecināmajām personāla atlīdzības izmaksām vai </w:t>
      </w:r>
      <w:r w:rsidRPr="007B78F8">
        <w:rPr>
          <w:rFonts w:ascii="Times New Roman" w:hAnsi="Times New Roman" w:cs="Times New Roman"/>
          <w:i/>
          <w:iCs/>
          <w:color w:val="auto"/>
        </w:rPr>
        <w:t xml:space="preserve">pamatojoties uz faktiskajām izmaksām, kas </w:t>
      </w:r>
      <w:r w:rsidRPr="007B78F8">
        <w:rPr>
          <w:rFonts w:ascii="Times New Roman" w:hAnsi="Times New Roman" w:cs="Times New Roman"/>
          <w:i/>
          <w:iCs/>
          <w:color w:val="auto"/>
        </w:rPr>
        <w:lastRenderedPageBreak/>
        <w:t xml:space="preserve">nepārsniedz 15 procentus no </w:t>
      </w:r>
      <w:r w:rsidR="007B78F8" w:rsidRPr="007B78F8">
        <w:rPr>
          <w:rFonts w:ascii="Times New Roman" w:hAnsi="Times New Roman" w:cs="Times New Roman"/>
          <w:i/>
          <w:iCs/>
          <w:color w:val="auto"/>
        </w:rPr>
        <w:t>tiešajām attiecināmajām personāla atlīdzības izmaksām</w:t>
      </w:r>
      <w:r w:rsidRPr="007B78F8">
        <w:rPr>
          <w:rFonts w:ascii="Times New Roman" w:hAnsi="Times New Roman" w:cs="Times New Roman"/>
          <w:i/>
          <w:iCs/>
          <w:color w:val="auto"/>
        </w:rPr>
        <w:t>.</w:t>
      </w:r>
    </w:p>
    <w:p w14:paraId="3839F88A" w14:textId="0E486808" w:rsidR="00424002" w:rsidRPr="000A4C7B" w:rsidRDefault="00DE6CBE" w:rsidP="001F7520">
      <w:pPr>
        <w:pStyle w:val="Default"/>
        <w:numPr>
          <w:ilvl w:val="0"/>
          <w:numId w:val="1"/>
        </w:numPr>
        <w:ind w:left="426" w:hanging="426"/>
        <w:jc w:val="both"/>
        <w:rPr>
          <w:rFonts w:ascii="Times New Roman" w:hAnsi="Times New Roman" w:cs="Times New Roman"/>
          <w:color w:val="auto"/>
        </w:rPr>
      </w:pPr>
      <w:r w:rsidRPr="00DE6CBE">
        <w:rPr>
          <w:rFonts w:ascii="Times New Roman" w:hAnsi="Times New Roman" w:cs="Times New Roman"/>
          <w:color w:val="auto"/>
        </w:rPr>
        <w:t xml:space="preserve">Ministru kabineta </w:t>
      </w:r>
      <w:r w:rsidR="007A0D06">
        <w:rPr>
          <w:rFonts w:ascii="Times New Roman" w:hAnsi="Times New Roman" w:cs="Times New Roman"/>
          <w:color w:val="auto"/>
        </w:rPr>
        <w:t xml:space="preserve">2020.gada 24. novembra </w:t>
      </w:r>
      <w:hyperlink r:id="rId14" w:history="1">
        <w:r w:rsidRPr="007F5A7E">
          <w:rPr>
            <w:rStyle w:val="Hyperlink"/>
            <w:rFonts w:ascii="Times New Roman" w:hAnsi="Times New Roman" w:cs="Times New Roman"/>
          </w:rPr>
          <w:t xml:space="preserve">noteikumu Nr. 700 </w:t>
        </w:r>
        <w:r w:rsidR="007B78F8" w:rsidRPr="007F5A7E">
          <w:rPr>
            <w:rStyle w:val="Hyperlink"/>
            <w:rFonts w:ascii="Times New Roman" w:hAnsi="Times New Roman" w:cs="Times New Roman"/>
          </w:rPr>
          <w:t>“</w:t>
        </w:r>
        <w:r w:rsidRPr="007F5A7E">
          <w:rPr>
            <w:rStyle w:val="Hyperlink"/>
            <w:rFonts w:ascii="Times New Roman" w:hAnsi="Times New Roman" w:cs="Times New Roman"/>
          </w:rPr>
          <w:t xml:space="preserve">Eiropas Ekonomikas zonas finanšu instrumenta 2014.–2021. gada perioda programmas </w:t>
        </w:r>
        <w:r w:rsidR="007B78F8" w:rsidRPr="007F5A7E">
          <w:rPr>
            <w:rStyle w:val="Hyperlink"/>
            <w:rFonts w:ascii="Times New Roman" w:hAnsi="Times New Roman" w:cs="Times New Roman"/>
          </w:rPr>
          <w:t>“</w:t>
        </w:r>
        <w:r w:rsidRPr="007F5A7E">
          <w:rPr>
            <w:rStyle w:val="Hyperlink"/>
            <w:rFonts w:ascii="Times New Roman" w:hAnsi="Times New Roman" w:cs="Times New Roman"/>
          </w:rPr>
          <w:t>Vietējā attīstība, nabadzības mazināšana un kultūras sadarbība</w:t>
        </w:r>
        <w:r w:rsidR="007B78F8" w:rsidRPr="007F5A7E">
          <w:rPr>
            <w:rStyle w:val="Hyperlink"/>
            <w:rFonts w:ascii="Times New Roman" w:hAnsi="Times New Roman" w:cs="Times New Roman"/>
          </w:rPr>
          <w:t>”</w:t>
        </w:r>
        <w:r w:rsidRPr="007F5A7E">
          <w:rPr>
            <w:rStyle w:val="Hyperlink"/>
            <w:rFonts w:ascii="Times New Roman" w:hAnsi="Times New Roman" w:cs="Times New Roman"/>
          </w:rPr>
          <w:t xml:space="preserve"> vispārīgie un iepriekš noteikto projektu īstenošanas noteikumi</w:t>
        </w:r>
        <w:r w:rsidR="007B78F8" w:rsidRPr="007F5A7E">
          <w:rPr>
            <w:rStyle w:val="Hyperlink"/>
            <w:rFonts w:ascii="Times New Roman" w:hAnsi="Times New Roman" w:cs="Times New Roman"/>
          </w:rPr>
          <w:t>”</w:t>
        </w:r>
      </w:hyperlink>
      <w:r w:rsidR="007B78F8">
        <w:rPr>
          <w:rFonts w:ascii="Times New Roman" w:hAnsi="Times New Roman" w:cs="Times New Roman"/>
          <w:color w:val="auto"/>
        </w:rPr>
        <w:t xml:space="preserve"> (turpmāk – MK noteikumi Nr.700)</w:t>
      </w:r>
      <w:r w:rsidR="007B78F8" w:rsidRPr="007B78F8">
        <w:t xml:space="preserve"> </w:t>
      </w:r>
      <w:r w:rsidR="007B78F8" w:rsidRPr="007B78F8">
        <w:rPr>
          <w:rFonts w:ascii="Times New Roman" w:hAnsi="Times New Roman" w:cs="Times New Roman"/>
          <w:color w:val="auto"/>
        </w:rPr>
        <w:t>14.2.</w:t>
      </w:r>
      <w:r w:rsidR="007B78F8">
        <w:rPr>
          <w:rFonts w:ascii="Times New Roman" w:hAnsi="Times New Roman" w:cs="Times New Roman"/>
          <w:color w:val="auto"/>
        </w:rPr>
        <w:t xml:space="preserve">apakšpunkts nosaka, ka </w:t>
      </w:r>
      <w:r w:rsidR="007B78F8" w:rsidRPr="006A3FFB">
        <w:rPr>
          <w:rFonts w:ascii="Times New Roman" w:hAnsi="Times New Roman" w:cs="Times New Roman"/>
          <w:i/>
          <w:iCs/>
          <w:color w:val="auto"/>
        </w:rPr>
        <w:t>netiešās attiecināmās izmaksas (telpu noma, komunālo pakalpojumu izmaksas, kancelejas preču, aprīkojuma un programmatūras iegādes izmaksas un citas izmaksas, kas netieši saistītas ar iepriekš noteiktā projekta īstenošanas administrēšanu)  aprēķina kā vienoto likmi un kuras nepārsniedz 15 procentus no tiešajām attiecināmajām personāla atlīdzības izmaksām</w:t>
      </w:r>
      <w:r w:rsidRPr="006A3FFB">
        <w:rPr>
          <w:rFonts w:ascii="Times New Roman" w:hAnsi="Times New Roman" w:cs="Times New Roman"/>
          <w:i/>
          <w:iCs/>
          <w:color w:val="auto"/>
        </w:rPr>
        <w:t>.</w:t>
      </w:r>
    </w:p>
    <w:p w14:paraId="4B75D2E1" w14:textId="7B6555AC" w:rsidR="008914A0" w:rsidRPr="00395786" w:rsidRDefault="008914A0" w:rsidP="00395786">
      <w:pPr>
        <w:pStyle w:val="Default"/>
        <w:jc w:val="both"/>
        <w:rPr>
          <w:rFonts w:ascii="Times New Roman" w:hAnsi="Times New Roman" w:cs="Times New Roman"/>
          <w:color w:val="auto"/>
        </w:rPr>
      </w:pPr>
    </w:p>
    <w:p w14:paraId="7994A2E3" w14:textId="7EFEFAD9" w:rsidR="00395786" w:rsidRDefault="000D016E" w:rsidP="00395786">
      <w:pPr>
        <w:pStyle w:val="Default"/>
        <w:jc w:val="both"/>
        <w:rPr>
          <w:rFonts w:ascii="Times New Roman" w:hAnsi="Times New Roman" w:cs="Times New Roman"/>
          <w:color w:val="auto"/>
        </w:rPr>
      </w:pPr>
      <w:r>
        <w:rPr>
          <w:rFonts w:ascii="Times New Roman" w:hAnsi="Times New Roman" w:cs="Times New Roman"/>
          <w:color w:val="auto"/>
        </w:rPr>
        <w:t>Ievērojot</w:t>
      </w:r>
      <w:r w:rsidR="00395786">
        <w:rPr>
          <w:rFonts w:ascii="Times New Roman" w:hAnsi="Times New Roman" w:cs="Times New Roman"/>
          <w:color w:val="auto"/>
        </w:rPr>
        <w:t xml:space="preserve">, ka </w:t>
      </w:r>
      <w:r w:rsidR="00A00315">
        <w:rPr>
          <w:rFonts w:ascii="Times New Roman" w:hAnsi="Times New Roman" w:cs="Times New Roman"/>
          <w:color w:val="auto"/>
        </w:rPr>
        <w:t>MK noteikumu</w:t>
      </w:r>
      <w:r w:rsidR="00197AAA">
        <w:rPr>
          <w:rFonts w:ascii="Times New Roman" w:hAnsi="Times New Roman" w:cs="Times New Roman"/>
          <w:color w:val="auto"/>
        </w:rPr>
        <w:t xml:space="preserve"> Nr.93</w:t>
      </w:r>
      <w:r w:rsidR="00A00315">
        <w:rPr>
          <w:rFonts w:ascii="Times New Roman" w:hAnsi="Times New Roman" w:cs="Times New Roman"/>
          <w:color w:val="auto"/>
        </w:rPr>
        <w:t xml:space="preserve"> 13.2.2.</w:t>
      </w:r>
      <w:r w:rsidR="00197AAA">
        <w:rPr>
          <w:rFonts w:ascii="Times New Roman" w:hAnsi="Times New Roman" w:cs="Times New Roman"/>
          <w:color w:val="auto"/>
        </w:rPr>
        <w:t xml:space="preserve"> un 13.3.2.</w:t>
      </w:r>
      <w:r w:rsidR="00A00315">
        <w:rPr>
          <w:rFonts w:ascii="Times New Roman" w:hAnsi="Times New Roman" w:cs="Times New Roman"/>
          <w:color w:val="auto"/>
        </w:rPr>
        <w:t>apakšpunktā</w:t>
      </w:r>
      <w:r w:rsidR="00197AAA">
        <w:rPr>
          <w:rFonts w:ascii="Times New Roman" w:hAnsi="Times New Roman" w:cs="Times New Roman"/>
          <w:color w:val="auto"/>
        </w:rPr>
        <w:t xml:space="preserve"> un MK noteikumu Nr.700 14.2.apakšpunktā</w:t>
      </w:r>
      <w:r w:rsidR="00A00315">
        <w:rPr>
          <w:rFonts w:ascii="Times New Roman" w:hAnsi="Times New Roman" w:cs="Times New Roman"/>
          <w:color w:val="auto"/>
        </w:rPr>
        <w:t xml:space="preserve"> </w:t>
      </w:r>
      <w:r w:rsidR="00D567D9">
        <w:rPr>
          <w:rFonts w:ascii="Times New Roman" w:hAnsi="Times New Roman" w:cs="Times New Roman"/>
          <w:color w:val="auto"/>
        </w:rPr>
        <w:t xml:space="preserve">ietvertais netiešo izmaksu kategoriju uzskaitījums nav izsmeļošs un </w:t>
      </w:r>
      <w:r w:rsidR="006267D8">
        <w:rPr>
          <w:rFonts w:ascii="Times New Roman" w:hAnsi="Times New Roman" w:cs="Times New Roman"/>
          <w:color w:val="auto"/>
        </w:rPr>
        <w:t xml:space="preserve">līdzfinansējuma saņēmējs un projekta partneris var iekļaut netiešajās izmaksās </w:t>
      </w:r>
      <w:r w:rsidR="008134BE">
        <w:rPr>
          <w:rFonts w:ascii="Times New Roman" w:hAnsi="Times New Roman" w:cs="Times New Roman"/>
          <w:color w:val="auto"/>
        </w:rPr>
        <w:t xml:space="preserve">arī </w:t>
      </w:r>
      <w:r w:rsidR="00A8397F">
        <w:rPr>
          <w:rFonts w:ascii="Times New Roman" w:hAnsi="Times New Roman" w:cs="Times New Roman"/>
          <w:color w:val="auto"/>
        </w:rPr>
        <w:t xml:space="preserve">citas </w:t>
      </w:r>
      <w:r w:rsidR="00126311">
        <w:rPr>
          <w:rFonts w:ascii="Times New Roman" w:hAnsi="Times New Roman" w:cs="Times New Roman"/>
          <w:color w:val="auto"/>
        </w:rPr>
        <w:t xml:space="preserve">izmaksu </w:t>
      </w:r>
      <w:r w:rsidR="00A8397F">
        <w:rPr>
          <w:rFonts w:ascii="Times New Roman" w:hAnsi="Times New Roman" w:cs="Times New Roman"/>
          <w:color w:val="auto"/>
        </w:rPr>
        <w:t xml:space="preserve">kategorijas, ieskaitot </w:t>
      </w:r>
      <w:r w:rsidR="006267D8">
        <w:rPr>
          <w:rFonts w:ascii="Times New Roman" w:hAnsi="Times New Roman" w:cs="Times New Roman"/>
          <w:color w:val="auto"/>
        </w:rPr>
        <w:t xml:space="preserve">tādas </w:t>
      </w:r>
      <w:r w:rsidR="00126311">
        <w:rPr>
          <w:rFonts w:ascii="Times New Roman" w:hAnsi="Times New Roman" w:cs="Times New Roman"/>
          <w:color w:val="auto"/>
        </w:rPr>
        <w:t xml:space="preserve">izmaksu </w:t>
      </w:r>
      <w:r w:rsidR="006267D8">
        <w:rPr>
          <w:rFonts w:ascii="Times New Roman" w:hAnsi="Times New Roman" w:cs="Times New Roman"/>
          <w:color w:val="auto"/>
        </w:rPr>
        <w:t>kategorijas</w:t>
      </w:r>
      <w:r w:rsidR="008134BE">
        <w:rPr>
          <w:rFonts w:ascii="Times New Roman" w:hAnsi="Times New Roman" w:cs="Times New Roman"/>
          <w:color w:val="auto"/>
        </w:rPr>
        <w:t xml:space="preserve">, kas paredzētas kā tiešo attiecināmo </w:t>
      </w:r>
      <w:r w:rsidR="00126311">
        <w:rPr>
          <w:rFonts w:ascii="Times New Roman" w:hAnsi="Times New Roman" w:cs="Times New Roman"/>
          <w:color w:val="auto"/>
        </w:rPr>
        <w:t xml:space="preserve">izmaksu </w:t>
      </w:r>
      <w:r w:rsidR="008134BE">
        <w:rPr>
          <w:rFonts w:ascii="Times New Roman" w:hAnsi="Times New Roman" w:cs="Times New Roman"/>
          <w:color w:val="auto"/>
        </w:rPr>
        <w:t>kategorijas</w:t>
      </w:r>
      <w:r w:rsidR="007956E7">
        <w:rPr>
          <w:rFonts w:ascii="Times New Roman" w:hAnsi="Times New Roman" w:cs="Times New Roman"/>
          <w:color w:val="auto"/>
        </w:rPr>
        <w:t xml:space="preserve"> (piemēram, personāla atlīdzības izmaksas, telpu noma, u.c.)</w:t>
      </w:r>
      <w:r>
        <w:rPr>
          <w:rFonts w:ascii="Times New Roman" w:hAnsi="Times New Roman" w:cs="Times New Roman"/>
          <w:color w:val="auto"/>
        </w:rPr>
        <w:t>.</w:t>
      </w:r>
      <w:r w:rsidR="00F87272">
        <w:rPr>
          <w:rFonts w:ascii="Times New Roman" w:hAnsi="Times New Roman" w:cs="Times New Roman"/>
          <w:color w:val="auto"/>
        </w:rPr>
        <w:t xml:space="preserve"> </w:t>
      </w:r>
      <w:r>
        <w:rPr>
          <w:rFonts w:ascii="Times New Roman" w:hAnsi="Times New Roman" w:cs="Times New Roman"/>
          <w:color w:val="auto"/>
        </w:rPr>
        <w:t>V</w:t>
      </w:r>
      <w:r w:rsidR="00A8397F">
        <w:rPr>
          <w:rFonts w:ascii="Times New Roman" w:hAnsi="Times New Roman" w:cs="Times New Roman"/>
          <w:color w:val="auto"/>
        </w:rPr>
        <w:t xml:space="preserve">ienlaikus, </w:t>
      </w:r>
      <w:r w:rsidR="00F87272">
        <w:rPr>
          <w:rFonts w:ascii="Times New Roman" w:hAnsi="Times New Roman" w:cs="Times New Roman"/>
          <w:color w:val="auto"/>
        </w:rPr>
        <w:t>lai nodrošinātu vienotu pieeju netiešo izmaksu piemērošanā</w:t>
      </w:r>
      <w:r w:rsidR="00BC5FD3">
        <w:rPr>
          <w:rFonts w:ascii="Times New Roman" w:hAnsi="Times New Roman" w:cs="Times New Roman"/>
          <w:color w:val="auto"/>
        </w:rPr>
        <w:t xml:space="preserve"> un nepieļautu dubultā finansējuma risku, </w:t>
      </w:r>
      <w:r w:rsidR="00BC5FD3" w:rsidRPr="00A21E47">
        <w:rPr>
          <w:rFonts w:ascii="Times New Roman" w:hAnsi="Times New Roman" w:cs="Times New Roman"/>
          <w:color w:val="auto"/>
          <w:u w:val="single"/>
        </w:rPr>
        <w:t xml:space="preserve">programmas </w:t>
      </w:r>
      <w:proofErr w:type="spellStart"/>
      <w:r w:rsidR="00BC5FD3" w:rsidRPr="00A21E47">
        <w:rPr>
          <w:rFonts w:ascii="Times New Roman" w:hAnsi="Times New Roman" w:cs="Times New Roman"/>
          <w:color w:val="auto"/>
          <w:u w:val="single"/>
        </w:rPr>
        <w:t>apsaimniekotājs</w:t>
      </w:r>
      <w:proofErr w:type="spellEnd"/>
      <w:r w:rsidR="00BC5FD3" w:rsidRPr="00A21E47">
        <w:rPr>
          <w:rFonts w:ascii="Times New Roman" w:hAnsi="Times New Roman" w:cs="Times New Roman"/>
          <w:color w:val="auto"/>
          <w:u w:val="single"/>
        </w:rPr>
        <w:t xml:space="preserve"> vērš uzmanību uz</w:t>
      </w:r>
      <w:r w:rsidR="00A21E47" w:rsidRPr="00A21E47">
        <w:rPr>
          <w:rFonts w:ascii="Times New Roman" w:hAnsi="Times New Roman" w:cs="Times New Roman"/>
          <w:color w:val="auto"/>
          <w:u w:val="single"/>
        </w:rPr>
        <w:t xml:space="preserve"> šādu principu piemērošanu izmaksu sadalījuma</w:t>
      </w:r>
      <w:r w:rsidR="00071532">
        <w:rPr>
          <w:rFonts w:ascii="Times New Roman" w:hAnsi="Times New Roman" w:cs="Times New Roman"/>
          <w:color w:val="auto"/>
          <w:u w:val="single"/>
        </w:rPr>
        <w:t>m</w:t>
      </w:r>
      <w:r w:rsidR="00A21E47" w:rsidRPr="00A21E47">
        <w:rPr>
          <w:rFonts w:ascii="Times New Roman" w:hAnsi="Times New Roman" w:cs="Times New Roman"/>
          <w:color w:val="auto"/>
          <w:u w:val="single"/>
        </w:rPr>
        <w:t xml:space="preserve"> starp tiešajām un netiešajām izmaksām</w:t>
      </w:r>
      <w:r w:rsidR="00A21E47">
        <w:rPr>
          <w:rFonts w:ascii="Times New Roman" w:hAnsi="Times New Roman" w:cs="Times New Roman"/>
          <w:color w:val="auto"/>
        </w:rPr>
        <w:t>:</w:t>
      </w:r>
    </w:p>
    <w:p w14:paraId="7259D447" w14:textId="68B9D0CD" w:rsidR="00A21E47" w:rsidRDefault="00121D54"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 xml:space="preserve">Ja </w:t>
      </w:r>
      <w:r w:rsidR="00DF4797">
        <w:rPr>
          <w:rFonts w:ascii="Times New Roman" w:hAnsi="Times New Roman" w:cs="Times New Roman"/>
          <w:color w:val="auto"/>
        </w:rPr>
        <w:t xml:space="preserve">līdzfinansējuma saņēmējs vai projekta partneris </w:t>
      </w:r>
      <w:r w:rsidR="0027502E">
        <w:rPr>
          <w:rFonts w:ascii="Times New Roman" w:hAnsi="Times New Roman" w:cs="Times New Roman"/>
          <w:color w:val="auto"/>
        </w:rPr>
        <w:t xml:space="preserve">vienas kategorijas </w:t>
      </w:r>
      <w:r w:rsidR="00126311">
        <w:rPr>
          <w:rFonts w:ascii="Times New Roman" w:hAnsi="Times New Roman" w:cs="Times New Roman"/>
          <w:color w:val="auto"/>
        </w:rPr>
        <w:t>izmaksas</w:t>
      </w:r>
      <w:r w:rsidR="00F90BA9">
        <w:rPr>
          <w:rFonts w:ascii="Times New Roman" w:hAnsi="Times New Roman" w:cs="Times New Roman"/>
          <w:color w:val="auto"/>
        </w:rPr>
        <w:t>, piemēram, ar atalgojumu s</w:t>
      </w:r>
      <w:r w:rsidR="00322DDD">
        <w:rPr>
          <w:rFonts w:ascii="Times New Roman" w:hAnsi="Times New Roman" w:cs="Times New Roman"/>
          <w:color w:val="auto"/>
        </w:rPr>
        <w:t xml:space="preserve">aistītās izmaksas </w:t>
      </w:r>
      <w:r w:rsidR="00C41ECC">
        <w:rPr>
          <w:rFonts w:ascii="Times New Roman" w:hAnsi="Times New Roman" w:cs="Times New Roman"/>
          <w:color w:val="auto"/>
        </w:rPr>
        <w:t xml:space="preserve">u.c. </w:t>
      </w:r>
      <w:r w:rsidR="00322DDD">
        <w:rPr>
          <w:rFonts w:ascii="Times New Roman" w:hAnsi="Times New Roman" w:cs="Times New Roman"/>
          <w:color w:val="auto"/>
        </w:rPr>
        <w:t>paredz daļēji segt no tiešajām izmaksām un daļēji no netiešajām izmaksām, iestādē ir jāizdod rīkojums, kur skaidri tiek identificēti gadījumi</w:t>
      </w:r>
      <w:r w:rsidR="007956E7">
        <w:rPr>
          <w:rFonts w:ascii="Times New Roman" w:hAnsi="Times New Roman" w:cs="Times New Roman"/>
          <w:color w:val="auto"/>
        </w:rPr>
        <w:t xml:space="preserve"> vai</w:t>
      </w:r>
      <w:r w:rsidR="00A36696">
        <w:rPr>
          <w:rFonts w:ascii="Times New Roman" w:hAnsi="Times New Roman" w:cs="Times New Roman"/>
          <w:color w:val="auto"/>
        </w:rPr>
        <w:t xml:space="preserve"> izmaksu procentuālais sadalījums</w:t>
      </w:r>
      <w:r w:rsidR="00D12745">
        <w:rPr>
          <w:rFonts w:ascii="Times New Roman" w:hAnsi="Times New Roman" w:cs="Times New Roman"/>
          <w:color w:val="auto"/>
        </w:rPr>
        <w:t>, kas tiek attiecināts uz tiešajām izmaksām un kas uz netiešajām izmaksām</w:t>
      </w:r>
      <w:r w:rsidR="00BA78B6">
        <w:rPr>
          <w:rFonts w:ascii="Times New Roman" w:hAnsi="Times New Roman" w:cs="Times New Roman"/>
          <w:color w:val="auto"/>
        </w:rPr>
        <w:t>.</w:t>
      </w:r>
    </w:p>
    <w:p w14:paraId="6987AC89" w14:textId="2602CDB7" w:rsidR="00BA78B6" w:rsidRDefault="00BA78B6"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 xml:space="preserve">Ja </w:t>
      </w:r>
      <w:r w:rsidR="000A0735">
        <w:rPr>
          <w:rFonts w:ascii="Times New Roman" w:hAnsi="Times New Roman" w:cs="Times New Roman"/>
          <w:color w:val="auto"/>
        </w:rPr>
        <w:t xml:space="preserve">viens rēķins tiek segts daļēji no tiešajām izmaksām un daļēji no netiešajām izmaksām, uz rēķina jābūt identificējamām un norādītām summām, kuras tiek </w:t>
      </w:r>
      <w:r w:rsidR="00A90467">
        <w:rPr>
          <w:rFonts w:ascii="Times New Roman" w:hAnsi="Times New Roman" w:cs="Times New Roman"/>
          <w:color w:val="auto"/>
        </w:rPr>
        <w:t>attiecinātas uz katrām izmaksām.</w:t>
      </w:r>
    </w:p>
    <w:p w14:paraId="549AA1DF" w14:textId="0D911E6F" w:rsidR="00A90467" w:rsidRPr="00DB048B" w:rsidRDefault="00A90467"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 xml:space="preserve">Ja </w:t>
      </w:r>
      <w:r w:rsidR="00F06154">
        <w:rPr>
          <w:rFonts w:ascii="Times New Roman" w:hAnsi="Times New Roman" w:cs="Times New Roman"/>
          <w:color w:val="auto"/>
        </w:rPr>
        <w:t xml:space="preserve">viena mēneša atalgojuma izmaksas, piemēram, atvaļinājuma nauda, </w:t>
      </w:r>
      <w:r w:rsidR="00126311" w:rsidRPr="009F61B1">
        <w:rPr>
          <w:rFonts w:ascii="Times New Roman" w:hAnsi="Times New Roman" w:cs="Times New Roman"/>
          <w:color w:val="auto"/>
        </w:rPr>
        <w:t>prēmija</w:t>
      </w:r>
      <w:r w:rsidR="000B281C" w:rsidRPr="00126311">
        <w:rPr>
          <w:rFonts w:ascii="Times New Roman" w:hAnsi="Times New Roman" w:cs="Times New Roman"/>
          <w:color w:val="auto"/>
        </w:rPr>
        <w:t xml:space="preserve"> </w:t>
      </w:r>
      <w:r w:rsidR="00F06154" w:rsidRPr="009F61B1">
        <w:rPr>
          <w:rFonts w:ascii="Times New Roman" w:hAnsi="Times New Roman" w:cs="Times New Roman"/>
          <w:color w:val="auto"/>
        </w:rPr>
        <w:t xml:space="preserve">par </w:t>
      </w:r>
      <w:r w:rsidR="00126311" w:rsidRPr="00126311">
        <w:rPr>
          <w:rFonts w:ascii="Times New Roman" w:hAnsi="Times New Roman" w:cs="Times New Roman"/>
          <w:color w:val="auto"/>
        </w:rPr>
        <w:t>ikgadējo darbības un tās rezultātu novērtējumu</w:t>
      </w:r>
      <w:r w:rsidR="00F06154">
        <w:rPr>
          <w:rFonts w:ascii="Times New Roman" w:hAnsi="Times New Roman" w:cs="Times New Roman"/>
          <w:color w:val="auto"/>
        </w:rPr>
        <w:t xml:space="preserve">, tiek </w:t>
      </w:r>
      <w:r w:rsidR="004038D7">
        <w:rPr>
          <w:rFonts w:ascii="Times New Roman" w:hAnsi="Times New Roman" w:cs="Times New Roman"/>
          <w:color w:val="auto"/>
        </w:rPr>
        <w:t xml:space="preserve">segta </w:t>
      </w:r>
      <w:r w:rsidR="00F06154">
        <w:rPr>
          <w:rFonts w:ascii="Times New Roman" w:hAnsi="Times New Roman" w:cs="Times New Roman"/>
          <w:color w:val="auto"/>
        </w:rPr>
        <w:t>da</w:t>
      </w:r>
      <w:r w:rsidR="004038D7">
        <w:rPr>
          <w:rFonts w:ascii="Times New Roman" w:hAnsi="Times New Roman" w:cs="Times New Roman"/>
          <w:color w:val="auto"/>
        </w:rPr>
        <w:t xml:space="preserve">ļēji no tiešajām izmaksām un daļēji no netiešajām izmaksām, tiek sagatavoti </w:t>
      </w:r>
      <w:r w:rsidR="007956E7">
        <w:rPr>
          <w:rFonts w:ascii="Times New Roman" w:hAnsi="Times New Roman" w:cs="Times New Roman"/>
          <w:color w:val="auto"/>
        </w:rPr>
        <w:t xml:space="preserve">divi </w:t>
      </w:r>
      <w:r w:rsidR="004038D7">
        <w:rPr>
          <w:rFonts w:ascii="Times New Roman" w:hAnsi="Times New Roman" w:cs="Times New Roman"/>
          <w:color w:val="auto"/>
        </w:rPr>
        <w:t>algu aprēķini</w:t>
      </w:r>
      <w:r w:rsidR="00C62215">
        <w:rPr>
          <w:rFonts w:ascii="Times New Roman" w:hAnsi="Times New Roman" w:cs="Times New Roman"/>
          <w:color w:val="auto"/>
        </w:rPr>
        <w:t xml:space="preserve"> par </w:t>
      </w:r>
      <w:r w:rsidR="00EC205F" w:rsidRPr="009F61B1">
        <w:rPr>
          <w:rFonts w:ascii="Times New Roman" w:hAnsi="Times New Roman" w:cs="Times New Roman"/>
          <w:color w:val="auto"/>
        </w:rPr>
        <w:t xml:space="preserve">attiecīgo </w:t>
      </w:r>
      <w:r w:rsidR="00126311" w:rsidRPr="009F61B1">
        <w:rPr>
          <w:rFonts w:ascii="Times New Roman" w:hAnsi="Times New Roman" w:cs="Times New Roman"/>
          <w:color w:val="auto"/>
        </w:rPr>
        <w:t>izmaksu</w:t>
      </w:r>
      <w:r w:rsidR="00126311" w:rsidRPr="00126311">
        <w:rPr>
          <w:rFonts w:ascii="Times New Roman" w:hAnsi="Times New Roman" w:cs="Times New Roman"/>
          <w:color w:val="auto"/>
        </w:rPr>
        <w:t xml:space="preserve"> </w:t>
      </w:r>
      <w:r w:rsidR="00C62215" w:rsidRPr="009F61B1">
        <w:rPr>
          <w:rFonts w:ascii="Times New Roman" w:hAnsi="Times New Roman" w:cs="Times New Roman"/>
          <w:color w:val="auto"/>
        </w:rPr>
        <w:t>daļu</w:t>
      </w:r>
      <w:r w:rsidR="004038D7" w:rsidRPr="009F61B1">
        <w:rPr>
          <w:rFonts w:ascii="Times New Roman" w:hAnsi="Times New Roman" w:cs="Times New Roman"/>
          <w:color w:val="auto"/>
        </w:rPr>
        <w:t xml:space="preserve">, no kuriem programmas </w:t>
      </w:r>
      <w:proofErr w:type="spellStart"/>
      <w:r w:rsidR="004038D7" w:rsidRPr="009F61B1">
        <w:rPr>
          <w:rFonts w:ascii="Times New Roman" w:hAnsi="Times New Roman" w:cs="Times New Roman"/>
          <w:color w:val="auto"/>
        </w:rPr>
        <w:t>apsaimniekotājam</w:t>
      </w:r>
      <w:proofErr w:type="spellEnd"/>
      <w:r w:rsidR="004038D7" w:rsidRPr="009F61B1">
        <w:rPr>
          <w:rFonts w:ascii="Times New Roman" w:hAnsi="Times New Roman" w:cs="Times New Roman"/>
          <w:color w:val="auto"/>
        </w:rPr>
        <w:t xml:space="preserve"> kopā ar projekta pārskat</w:t>
      </w:r>
      <w:r w:rsidR="006C3270" w:rsidRPr="009F61B1">
        <w:rPr>
          <w:rFonts w:ascii="Times New Roman" w:hAnsi="Times New Roman" w:cs="Times New Roman"/>
          <w:color w:val="auto"/>
        </w:rPr>
        <w:t xml:space="preserve">u tiek </w:t>
      </w:r>
      <w:r w:rsidR="006C3270" w:rsidRPr="00DB048B">
        <w:rPr>
          <w:rFonts w:ascii="Times New Roman" w:hAnsi="Times New Roman" w:cs="Times New Roman"/>
          <w:color w:val="auto"/>
        </w:rPr>
        <w:t xml:space="preserve">iesniegts algu aprēķins </w:t>
      </w:r>
      <w:r w:rsidR="00D94C13" w:rsidRPr="00DB048B">
        <w:rPr>
          <w:rFonts w:ascii="Times New Roman" w:hAnsi="Times New Roman" w:cs="Times New Roman"/>
          <w:color w:val="auto"/>
        </w:rPr>
        <w:t xml:space="preserve">tikai </w:t>
      </w:r>
      <w:r w:rsidR="006C3270" w:rsidRPr="00DB048B">
        <w:rPr>
          <w:rFonts w:ascii="Times New Roman" w:hAnsi="Times New Roman" w:cs="Times New Roman"/>
          <w:color w:val="auto"/>
        </w:rPr>
        <w:t>par tiešo izmaksu daļu</w:t>
      </w:r>
      <w:r w:rsidR="00C62215" w:rsidRPr="00DB048B">
        <w:rPr>
          <w:rFonts w:ascii="Times New Roman" w:hAnsi="Times New Roman" w:cs="Times New Roman"/>
          <w:color w:val="auto"/>
        </w:rPr>
        <w:t>.</w:t>
      </w:r>
    </w:p>
    <w:p w14:paraId="682E6247" w14:textId="42B4540E" w:rsidR="00C62215" w:rsidRDefault="00DB048B"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Netiešo izmaksu segšanai</w:t>
      </w:r>
      <w:r w:rsidR="00792A54" w:rsidRPr="00DB048B">
        <w:rPr>
          <w:rFonts w:ascii="Times New Roman" w:hAnsi="Times New Roman" w:cs="Times New Roman"/>
          <w:color w:val="auto"/>
        </w:rPr>
        <w:t xml:space="preserve"> projektā var būt atvērts atsevišķs konts vai tās var </w:t>
      </w:r>
      <w:r>
        <w:rPr>
          <w:rFonts w:ascii="Times New Roman" w:hAnsi="Times New Roman" w:cs="Times New Roman"/>
          <w:color w:val="auto"/>
        </w:rPr>
        <w:t>tikt</w:t>
      </w:r>
      <w:r w:rsidR="00792A54" w:rsidRPr="00DB048B">
        <w:rPr>
          <w:rFonts w:ascii="Times New Roman" w:hAnsi="Times New Roman" w:cs="Times New Roman"/>
          <w:color w:val="auto"/>
        </w:rPr>
        <w:t xml:space="preserve"> veiktas no cita līdzfinansējuma saņēmēja vai partnera iestādes konta. </w:t>
      </w:r>
      <w:r w:rsidR="00D94C13" w:rsidRPr="00DB048B">
        <w:rPr>
          <w:rFonts w:ascii="Times New Roman" w:hAnsi="Times New Roman" w:cs="Times New Roman"/>
          <w:color w:val="auto"/>
        </w:rPr>
        <w:t>Ja projekta vajadzībām ir atvērts viens bankas konts, no kur</w:t>
      </w:r>
      <w:r w:rsidR="00D31270" w:rsidRPr="00DB048B">
        <w:rPr>
          <w:rFonts w:ascii="Times New Roman" w:hAnsi="Times New Roman" w:cs="Times New Roman"/>
          <w:color w:val="auto"/>
        </w:rPr>
        <w:t>a</w:t>
      </w:r>
      <w:r w:rsidR="00D94C13" w:rsidRPr="00DB048B">
        <w:rPr>
          <w:rFonts w:ascii="Times New Roman" w:hAnsi="Times New Roman" w:cs="Times New Roman"/>
          <w:color w:val="auto"/>
        </w:rPr>
        <w:t xml:space="preserve"> tiek </w:t>
      </w:r>
      <w:r w:rsidR="005000EE" w:rsidRPr="00DB048B">
        <w:rPr>
          <w:rFonts w:ascii="Times New Roman" w:hAnsi="Times New Roman" w:cs="Times New Roman"/>
          <w:color w:val="auto"/>
        </w:rPr>
        <w:t>veikti maksājumi gan par</w:t>
      </w:r>
      <w:r w:rsidR="005000EE">
        <w:rPr>
          <w:rFonts w:ascii="Times New Roman" w:hAnsi="Times New Roman" w:cs="Times New Roman"/>
          <w:color w:val="auto"/>
        </w:rPr>
        <w:t xml:space="preserve"> tiešajām izmaksām, gan par netiešajām izmaksām, līdzfinansējuma saņēmējs un projekta partneris nodrošina, ka</w:t>
      </w:r>
      <w:r w:rsidR="00C34875">
        <w:rPr>
          <w:rFonts w:ascii="Times New Roman" w:hAnsi="Times New Roman" w:cs="Times New Roman"/>
          <w:color w:val="auto"/>
        </w:rPr>
        <w:t xml:space="preserve"> tiek veikti atsevišķi maksājumi par tiešo </w:t>
      </w:r>
      <w:r w:rsidR="00126311">
        <w:rPr>
          <w:rFonts w:ascii="Times New Roman" w:hAnsi="Times New Roman" w:cs="Times New Roman"/>
          <w:color w:val="auto"/>
        </w:rPr>
        <w:t xml:space="preserve">izmaksu </w:t>
      </w:r>
      <w:r w:rsidR="00C34875">
        <w:rPr>
          <w:rFonts w:ascii="Times New Roman" w:hAnsi="Times New Roman" w:cs="Times New Roman"/>
          <w:color w:val="auto"/>
        </w:rPr>
        <w:t xml:space="preserve">daļu un atsevišķi maksājumi par netiešo </w:t>
      </w:r>
      <w:r w:rsidR="00126311">
        <w:rPr>
          <w:rFonts w:ascii="Times New Roman" w:hAnsi="Times New Roman" w:cs="Times New Roman"/>
          <w:color w:val="auto"/>
        </w:rPr>
        <w:t xml:space="preserve">izmaksu </w:t>
      </w:r>
      <w:r w:rsidR="00C34875">
        <w:rPr>
          <w:rFonts w:ascii="Times New Roman" w:hAnsi="Times New Roman" w:cs="Times New Roman"/>
          <w:color w:val="auto"/>
        </w:rPr>
        <w:t xml:space="preserve">daļu, kā arī no bankas konta izraksta ir identificējams, uz </w:t>
      </w:r>
      <w:r w:rsidR="00E36E41">
        <w:rPr>
          <w:rFonts w:ascii="Times New Roman" w:hAnsi="Times New Roman" w:cs="Times New Roman"/>
          <w:color w:val="auto"/>
        </w:rPr>
        <w:t xml:space="preserve">kuru </w:t>
      </w:r>
      <w:r w:rsidR="00126311">
        <w:rPr>
          <w:rFonts w:ascii="Times New Roman" w:hAnsi="Times New Roman" w:cs="Times New Roman"/>
          <w:color w:val="auto"/>
        </w:rPr>
        <w:t>izmaksu</w:t>
      </w:r>
      <w:r w:rsidR="00E36E41">
        <w:rPr>
          <w:rFonts w:ascii="Times New Roman" w:hAnsi="Times New Roman" w:cs="Times New Roman"/>
          <w:color w:val="auto"/>
        </w:rPr>
        <w:t xml:space="preserve"> daļu </w:t>
      </w:r>
      <w:r w:rsidR="00126311">
        <w:rPr>
          <w:rFonts w:ascii="Times New Roman" w:hAnsi="Times New Roman" w:cs="Times New Roman"/>
          <w:color w:val="auto"/>
        </w:rPr>
        <w:t xml:space="preserve">(tiešajām vai netiešajām izmaksām) </w:t>
      </w:r>
      <w:r w:rsidR="00C34875">
        <w:rPr>
          <w:rFonts w:ascii="Times New Roman" w:hAnsi="Times New Roman" w:cs="Times New Roman"/>
          <w:color w:val="auto"/>
        </w:rPr>
        <w:t>attiecināms katrs maksājums</w:t>
      </w:r>
      <w:r>
        <w:rPr>
          <w:rFonts w:ascii="Times New Roman" w:hAnsi="Times New Roman" w:cs="Times New Roman"/>
          <w:color w:val="auto"/>
        </w:rPr>
        <w:t xml:space="preserve">, kā arī tiek nodrošināta </w:t>
      </w:r>
      <w:r w:rsidRPr="00DB048B">
        <w:rPr>
          <w:rFonts w:ascii="Times New Roman" w:hAnsi="Times New Roman" w:cs="Times New Roman"/>
          <w:color w:val="auto"/>
        </w:rPr>
        <w:t>atsevišķ</w:t>
      </w:r>
      <w:r>
        <w:rPr>
          <w:rFonts w:ascii="Times New Roman" w:hAnsi="Times New Roman" w:cs="Times New Roman"/>
          <w:color w:val="auto"/>
        </w:rPr>
        <w:t>a</w:t>
      </w:r>
      <w:r w:rsidRPr="00DB048B">
        <w:rPr>
          <w:rFonts w:ascii="Times New Roman" w:hAnsi="Times New Roman" w:cs="Times New Roman"/>
          <w:color w:val="auto"/>
        </w:rPr>
        <w:t xml:space="preserve"> grāmatvedības uzskait</w:t>
      </w:r>
      <w:r>
        <w:rPr>
          <w:rFonts w:ascii="Times New Roman" w:hAnsi="Times New Roman" w:cs="Times New Roman"/>
          <w:color w:val="auto"/>
        </w:rPr>
        <w:t>e</w:t>
      </w:r>
      <w:r w:rsidRPr="00DB048B">
        <w:rPr>
          <w:rFonts w:ascii="Times New Roman" w:hAnsi="Times New Roman" w:cs="Times New Roman"/>
          <w:color w:val="auto"/>
        </w:rPr>
        <w:t>, nodalot tieš</w:t>
      </w:r>
      <w:r>
        <w:rPr>
          <w:rFonts w:ascii="Times New Roman" w:hAnsi="Times New Roman" w:cs="Times New Roman"/>
          <w:color w:val="auto"/>
        </w:rPr>
        <w:t>ās</w:t>
      </w:r>
      <w:r w:rsidRPr="00DB048B">
        <w:rPr>
          <w:rFonts w:ascii="Times New Roman" w:hAnsi="Times New Roman" w:cs="Times New Roman"/>
          <w:color w:val="auto"/>
        </w:rPr>
        <w:t xml:space="preserve"> un netieš</w:t>
      </w:r>
      <w:r w:rsidR="003B4D51">
        <w:rPr>
          <w:rFonts w:ascii="Times New Roman" w:hAnsi="Times New Roman" w:cs="Times New Roman"/>
          <w:color w:val="auto"/>
        </w:rPr>
        <w:t>ās</w:t>
      </w:r>
      <w:r w:rsidRPr="00DB048B">
        <w:rPr>
          <w:rFonts w:ascii="Times New Roman" w:hAnsi="Times New Roman" w:cs="Times New Roman"/>
          <w:color w:val="auto"/>
        </w:rPr>
        <w:t xml:space="preserve"> </w:t>
      </w:r>
      <w:r w:rsidR="003B4D51">
        <w:rPr>
          <w:rFonts w:ascii="Times New Roman" w:hAnsi="Times New Roman" w:cs="Times New Roman"/>
          <w:color w:val="auto"/>
        </w:rPr>
        <w:t>izmaksas</w:t>
      </w:r>
      <w:r w:rsidRPr="00DB048B">
        <w:rPr>
          <w:rFonts w:ascii="Times New Roman" w:hAnsi="Times New Roman" w:cs="Times New Roman"/>
          <w:color w:val="auto"/>
        </w:rPr>
        <w:t xml:space="preserve"> ar iekšējā budžeta analīzes instrumenta palīdzību </w:t>
      </w:r>
      <w:r w:rsidR="003B4D51">
        <w:rPr>
          <w:rFonts w:ascii="Times New Roman" w:hAnsi="Times New Roman" w:cs="Times New Roman"/>
          <w:color w:val="auto"/>
        </w:rPr>
        <w:t>–</w:t>
      </w:r>
      <w:r w:rsidRPr="00DB048B">
        <w:rPr>
          <w:rFonts w:ascii="Times New Roman" w:hAnsi="Times New Roman" w:cs="Times New Roman"/>
          <w:color w:val="auto"/>
        </w:rPr>
        <w:t xml:space="preserve"> izmaksu</w:t>
      </w:r>
      <w:r w:rsidR="003B4D51">
        <w:rPr>
          <w:rFonts w:ascii="Times New Roman" w:hAnsi="Times New Roman" w:cs="Times New Roman"/>
          <w:color w:val="auto"/>
        </w:rPr>
        <w:t xml:space="preserve"> </w:t>
      </w:r>
      <w:r w:rsidRPr="00DB048B">
        <w:rPr>
          <w:rFonts w:ascii="Times New Roman" w:hAnsi="Times New Roman" w:cs="Times New Roman"/>
          <w:color w:val="auto"/>
        </w:rPr>
        <w:t>analītisko kontu nodalīšanu vai, piemēram, subkontu jau esošajam kontam</w:t>
      </w:r>
      <w:r w:rsidR="00C34875">
        <w:rPr>
          <w:rFonts w:ascii="Times New Roman" w:hAnsi="Times New Roman" w:cs="Times New Roman"/>
          <w:color w:val="auto"/>
        </w:rPr>
        <w:t>.</w:t>
      </w:r>
    </w:p>
    <w:p w14:paraId="11D2A821" w14:textId="3352D02B" w:rsidR="00C34875" w:rsidRDefault="00EE5265"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A</w:t>
      </w:r>
      <w:r w:rsidR="00B07C46">
        <w:rPr>
          <w:rFonts w:ascii="Times New Roman" w:hAnsi="Times New Roman" w:cs="Times New Roman"/>
          <w:color w:val="auto"/>
        </w:rPr>
        <w:t xml:space="preserve">r atalgojumu saistītās izmaksas, t.sk. sociālās garantijas (atvaļinājuma nauda, </w:t>
      </w:r>
      <w:r w:rsidR="00126311" w:rsidRPr="009F61B1">
        <w:rPr>
          <w:rFonts w:ascii="Times New Roman" w:hAnsi="Times New Roman" w:cs="Times New Roman"/>
          <w:color w:val="auto"/>
        </w:rPr>
        <w:t xml:space="preserve">prēmija par </w:t>
      </w:r>
      <w:r w:rsidR="00126311" w:rsidRPr="00126311">
        <w:rPr>
          <w:rFonts w:ascii="Times New Roman" w:hAnsi="Times New Roman" w:cs="Times New Roman"/>
          <w:color w:val="auto"/>
        </w:rPr>
        <w:t>ikgadējo darbības un tās rezultātu novērtējumu</w:t>
      </w:r>
      <w:r w:rsidR="00B07C46">
        <w:rPr>
          <w:rFonts w:ascii="Times New Roman" w:hAnsi="Times New Roman" w:cs="Times New Roman"/>
          <w:color w:val="auto"/>
        </w:rPr>
        <w:t>, veselības apdrošināšanas polises)</w:t>
      </w:r>
      <w:r w:rsidR="000F6D61">
        <w:rPr>
          <w:rFonts w:ascii="Times New Roman" w:hAnsi="Times New Roman" w:cs="Times New Roman"/>
          <w:color w:val="auto"/>
        </w:rPr>
        <w:t>, kurām ir piemērojama proporcionālās izmaksu daļas aprēķināšana</w:t>
      </w:r>
      <w:r w:rsidR="006A3FFB">
        <w:rPr>
          <w:rFonts w:ascii="Times New Roman" w:hAnsi="Times New Roman" w:cs="Times New Roman"/>
          <w:color w:val="auto"/>
        </w:rPr>
        <w:t xml:space="preserve"> (zemāk minēti piemēri proporcionalitātes principa piemērošanai)</w:t>
      </w:r>
      <w:r w:rsidR="00BB0281" w:rsidRPr="006A3FFB">
        <w:rPr>
          <w:rFonts w:ascii="Times New Roman" w:hAnsi="Times New Roman" w:cs="Times New Roman"/>
          <w:b/>
          <w:bCs/>
          <w:color w:val="auto"/>
        </w:rPr>
        <w:t>*</w:t>
      </w:r>
      <w:r w:rsidR="007C2831">
        <w:rPr>
          <w:rFonts w:ascii="Times New Roman" w:hAnsi="Times New Roman" w:cs="Times New Roman"/>
          <w:b/>
          <w:bCs/>
          <w:color w:val="auto"/>
        </w:rPr>
        <w:t>,</w:t>
      </w:r>
      <w:r w:rsidR="000F6D61">
        <w:rPr>
          <w:rFonts w:ascii="Times New Roman" w:hAnsi="Times New Roman" w:cs="Times New Roman"/>
          <w:color w:val="auto"/>
        </w:rPr>
        <w:t xml:space="preserve"> atkarībā no laika, kuru darbinieks ir nostrādājis </w:t>
      </w:r>
      <w:r w:rsidR="00F37C91">
        <w:rPr>
          <w:rFonts w:ascii="Times New Roman" w:hAnsi="Times New Roman" w:cs="Times New Roman"/>
          <w:color w:val="auto"/>
        </w:rPr>
        <w:t>uz projektu, sākotnēji tiek iekļautas tiešajās attiecināmajās izmaksās</w:t>
      </w:r>
      <w:r w:rsidR="00D36DA7">
        <w:rPr>
          <w:rFonts w:ascii="Times New Roman" w:hAnsi="Times New Roman" w:cs="Times New Roman"/>
          <w:color w:val="auto"/>
        </w:rPr>
        <w:t xml:space="preserve">. </w:t>
      </w:r>
      <w:r w:rsidR="006F36C9">
        <w:rPr>
          <w:rFonts w:ascii="Times New Roman" w:hAnsi="Times New Roman" w:cs="Times New Roman"/>
          <w:color w:val="auto"/>
        </w:rPr>
        <w:t xml:space="preserve">Ja </w:t>
      </w:r>
      <w:r w:rsidR="00F37C91">
        <w:rPr>
          <w:rFonts w:ascii="Times New Roman" w:hAnsi="Times New Roman" w:cs="Times New Roman"/>
          <w:color w:val="auto"/>
        </w:rPr>
        <w:t xml:space="preserve">programmas </w:t>
      </w:r>
      <w:proofErr w:type="spellStart"/>
      <w:r w:rsidR="00F37C91">
        <w:rPr>
          <w:rFonts w:ascii="Times New Roman" w:hAnsi="Times New Roman" w:cs="Times New Roman"/>
          <w:color w:val="auto"/>
        </w:rPr>
        <w:t>apsaimniekotājs</w:t>
      </w:r>
      <w:proofErr w:type="spellEnd"/>
      <w:r w:rsidR="00F37C91">
        <w:rPr>
          <w:rFonts w:ascii="Times New Roman" w:hAnsi="Times New Roman" w:cs="Times New Roman"/>
          <w:color w:val="auto"/>
        </w:rPr>
        <w:t xml:space="preserve"> </w:t>
      </w:r>
      <w:r w:rsidR="00126311">
        <w:rPr>
          <w:rFonts w:ascii="Times New Roman" w:hAnsi="Times New Roman" w:cs="Times New Roman"/>
          <w:color w:val="auto"/>
        </w:rPr>
        <w:t xml:space="preserve">izmaksu </w:t>
      </w:r>
      <w:proofErr w:type="spellStart"/>
      <w:r w:rsidR="00F6261A">
        <w:rPr>
          <w:rFonts w:ascii="Times New Roman" w:hAnsi="Times New Roman" w:cs="Times New Roman"/>
          <w:color w:val="auto"/>
        </w:rPr>
        <w:t>attiecināmības</w:t>
      </w:r>
      <w:proofErr w:type="spellEnd"/>
      <w:r w:rsidR="00F6261A">
        <w:rPr>
          <w:rFonts w:ascii="Times New Roman" w:hAnsi="Times New Roman" w:cs="Times New Roman"/>
          <w:color w:val="auto"/>
        </w:rPr>
        <w:t xml:space="preserve"> pārbaudes laikā ir konstatējis, ka uz projektu attiecināmā daļa ir aprēķināta nepareizi, </w:t>
      </w:r>
      <w:r w:rsidR="00301E8E">
        <w:rPr>
          <w:rFonts w:ascii="Times New Roman" w:hAnsi="Times New Roman" w:cs="Times New Roman"/>
          <w:color w:val="auto"/>
        </w:rPr>
        <w:t xml:space="preserve">tad </w:t>
      </w:r>
      <w:r w:rsidR="002B6518">
        <w:rPr>
          <w:rFonts w:ascii="Times New Roman" w:hAnsi="Times New Roman" w:cs="Times New Roman"/>
          <w:color w:val="auto"/>
        </w:rPr>
        <w:t>šī</w:t>
      </w:r>
      <w:r w:rsidR="006728F7">
        <w:rPr>
          <w:rFonts w:ascii="Times New Roman" w:hAnsi="Times New Roman" w:cs="Times New Roman"/>
          <w:color w:val="auto"/>
        </w:rPr>
        <w:t xml:space="preserve"> </w:t>
      </w:r>
      <w:r w:rsidR="00126311">
        <w:rPr>
          <w:rFonts w:ascii="Times New Roman" w:hAnsi="Times New Roman" w:cs="Times New Roman"/>
          <w:color w:val="auto"/>
        </w:rPr>
        <w:t xml:space="preserve">izmaksu </w:t>
      </w:r>
      <w:r w:rsidR="006728F7">
        <w:rPr>
          <w:rFonts w:ascii="Times New Roman" w:hAnsi="Times New Roman" w:cs="Times New Roman"/>
          <w:color w:val="auto"/>
        </w:rPr>
        <w:t xml:space="preserve">daļa tiek uzskatīta </w:t>
      </w:r>
      <w:r w:rsidR="006728F7">
        <w:rPr>
          <w:rFonts w:ascii="Times New Roman" w:hAnsi="Times New Roman" w:cs="Times New Roman"/>
          <w:color w:val="auto"/>
        </w:rPr>
        <w:lastRenderedPageBreak/>
        <w:t>par neatbilstoši veiktiem izdevumiem un nevar tikt pēc tam pārgrāmatota uz netiešajām izmaksām.</w:t>
      </w:r>
    </w:p>
    <w:p w14:paraId="46C561CA" w14:textId="211970ED" w:rsidR="00B6255F" w:rsidRDefault="00B6255F" w:rsidP="00071532">
      <w:pPr>
        <w:pStyle w:val="Default"/>
        <w:numPr>
          <w:ilvl w:val="0"/>
          <w:numId w:val="2"/>
        </w:numPr>
        <w:ind w:left="426" w:hanging="426"/>
        <w:jc w:val="both"/>
        <w:rPr>
          <w:rFonts w:ascii="Times New Roman" w:hAnsi="Times New Roman" w:cs="Times New Roman"/>
          <w:color w:val="auto"/>
        </w:rPr>
      </w:pPr>
      <w:r>
        <w:rPr>
          <w:rFonts w:ascii="Times New Roman" w:hAnsi="Times New Roman" w:cs="Times New Roman"/>
          <w:color w:val="auto"/>
        </w:rPr>
        <w:t>Līdzfinansējuma saņēmējs vai projekta partneris var pieņemt lēmumu</w:t>
      </w:r>
      <w:r w:rsidR="002A032D">
        <w:rPr>
          <w:rFonts w:ascii="Times New Roman" w:hAnsi="Times New Roman" w:cs="Times New Roman"/>
          <w:color w:val="auto"/>
        </w:rPr>
        <w:t xml:space="preserve"> netiešajās izmaksās iekļaut </w:t>
      </w:r>
      <w:r w:rsidR="002A40D0">
        <w:rPr>
          <w:rFonts w:ascii="Times New Roman" w:hAnsi="Times New Roman" w:cs="Times New Roman"/>
          <w:color w:val="auto"/>
        </w:rPr>
        <w:t>atvaļinājuma naudu, novērtēšanas prēmijas, veselības apdrošināšanas izmaksas</w:t>
      </w:r>
      <w:r w:rsidR="00AE22A8">
        <w:rPr>
          <w:rFonts w:ascii="Times New Roman" w:hAnsi="Times New Roman" w:cs="Times New Roman"/>
          <w:color w:val="auto"/>
        </w:rPr>
        <w:t xml:space="preserve"> 100% apmērā</w:t>
      </w:r>
      <w:r w:rsidR="002A40D0">
        <w:rPr>
          <w:rFonts w:ascii="Times New Roman" w:hAnsi="Times New Roman" w:cs="Times New Roman"/>
          <w:color w:val="auto"/>
        </w:rPr>
        <w:t>, ja nevar</w:t>
      </w:r>
      <w:r w:rsidR="0088642F">
        <w:rPr>
          <w:rFonts w:ascii="Times New Roman" w:hAnsi="Times New Roman" w:cs="Times New Roman"/>
          <w:color w:val="auto"/>
        </w:rPr>
        <w:t xml:space="preserve"> nodrošināt šo izmaksu aprēķinu atbilstoši proporcionalitātes principam</w:t>
      </w:r>
      <w:r w:rsidR="007F5A7E">
        <w:rPr>
          <w:rFonts w:ascii="Times New Roman" w:hAnsi="Times New Roman" w:cs="Times New Roman"/>
          <w:color w:val="auto"/>
        </w:rPr>
        <w:t>*</w:t>
      </w:r>
      <w:r w:rsidR="0088642F">
        <w:rPr>
          <w:rFonts w:ascii="Times New Roman" w:hAnsi="Times New Roman" w:cs="Times New Roman"/>
          <w:color w:val="auto"/>
        </w:rPr>
        <w:t xml:space="preserve">. Šajā gadījumā </w:t>
      </w:r>
      <w:r w:rsidR="006E2553">
        <w:rPr>
          <w:rFonts w:ascii="Times New Roman" w:hAnsi="Times New Roman" w:cs="Times New Roman"/>
          <w:color w:val="auto"/>
        </w:rPr>
        <w:t xml:space="preserve">iestādē ir jānodrošina pieņemtā lēmuma </w:t>
      </w:r>
      <w:r w:rsidR="00551FEC">
        <w:rPr>
          <w:rFonts w:ascii="Times New Roman" w:hAnsi="Times New Roman" w:cs="Times New Roman"/>
          <w:color w:val="auto"/>
        </w:rPr>
        <w:t xml:space="preserve">izsekojamība un </w:t>
      </w:r>
      <w:r w:rsidR="006E2553">
        <w:rPr>
          <w:rFonts w:ascii="Times New Roman" w:hAnsi="Times New Roman" w:cs="Times New Roman"/>
          <w:color w:val="auto"/>
        </w:rPr>
        <w:t xml:space="preserve">dokumentēšana, lai to </w:t>
      </w:r>
      <w:r w:rsidR="00584CB9">
        <w:rPr>
          <w:rFonts w:ascii="Times New Roman" w:hAnsi="Times New Roman" w:cs="Times New Roman"/>
          <w:color w:val="auto"/>
        </w:rPr>
        <w:t xml:space="preserve">nepieciešamības gadījumā </w:t>
      </w:r>
      <w:r w:rsidR="006E2553">
        <w:rPr>
          <w:rFonts w:ascii="Times New Roman" w:hAnsi="Times New Roman" w:cs="Times New Roman"/>
          <w:color w:val="auto"/>
        </w:rPr>
        <w:t>iesnie</w:t>
      </w:r>
      <w:r w:rsidR="00391E6C">
        <w:rPr>
          <w:rFonts w:ascii="Times New Roman" w:hAnsi="Times New Roman" w:cs="Times New Roman"/>
          <w:color w:val="auto"/>
        </w:rPr>
        <w:t xml:space="preserve">gt programmas un projekta uzraugošajām iestādēm vai audita </w:t>
      </w:r>
      <w:r w:rsidR="001D14BC">
        <w:rPr>
          <w:rFonts w:ascii="Times New Roman" w:hAnsi="Times New Roman" w:cs="Times New Roman"/>
          <w:color w:val="auto"/>
        </w:rPr>
        <w:t>veicējiem</w:t>
      </w:r>
      <w:r w:rsidR="00391E6C">
        <w:rPr>
          <w:rFonts w:ascii="Times New Roman" w:hAnsi="Times New Roman" w:cs="Times New Roman"/>
          <w:color w:val="auto"/>
        </w:rPr>
        <w:t>.</w:t>
      </w:r>
    </w:p>
    <w:p w14:paraId="4140CCDE" w14:textId="6E003624" w:rsidR="006728F7" w:rsidRDefault="006728F7" w:rsidP="006728F7">
      <w:pPr>
        <w:pStyle w:val="Default"/>
        <w:jc w:val="both"/>
        <w:rPr>
          <w:rFonts w:ascii="Times New Roman" w:hAnsi="Times New Roman" w:cs="Times New Roman"/>
          <w:color w:val="auto"/>
        </w:rPr>
      </w:pPr>
    </w:p>
    <w:p w14:paraId="366A62C0" w14:textId="6245EC66" w:rsidR="007956E7" w:rsidRDefault="00BB0281" w:rsidP="00172B32">
      <w:pPr>
        <w:pStyle w:val="Default"/>
        <w:jc w:val="both"/>
        <w:rPr>
          <w:rFonts w:ascii="Times New Roman" w:hAnsi="Times New Roman" w:cs="Times New Roman"/>
          <w:color w:val="auto"/>
        </w:rPr>
      </w:pPr>
      <w:r w:rsidRPr="009F61B1">
        <w:rPr>
          <w:rFonts w:ascii="Times New Roman" w:hAnsi="Times New Roman" w:cs="Times New Roman"/>
          <w:color w:val="auto"/>
        </w:rPr>
        <w:t>Vēršam uzmanību</w:t>
      </w:r>
      <w:r w:rsidR="007956E7" w:rsidRPr="009F61B1">
        <w:rPr>
          <w:rFonts w:ascii="Times New Roman" w:hAnsi="Times New Roman" w:cs="Times New Roman"/>
          <w:color w:val="auto"/>
        </w:rPr>
        <w:t xml:space="preserve">, ka izmantojot netiešu izmaksu vienoto likmi, </w:t>
      </w:r>
      <w:r w:rsidR="007956E7" w:rsidRPr="009F61B1">
        <w:rPr>
          <w:rFonts w:ascii="Times New Roman" w:hAnsi="Times New Roman" w:cs="Times New Roman"/>
          <w:b/>
          <w:bCs/>
          <w:color w:val="auto"/>
        </w:rPr>
        <w:t>par netieš</w:t>
      </w:r>
      <w:r w:rsidRPr="009F61B1">
        <w:rPr>
          <w:rFonts w:ascii="Times New Roman" w:hAnsi="Times New Roman" w:cs="Times New Roman"/>
          <w:b/>
          <w:bCs/>
          <w:color w:val="auto"/>
        </w:rPr>
        <w:t>ajām</w:t>
      </w:r>
      <w:r w:rsidR="007956E7" w:rsidRPr="009F61B1">
        <w:rPr>
          <w:rFonts w:ascii="Times New Roman" w:hAnsi="Times New Roman" w:cs="Times New Roman"/>
          <w:b/>
          <w:bCs/>
          <w:color w:val="auto"/>
        </w:rPr>
        <w:t xml:space="preserve"> izmaks</w:t>
      </w:r>
      <w:r w:rsidRPr="009F61B1">
        <w:rPr>
          <w:rFonts w:ascii="Times New Roman" w:hAnsi="Times New Roman" w:cs="Times New Roman"/>
          <w:b/>
          <w:bCs/>
          <w:color w:val="auto"/>
        </w:rPr>
        <w:t>ām</w:t>
      </w:r>
      <w:r w:rsidR="007956E7" w:rsidRPr="009F61B1">
        <w:rPr>
          <w:rFonts w:ascii="Times New Roman" w:hAnsi="Times New Roman" w:cs="Times New Roman"/>
          <w:b/>
          <w:bCs/>
          <w:color w:val="auto"/>
        </w:rPr>
        <w:t xml:space="preserve"> nav nepieciešams uzrādīt pamatojošos dokumentus, </w:t>
      </w:r>
      <w:r w:rsidR="007956E7" w:rsidRPr="009F61B1">
        <w:rPr>
          <w:rFonts w:ascii="Times New Roman" w:hAnsi="Times New Roman" w:cs="Times New Roman"/>
          <w:color w:val="auto"/>
        </w:rPr>
        <w:t xml:space="preserve">programmas </w:t>
      </w:r>
      <w:proofErr w:type="spellStart"/>
      <w:r w:rsidR="007956E7" w:rsidRPr="009F61B1">
        <w:rPr>
          <w:rFonts w:ascii="Times New Roman" w:hAnsi="Times New Roman" w:cs="Times New Roman"/>
          <w:color w:val="auto"/>
        </w:rPr>
        <w:t>apsaimniekotājs</w:t>
      </w:r>
      <w:proofErr w:type="spellEnd"/>
      <w:r w:rsidR="007956E7" w:rsidRPr="009F61B1">
        <w:rPr>
          <w:rFonts w:ascii="Times New Roman" w:hAnsi="Times New Roman" w:cs="Times New Roman"/>
          <w:color w:val="auto"/>
        </w:rPr>
        <w:t xml:space="preserve"> pārliecināsies tikai par netiešo izmaksu aprēķina korektumu</w:t>
      </w:r>
      <w:r w:rsidR="00380936" w:rsidRPr="009F61B1">
        <w:rPr>
          <w:rFonts w:ascii="Times New Roman" w:hAnsi="Times New Roman" w:cs="Times New Roman"/>
          <w:color w:val="auto"/>
        </w:rPr>
        <w:t xml:space="preserve"> un nošķiršanu no tiešajām attiecināmajām izmaksām</w:t>
      </w:r>
      <w:r w:rsidR="007956E7" w:rsidRPr="009F61B1">
        <w:rPr>
          <w:rFonts w:ascii="Times New Roman" w:hAnsi="Times New Roman" w:cs="Times New Roman"/>
          <w:color w:val="auto"/>
        </w:rPr>
        <w:t>.</w:t>
      </w:r>
      <w:r w:rsidR="007956E7">
        <w:rPr>
          <w:rFonts w:ascii="Times New Roman" w:hAnsi="Times New Roman" w:cs="Times New Roman"/>
          <w:color w:val="auto"/>
        </w:rPr>
        <w:t xml:space="preserve"> </w:t>
      </w:r>
    </w:p>
    <w:p w14:paraId="07B7934D" w14:textId="13A495A1" w:rsidR="007956E7" w:rsidRDefault="007956E7" w:rsidP="00172B32">
      <w:pPr>
        <w:pStyle w:val="Default"/>
        <w:jc w:val="both"/>
        <w:rPr>
          <w:rFonts w:ascii="Times New Roman" w:hAnsi="Times New Roman" w:cs="Times New Roman"/>
          <w:color w:val="auto"/>
        </w:rPr>
      </w:pPr>
    </w:p>
    <w:p w14:paraId="1929E696" w14:textId="4B2BC07C" w:rsidR="006728F7" w:rsidRDefault="00BB0281" w:rsidP="00172B32">
      <w:pPr>
        <w:pStyle w:val="Default"/>
        <w:jc w:val="both"/>
        <w:rPr>
          <w:rFonts w:ascii="Times New Roman" w:hAnsi="Times New Roman" w:cs="Times New Roman"/>
          <w:color w:val="auto"/>
        </w:rPr>
      </w:pPr>
      <w:r>
        <w:rPr>
          <w:rFonts w:ascii="Times New Roman" w:hAnsi="Times New Roman" w:cs="Times New Roman"/>
          <w:color w:val="auto"/>
        </w:rPr>
        <w:t xml:space="preserve">* </w:t>
      </w:r>
      <w:r w:rsidR="00BA7555">
        <w:rPr>
          <w:rFonts w:ascii="Times New Roman" w:hAnsi="Times New Roman" w:cs="Times New Roman"/>
          <w:color w:val="auto"/>
        </w:rPr>
        <w:t xml:space="preserve">Piemērojot Vadošās iestādes </w:t>
      </w:r>
      <w:r w:rsidR="00172B32" w:rsidRPr="002068C1">
        <w:rPr>
          <w:rFonts w:ascii="Times New Roman" w:hAnsi="Times New Roman" w:cs="Times New Roman"/>
          <w:i/>
          <w:iCs/>
          <w:color w:val="auto"/>
        </w:rPr>
        <w:t>Vadlīnij</w:t>
      </w:r>
      <w:r w:rsidR="00A56ED4" w:rsidRPr="002068C1">
        <w:rPr>
          <w:rFonts w:ascii="Times New Roman" w:hAnsi="Times New Roman" w:cs="Times New Roman"/>
          <w:i/>
          <w:iCs/>
          <w:color w:val="auto"/>
        </w:rPr>
        <w:t>ā</w:t>
      </w:r>
      <w:r w:rsidR="00172B32" w:rsidRPr="002068C1">
        <w:rPr>
          <w:rFonts w:ascii="Times New Roman" w:hAnsi="Times New Roman" w:cs="Times New Roman"/>
          <w:i/>
          <w:iCs/>
          <w:color w:val="auto"/>
        </w:rPr>
        <w:t>s pārbaužu veikšanai Eiropas Ekonomikas zonas</w:t>
      </w:r>
      <w:r>
        <w:rPr>
          <w:rFonts w:ascii="Times New Roman" w:hAnsi="Times New Roman" w:cs="Times New Roman"/>
          <w:i/>
          <w:iCs/>
          <w:color w:val="auto"/>
        </w:rPr>
        <w:t xml:space="preserve"> </w:t>
      </w:r>
      <w:r w:rsidR="00172B32" w:rsidRPr="002068C1">
        <w:rPr>
          <w:rFonts w:ascii="Times New Roman" w:hAnsi="Times New Roman" w:cs="Times New Roman"/>
          <w:i/>
          <w:iCs/>
          <w:color w:val="auto"/>
        </w:rPr>
        <w:t xml:space="preserve">un Norvēģijas finanšu instrumentu līdzfinansētā projekta īstenošanas vietā, programmu un projektu attiecināmo izmaksu pamatojošiem dokumentiem un to pārbaudēm, un specifisko </w:t>
      </w:r>
      <w:proofErr w:type="spellStart"/>
      <w:r w:rsidR="00172B32" w:rsidRPr="002068C1">
        <w:rPr>
          <w:rFonts w:ascii="Times New Roman" w:hAnsi="Times New Roman" w:cs="Times New Roman"/>
          <w:i/>
          <w:iCs/>
          <w:color w:val="auto"/>
        </w:rPr>
        <w:t>attiecināmības</w:t>
      </w:r>
      <w:proofErr w:type="spellEnd"/>
      <w:r w:rsidR="00172B32" w:rsidRPr="002068C1">
        <w:rPr>
          <w:rFonts w:ascii="Times New Roman" w:hAnsi="Times New Roman" w:cs="Times New Roman"/>
          <w:i/>
          <w:iCs/>
          <w:color w:val="auto"/>
        </w:rPr>
        <w:t xml:space="preserve"> principu noteikšanai 2014.-2021.gada periodā</w:t>
      </w:r>
      <w:r w:rsidR="00A56ED4">
        <w:rPr>
          <w:rFonts w:ascii="Times New Roman" w:hAnsi="Times New Roman" w:cs="Times New Roman"/>
          <w:color w:val="auto"/>
        </w:rPr>
        <w:t xml:space="preserve"> noteikto </w:t>
      </w:r>
      <w:r w:rsidR="00A56ED4" w:rsidRPr="007F5A7E">
        <w:rPr>
          <w:rFonts w:ascii="Times New Roman" w:hAnsi="Times New Roman" w:cs="Times New Roman"/>
          <w:b/>
          <w:bCs/>
          <w:color w:val="auto"/>
        </w:rPr>
        <w:t>proporcionalitātes principu</w:t>
      </w:r>
      <w:r w:rsidR="00A56ED4">
        <w:rPr>
          <w:rFonts w:ascii="Times New Roman" w:hAnsi="Times New Roman" w:cs="Times New Roman"/>
          <w:color w:val="auto"/>
        </w:rPr>
        <w:t xml:space="preserve">, </w:t>
      </w:r>
      <w:r w:rsidR="006B2148">
        <w:rPr>
          <w:rFonts w:ascii="Times New Roman" w:hAnsi="Times New Roman" w:cs="Times New Roman"/>
          <w:color w:val="auto"/>
        </w:rPr>
        <w:t xml:space="preserve">sniedzam piemērus, kā ir aprēķināma uz projektu attiecināmā </w:t>
      </w:r>
      <w:r w:rsidR="00090EF9" w:rsidRPr="00090EF9">
        <w:rPr>
          <w:rFonts w:ascii="Times New Roman" w:hAnsi="Times New Roman" w:cs="Times New Roman"/>
          <w:color w:val="auto"/>
          <w:u w:val="single"/>
        </w:rPr>
        <w:t xml:space="preserve">tiešo izmaksu </w:t>
      </w:r>
      <w:r w:rsidR="006B2148" w:rsidRPr="00090EF9">
        <w:rPr>
          <w:rFonts w:ascii="Times New Roman" w:hAnsi="Times New Roman" w:cs="Times New Roman"/>
          <w:color w:val="auto"/>
          <w:u w:val="single"/>
        </w:rPr>
        <w:t>proporcionālā daļa</w:t>
      </w:r>
      <w:r w:rsidR="006B2148">
        <w:rPr>
          <w:rFonts w:ascii="Times New Roman" w:hAnsi="Times New Roman" w:cs="Times New Roman"/>
          <w:color w:val="auto"/>
        </w:rPr>
        <w:t xml:space="preserve"> </w:t>
      </w:r>
      <w:r w:rsidR="002068C1">
        <w:rPr>
          <w:rFonts w:ascii="Times New Roman" w:hAnsi="Times New Roman" w:cs="Times New Roman"/>
          <w:color w:val="auto"/>
        </w:rPr>
        <w:t xml:space="preserve">ar </w:t>
      </w:r>
      <w:r w:rsidR="007F5A7E">
        <w:rPr>
          <w:rFonts w:ascii="Times New Roman" w:hAnsi="Times New Roman" w:cs="Times New Roman"/>
          <w:color w:val="auto"/>
        </w:rPr>
        <w:t xml:space="preserve">personāla </w:t>
      </w:r>
      <w:r w:rsidR="002068C1">
        <w:rPr>
          <w:rFonts w:ascii="Times New Roman" w:hAnsi="Times New Roman" w:cs="Times New Roman"/>
          <w:color w:val="auto"/>
        </w:rPr>
        <w:t>atalgojumu un sociālajām garantijām saistītajām izmaksām.</w:t>
      </w:r>
      <w:r>
        <w:rPr>
          <w:rFonts w:ascii="Times New Roman" w:hAnsi="Times New Roman" w:cs="Times New Roman"/>
          <w:color w:val="auto"/>
        </w:rPr>
        <w:t xml:space="preserve"> </w:t>
      </w:r>
    </w:p>
    <w:p w14:paraId="05123D60" w14:textId="77777777" w:rsidR="00BB0281" w:rsidRDefault="00BB0281" w:rsidP="00BB0281">
      <w:pPr>
        <w:pStyle w:val="Default"/>
        <w:jc w:val="both"/>
        <w:rPr>
          <w:rFonts w:ascii="Times New Roman" w:hAnsi="Times New Roman" w:cs="Times New Roman"/>
          <w:color w:val="auto"/>
          <w:u w:val="single"/>
        </w:rPr>
      </w:pPr>
    </w:p>
    <w:p w14:paraId="4D517171" w14:textId="0C5C6BC6" w:rsidR="00BB0281" w:rsidRDefault="00BB0281" w:rsidP="00BB0281">
      <w:pPr>
        <w:pStyle w:val="Default"/>
        <w:jc w:val="both"/>
        <w:rPr>
          <w:rFonts w:ascii="Times New Roman" w:hAnsi="Times New Roman" w:cs="Times New Roman"/>
          <w:color w:val="auto"/>
          <w:u w:val="single"/>
        </w:rPr>
      </w:pPr>
      <w:r w:rsidRPr="00C0586B">
        <w:rPr>
          <w:rFonts w:ascii="Times New Roman" w:hAnsi="Times New Roman" w:cs="Times New Roman"/>
          <w:color w:val="auto"/>
          <w:u w:val="single"/>
        </w:rPr>
        <w:t>1.piemērs</w:t>
      </w:r>
    </w:p>
    <w:p w14:paraId="509F545C" w14:textId="77777777" w:rsidR="009F61B1" w:rsidRPr="00C0586B" w:rsidRDefault="009F61B1" w:rsidP="00BB0281">
      <w:pPr>
        <w:pStyle w:val="Default"/>
        <w:jc w:val="both"/>
        <w:rPr>
          <w:rFonts w:ascii="Times New Roman" w:hAnsi="Times New Roman" w:cs="Times New Roman"/>
          <w:color w:val="auto"/>
          <w:u w:val="single"/>
        </w:rPr>
      </w:pPr>
    </w:p>
    <w:tbl>
      <w:tblPr>
        <w:tblStyle w:val="TableGrid"/>
        <w:tblW w:w="0" w:type="auto"/>
        <w:tblLook w:val="04A0" w:firstRow="1" w:lastRow="0" w:firstColumn="1" w:lastColumn="0" w:noHBand="0" w:noVBand="1"/>
      </w:tblPr>
      <w:tblGrid>
        <w:gridCol w:w="8784"/>
      </w:tblGrid>
      <w:tr w:rsidR="00BB0281" w14:paraId="6AA1AF9B" w14:textId="77777777" w:rsidTr="009F61B1">
        <w:tc>
          <w:tcPr>
            <w:tcW w:w="8784" w:type="dxa"/>
          </w:tcPr>
          <w:p w14:paraId="202061AE" w14:textId="4A9D2E6B"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norīkots darbā uz projektu no 16.02.2021. ar nemainīgu ikmēneša noslodzi 40% uz projektu.</w:t>
            </w:r>
          </w:p>
          <w:p w14:paraId="15500CFB"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ņem ikgadējo atvaļinājumu 3 darba dienas no 17.03.2021.-19.03.2021. par nostrādāto laika periodu no 01.04.2020.-31.03.2021. un pirms tam ir izņemtas jau 10 darba dienas no šī perioda ikgadējā atvaļinājuma.</w:t>
            </w:r>
          </w:p>
          <w:p w14:paraId="3B0EB893"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Laika periodā no 16.02.2021.-31.03.2021. darbinieks uz projektu būtu nostrādājis 13 dienas februārī un pilnu marta mēnesi, tādējādi uz projektu var attiecināt:</w:t>
            </w:r>
          </w:p>
          <w:p w14:paraId="3ECBAC81" w14:textId="77777777" w:rsidR="00BB0281" w:rsidRDefault="00BB0281" w:rsidP="00BB028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par februāri 1,67 / 30 * 13 = 0,72 darba dienas;</w:t>
            </w:r>
          </w:p>
          <w:p w14:paraId="26A5A72F" w14:textId="77777777" w:rsidR="00BB0281" w:rsidRDefault="00BB0281" w:rsidP="00BB028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par martu 1,67 darba dienas;</w:t>
            </w:r>
          </w:p>
          <w:p w14:paraId="3C0B7324" w14:textId="77777777" w:rsidR="00BB0281" w:rsidRDefault="00BB0281" w:rsidP="00BB028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kopā 0,72 + 1,67 = 2,39 darba dienas, kas ir pilnas 2 darba dienas.</w:t>
            </w:r>
          </w:p>
          <w:p w14:paraId="1E4D0758" w14:textId="2E7D748E"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 xml:space="preserve">No kopējā pieejamā </w:t>
            </w:r>
            <w:r w:rsidR="006A3FFB">
              <w:rPr>
                <w:rFonts w:ascii="Times New Roman" w:hAnsi="Times New Roman" w:cs="Times New Roman"/>
                <w:color w:val="auto"/>
              </w:rPr>
              <w:t xml:space="preserve">ikgadējā </w:t>
            </w:r>
            <w:r>
              <w:rPr>
                <w:rFonts w:ascii="Times New Roman" w:hAnsi="Times New Roman" w:cs="Times New Roman"/>
                <w:color w:val="auto"/>
              </w:rPr>
              <w:t>atvaļinājuma 20 darba dienām uz projektu var attiecināt pēdējo 2 darba dienu atvaļinājuma naudas 40% proporcionālo daļu.</w:t>
            </w:r>
          </w:p>
          <w:p w14:paraId="0C1F7797"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Tā kā līdz šim ir izņemtas tikai 10 darba dienas un kopā ar šo atvaļinājumu tās būtu 13 darba dienas, tad šī atvaļinājuma nauda nevar tikt segta no projekta līdzekļiem.</w:t>
            </w:r>
          </w:p>
          <w:p w14:paraId="0A422A33" w14:textId="56DDEBBE" w:rsidR="00BB0281" w:rsidRDefault="006A3FFB" w:rsidP="00172B32">
            <w:pPr>
              <w:pStyle w:val="Default"/>
              <w:jc w:val="both"/>
              <w:rPr>
                <w:rFonts w:ascii="Times New Roman" w:hAnsi="Times New Roman" w:cs="Times New Roman"/>
                <w:color w:val="auto"/>
              </w:rPr>
            </w:pPr>
            <w:r w:rsidRPr="009F61B1">
              <w:rPr>
                <w:rFonts w:ascii="Times New Roman" w:hAnsi="Times New Roman" w:cs="Times New Roman"/>
                <w:color w:val="auto"/>
              </w:rPr>
              <w:t xml:space="preserve">Vēršam </w:t>
            </w:r>
            <w:r w:rsidR="00621B4F" w:rsidRPr="009F61B1">
              <w:rPr>
                <w:rFonts w:ascii="Times New Roman" w:hAnsi="Times New Roman" w:cs="Times New Roman"/>
                <w:color w:val="auto"/>
              </w:rPr>
              <w:t xml:space="preserve">uzmanību, ka </w:t>
            </w:r>
            <w:r w:rsidR="0087772E" w:rsidRPr="009F61B1">
              <w:rPr>
                <w:rFonts w:ascii="Times New Roman" w:hAnsi="Times New Roman" w:cs="Times New Roman"/>
                <w:color w:val="auto"/>
              </w:rPr>
              <w:t>p</w:t>
            </w:r>
            <w:r w:rsidRPr="009F61B1">
              <w:rPr>
                <w:rFonts w:ascii="Times New Roman" w:hAnsi="Times New Roman" w:cs="Times New Roman"/>
                <w:color w:val="auto"/>
              </w:rPr>
              <w:t>apildatvaļinājumam piemēro tādus pašus aprēķina principus</w:t>
            </w:r>
            <w:r w:rsidR="00621B4F" w:rsidRPr="009F61B1">
              <w:rPr>
                <w:rFonts w:ascii="Times New Roman" w:hAnsi="Times New Roman" w:cs="Times New Roman"/>
                <w:color w:val="auto"/>
              </w:rPr>
              <w:t>,</w:t>
            </w:r>
            <w:r w:rsidRPr="009F61B1">
              <w:rPr>
                <w:rFonts w:ascii="Times New Roman" w:hAnsi="Times New Roman" w:cs="Times New Roman"/>
                <w:color w:val="auto"/>
              </w:rPr>
              <w:t xml:space="preserve"> kā ikgadējam atvaļinājumam</w:t>
            </w:r>
            <w:r w:rsidR="009B5ABE" w:rsidRPr="009F61B1">
              <w:rPr>
                <w:rFonts w:ascii="Times New Roman" w:hAnsi="Times New Roman" w:cs="Times New Roman"/>
                <w:color w:val="auto"/>
              </w:rPr>
              <w:t xml:space="preserve">, un papildatvaļinājuma dienas tiek segtas no projekta līdzekļiem pēc tādas pašas proporcijas, kā tika segts </w:t>
            </w:r>
            <w:r w:rsidR="00951E2F" w:rsidRPr="009F61B1">
              <w:rPr>
                <w:rFonts w:ascii="Times New Roman" w:hAnsi="Times New Roman" w:cs="Times New Roman"/>
                <w:color w:val="auto"/>
              </w:rPr>
              <w:t>ikgadējais atvaļinājums</w:t>
            </w:r>
            <w:r w:rsidRPr="009F61B1">
              <w:rPr>
                <w:rFonts w:ascii="Times New Roman" w:hAnsi="Times New Roman" w:cs="Times New Roman"/>
                <w:color w:val="auto"/>
              </w:rPr>
              <w:t>.</w:t>
            </w:r>
          </w:p>
          <w:p w14:paraId="53832EA7" w14:textId="4ACBDF4B" w:rsidR="006A3FFB" w:rsidRDefault="006A3FFB" w:rsidP="00172B32">
            <w:pPr>
              <w:pStyle w:val="Default"/>
              <w:jc w:val="both"/>
              <w:rPr>
                <w:rFonts w:ascii="Times New Roman" w:hAnsi="Times New Roman" w:cs="Times New Roman"/>
                <w:color w:val="auto"/>
              </w:rPr>
            </w:pPr>
          </w:p>
        </w:tc>
      </w:tr>
    </w:tbl>
    <w:p w14:paraId="637F8A2B" w14:textId="77777777" w:rsidR="00BB0281" w:rsidRDefault="00BB0281" w:rsidP="00172B32">
      <w:pPr>
        <w:pStyle w:val="Default"/>
        <w:jc w:val="both"/>
        <w:rPr>
          <w:rFonts w:ascii="Times New Roman" w:hAnsi="Times New Roman" w:cs="Times New Roman"/>
          <w:color w:val="auto"/>
        </w:rPr>
      </w:pPr>
    </w:p>
    <w:p w14:paraId="4CEDC7FE" w14:textId="0B742790" w:rsidR="00C0586B" w:rsidRDefault="00C0586B" w:rsidP="00CE1B61">
      <w:pPr>
        <w:pStyle w:val="Default"/>
        <w:jc w:val="both"/>
        <w:rPr>
          <w:rFonts w:ascii="Times New Roman" w:hAnsi="Times New Roman" w:cs="Times New Roman"/>
          <w:color w:val="auto"/>
          <w:u w:val="single"/>
        </w:rPr>
      </w:pPr>
      <w:r w:rsidRPr="00C0586B">
        <w:rPr>
          <w:rFonts w:ascii="Times New Roman" w:hAnsi="Times New Roman" w:cs="Times New Roman"/>
          <w:color w:val="auto"/>
          <w:u w:val="single"/>
        </w:rPr>
        <w:t>2.piemērs</w:t>
      </w:r>
    </w:p>
    <w:p w14:paraId="021E8680" w14:textId="77777777" w:rsidR="009F61B1" w:rsidRDefault="009F61B1" w:rsidP="00CE1B61">
      <w:pPr>
        <w:pStyle w:val="Default"/>
        <w:jc w:val="both"/>
        <w:rPr>
          <w:rFonts w:ascii="Times New Roman" w:hAnsi="Times New Roman" w:cs="Times New Roman"/>
          <w:color w:val="auto"/>
          <w:u w:val="single"/>
        </w:rPr>
      </w:pPr>
    </w:p>
    <w:tbl>
      <w:tblPr>
        <w:tblStyle w:val="TableGrid"/>
        <w:tblW w:w="0" w:type="auto"/>
        <w:tblLook w:val="04A0" w:firstRow="1" w:lastRow="0" w:firstColumn="1" w:lastColumn="0" w:noHBand="0" w:noVBand="1"/>
      </w:tblPr>
      <w:tblGrid>
        <w:gridCol w:w="8784"/>
      </w:tblGrid>
      <w:tr w:rsidR="00BB0281" w14:paraId="6B863857" w14:textId="77777777" w:rsidTr="009F61B1">
        <w:tc>
          <w:tcPr>
            <w:tcW w:w="8784" w:type="dxa"/>
          </w:tcPr>
          <w:p w14:paraId="7C7D857C" w14:textId="0B0A950B"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norīkots darbā uz projektu no 19.11.2020. ar mainīgu ikmēneša noslodzi uz projektu atkarībā no faktiski nostrādātajām stundām.</w:t>
            </w:r>
          </w:p>
          <w:p w14:paraId="7676ECEA"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Darbinieka faktiskā noslodze no kopējā mēneša nostrādātajām stundām uz projektu ir bijusi: 2020.g. novembrī – 30%, 2020.g. decembrī – 45%, 2021.g. janvārī – 35%.</w:t>
            </w:r>
          </w:p>
          <w:p w14:paraId="4B6BCB69"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ņem ikgadējo atvaļinājumu 10 darba dienas no 01.03.2021.-12.03.2021. par nostrādāto laika periodu no 10.01.2020.-09.01.2021. un pirms tam ir izņemtas jau 10 darba dienas no šī perioda ikgadējā atvaļinājuma.</w:t>
            </w:r>
          </w:p>
          <w:p w14:paraId="01676579"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lastRenderedPageBreak/>
              <w:t>Laika periodā no 19.11.2020.-09.01.2021. darbinieks uz projektu ir nostrādājis 2020.g. novembrī 12 dienas, 2020.g. decembrī pilnu mēnesi un 2021.g. janvārī 9 dienas, tādējādi uz projektu var attiecināt:</w:t>
            </w:r>
          </w:p>
          <w:p w14:paraId="76AC7CC4" w14:textId="77777777" w:rsidR="00BB0281" w:rsidRDefault="00BB0281" w:rsidP="00BB0281">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par 2020.g. novembri 1,67 / 30 * 12 = 0,67 darba dienas;</w:t>
            </w:r>
          </w:p>
          <w:p w14:paraId="523B52AE" w14:textId="77777777" w:rsidR="00BB0281" w:rsidRDefault="00BB0281" w:rsidP="00BB0281">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par 2020.g. decembri 1,67 darba dienas;</w:t>
            </w:r>
          </w:p>
          <w:p w14:paraId="48DFBCBF" w14:textId="77777777" w:rsidR="00BB0281" w:rsidRDefault="00BB0281" w:rsidP="00BB0281">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par 2021.g. janvāri 1,67 / 30 * 9 = 0,50 darba dienas;</w:t>
            </w:r>
          </w:p>
          <w:p w14:paraId="4A58B591" w14:textId="77777777" w:rsidR="00BB0281" w:rsidRDefault="00BB0281" w:rsidP="00BB0281">
            <w:pPr>
              <w:pStyle w:val="Default"/>
              <w:numPr>
                <w:ilvl w:val="0"/>
                <w:numId w:val="4"/>
              </w:numPr>
              <w:jc w:val="both"/>
              <w:rPr>
                <w:rFonts w:ascii="Times New Roman" w:hAnsi="Times New Roman" w:cs="Times New Roman"/>
                <w:color w:val="auto"/>
              </w:rPr>
            </w:pPr>
            <w:r>
              <w:rPr>
                <w:rFonts w:ascii="Times New Roman" w:hAnsi="Times New Roman" w:cs="Times New Roman"/>
                <w:color w:val="auto"/>
              </w:rPr>
              <w:t>kopā 0,67 + 1,67 + 0,50 = 2,84 darba dienas, kas ir pilnas 2 darba dienas.</w:t>
            </w:r>
          </w:p>
          <w:p w14:paraId="483A4EC5"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 xml:space="preserve">No kopējā pieejamā atvaļinājuma 20 darba dienām uz projektu var attiecināt pēdējo 2 darba dienu atvaļinājuma naudas proporcionālo daļu </w:t>
            </w:r>
            <w:r w:rsidRPr="00707450">
              <w:rPr>
                <w:rFonts w:ascii="Times New Roman" w:hAnsi="Times New Roman" w:cs="Times New Roman"/>
                <w:color w:val="auto"/>
                <w:u w:val="single"/>
              </w:rPr>
              <w:t>atbilstoši katra mēneša noslodzei</w:t>
            </w:r>
            <w:r>
              <w:rPr>
                <w:rFonts w:ascii="Times New Roman" w:hAnsi="Times New Roman" w:cs="Times New Roman"/>
                <w:color w:val="auto"/>
              </w:rPr>
              <w:t>.</w:t>
            </w:r>
          </w:p>
          <w:p w14:paraId="0449ECB1" w14:textId="680E0099" w:rsidR="006A3FFB" w:rsidRDefault="00BB0281" w:rsidP="00BB0281">
            <w:pPr>
              <w:pStyle w:val="Default"/>
              <w:jc w:val="both"/>
              <w:rPr>
                <w:rFonts w:ascii="Times New Roman" w:hAnsi="Times New Roman" w:cs="Times New Roman"/>
                <w:color w:val="auto"/>
                <w:u w:val="single"/>
              </w:rPr>
            </w:pPr>
            <w:r w:rsidRPr="009B3BE3">
              <w:rPr>
                <w:rFonts w:ascii="Times New Roman" w:hAnsi="Times New Roman" w:cs="Times New Roman"/>
                <w:color w:val="auto"/>
                <w:u w:val="single"/>
              </w:rPr>
              <w:t xml:space="preserve">Ja iestādē darbinieka ikmēneša slodze uz projektu mainās katru mēnesi, līdzfinansējuma saņēmējam vai projekta partnerim ir jāpieņem un iestādē </w:t>
            </w:r>
            <w:r w:rsidR="00126311">
              <w:rPr>
                <w:rFonts w:ascii="Times New Roman" w:hAnsi="Times New Roman" w:cs="Times New Roman"/>
                <w:color w:val="auto"/>
                <w:u w:val="single"/>
              </w:rPr>
              <w:t>jāizstrādā vienoti nosacījumi (</w:t>
            </w:r>
            <w:r w:rsidRPr="009B3BE3">
              <w:rPr>
                <w:rFonts w:ascii="Times New Roman" w:hAnsi="Times New Roman" w:cs="Times New Roman"/>
                <w:color w:val="auto"/>
                <w:u w:val="single"/>
              </w:rPr>
              <w:t>jāapstiprina metodika</w:t>
            </w:r>
            <w:r w:rsidR="00126311">
              <w:rPr>
                <w:rFonts w:ascii="Times New Roman" w:hAnsi="Times New Roman" w:cs="Times New Roman"/>
                <w:color w:val="auto"/>
                <w:u w:val="single"/>
              </w:rPr>
              <w:t>, jāapstiprina rīkojums, jāizstrādā iekšējie noteikumi)</w:t>
            </w:r>
            <w:r w:rsidRPr="009B3BE3">
              <w:rPr>
                <w:rFonts w:ascii="Times New Roman" w:hAnsi="Times New Roman" w:cs="Times New Roman"/>
                <w:color w:val="auto"/>
                <w:u w:val="single"/>
              </w:rPr>
              <w:t>, pēc kur</w:t>
            </w:r>
            <w:r w:rsidR="00126311">
              <w:rPr>
                <w:rFonts w:ascii="Times New Roman" w:hAnsi="Times New Roman" w:cs="Times New Roman"/>
                <w:color w:val="auto"/>
                <w:u w:val="single"/>
              </w:rPr>
              <w:t>iem</w:t>
            </w:r>
            <w:r w:rsidRPr="009B3BE3">
              <w:rPr>
                <w:rFonts w:ascii="Times New Roman" w:hAnsi="Times New Roman" w:cs="Times New Roman"/>
                <w:color w:val="auto"/>
                <w:u w:val="single"/>
              </w:rPr>
              <w:t xml:space="preserve"> tiks aprēķināta atvaļinājuma naudas uz projektu attiecināmā daļa</w:t>
            </w:r>
            <w:r>
              <w:rPr>
                <w:rFonts w:ascii="Times New Roman" w:hAnsi="Times New Roman" w:cs="Times New Roman"/>
                <w:color w:val="auto"/>
                <w:u w:val="single"/>
              </w:rPr>
              <w:t>, piemērojot iepriekš aprakstīto proporcionalitātes principu</w:t>
            </w:r>
            <w:r w:rsidRPr="009B3BE3">
              <w:rPr>
                <w:rFonts w:ascii="Times New Roman" w:hAnsi="Times New Roman" w:cs="Times New Roman"/>
                <w:color w:val="auto"/>
                <w:u w:val="single"/>
              </w:rPr>
              <w:t>.</w:t>
            </w:r>
            <w:r w:rsidR="006A3FFB">
              <w:rPr>
                <w:rFonts w:ascii="Times New Roman" w:hAnsi="Times New Roman" w:cs="Times New Roman"/>
                <w:color w:val="auto"/>
                <w:u w:val="single"/>
              </w:rPr>
              <w:t xml:space="preserve"> </w:t>
            </w:r>
          </w:p>
          <w:p w14:paraId="3B3BC44D" w14:textId="20E1D280" w:rsidR="006A3FFB" w:rsidRPr="006A3FFB" w:rsidRDefault="006A3FFB" w:rsidP="00BB0281">
            <w:pPr>
              <w:pStyle w:val="Default"/>
              <w:jc w:val="both"/>
              <w:rPr>
                <w:rFonts w:ascii="Times New Roman" w:hAnsi="Times New Roman" w:cs="Times New Roman"/>
                <w:color w:val="auto"/>
              </w:rPr>
            </w:pPr>
            <w:r w:rsidRPr="009F61B1">
              <w:rPr>
                <w:rFonts w:ascii="Times New Roman" w:hAnsi="Times New Roman" w:cs="Times New Roman"/>
                <w:color w:val="auto"/>
              </w:rPr>
              <w:t>Savukārt</w:t>
            </w:r>
            <w:r w:rsidR="006628B0" w:rsidRPr="009F61B1">
              <w:rPr>
                <w:rFonts w:ascii="Times New Roman" w:hAnsi="Times New Roman" w:cs="Times New Roman"/>
                <w:color w:val="auto"/>
              </w:rPr>
              <w:t>, ja</w:t>
            </w:r>
            <w:r w:rsidRPr="009F61B1">
              <w:rPr>
                <w:rFonts w:ascii="Times New Roman" w:hAnsi="Times New Roman" w:cs="Times New Roman"/>
                <w:color w:val="auto"/>
              </w:rPr>
              <w:t xml:space="preserve"> atvaļinājuma izmaksas sedz </w:t>
            </w:r>
            <w:r w:rsidR="006E1FF1" w:rsidRPr="009F61B1">
              <w:rPr>
                <w:rFonts w:ascii="Times New Roman" w:hAnsi="Times New Roman" w:cs="Times New Roman"/>
                <w:color w:val="auto"/>
              </w:rPr>
              <w:t xml:space="preserve">tikai </w:t>
            </w:r>
            <w:r w:rsidRPr="009F61B1">
              <w:rPr>
                <w:rFonts w:ascii="Times New Roman" w:hAnsi="Times New Roman" w:cs="Times New Roman"/>
                <w:color w:val="auto"/>
              </w:rPr>
              <w:t>no netiešajām izmaksām, tad šāda metodika nav nepieciešama.</w:t>
            </w:r>
          </w:p>
          <w:p w14:paraId="50306457" w14:textId="77777777" w:rsidR="00BB0281" w:rsidRDefault="00BB0281" w:rsidP="00CE1B61">
            <w:pPr>
              <w:pStyle w:val="Default"/>
              <w:jc w:val="both"/>
              <w:rPr>
                <w:rFonts w:ascii="Times New Roman" w:hAnsi="Times New Roman" w:cs="Times New Roman"/>
                <w:color w:val="auto"/>
              </w:rPr>
            </w:pPr>
          </w:p>
        </w:tc>
      </w:tr>
    </w:tbl>
    <w:p w14:paraId="1367AC91" w14:textId="77777777" w:rsidR="00BB0281" w:rsidRDefault="00BB0281" w:rsidP="00CE1B61">
      <w:pPr>
        <w:pStyle w:val="Default"/>
        <w:jc w:val="both"/>
        <w:rPr>
          <w:rFonts w:ascii="Times New Roman" w:hAnsi="Times New Roman" w:cs="Times New Roman"/>
          <w:color w:val="auto"/>
        </w:rPr>
      </w:pPr>
    </w:p>
    <w:p w14:paraId="5882FA21" w14:textId="681A7F0A" w:rsidR="009B3BE3" w:rsidRDefault="0041214D" w:rsidP="0069275B">
      <w:pPr>
        <w:pStyle w:val="Default"/>
        <w:jc w:val="both"/>
        <w:rPr>
          <w:rFonts w:ascii="Times New Roman" w:hAnsi="Times New Roman" w:cs="Times New Roman"/>
          <w:color w:val="auto"/>
          <w:u w:val="single"/>
        </w:rPr>
      </w:pPr>
      <w:r w:rsidRPr="006A3FFB">
        <w:rPr>
          <w:rFonts w:ascii="Times New Roman" w:hAnsi="Times New Roman" w:cs="Times New Roman"/>
          <w:color w:val="auto"/>
          <w:u w:val="single"/>
        </w:rPr>
        <w:t>3.piemērs</w:t>
      </w:r>
    </w:p>
    <w:p w14:paraId="5B8898B9" w14:textId="77777777" w:rsidR="009F61B1" w:rsidRDefault="009F61B1" w:rsidP="0069275B">
      <w:pPr>
        <w:pStyle w:val="Default"/>
        <w:jc w:val="both"/>
        <w:rPr>
          <w:rFonts w:ascii="Times New Roman" w:hAnsi="Times New Roman" w:cs="Times New Roman"/>
          <w:color w:val="auto"/>
          <w:u w:val="single"/>
        </w:rPr>
      </w:pPr>
    </w:p>
    <w:tbl>
      <w:tblPr>
        <w:tblStyle w:val="TableGrid"/>
        <w:tblW w:w="0" w:type="auto"/>
        <w:tblLook w:val="04A0" w:firstRow="1" w:lastRow="0" w:firstColumn="1" w:lastColumn="0" w:noHBand="0" w:noVBand="1"/>
      </w:tblPr>
      <w:tblGrid>
        <w:gridCol w:w="8784"/>
      </w:tblGrid>
      <w:tr w:rsidR="00BB0281" w14:paraId="55B4ED5E" w14:textId="77777777" w:rsidTr="009F61B1">
        <w:tc>
          <w:tcPr>
            <w:tcW w:w="8784" w:type="dxa"/>
          </w:tcPr>
          <w:p w14:paraId="3DBB48AB" w14:textId="30047621"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norīkots darbā uz projektu no 16.02.2021. ar nemainīgu ikmēneša noslodzi 40% uz projektu.</w:t>
            </w:r>
          </w:p>
          <w:p w14:paraId="54DF9CB7"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Iestāde iegādājas veselības apdrošināšanas polisi darbiniekam, kuras darbības laiks ir no 01.03.2021.-28.02.2022.</w:t>
            </w:r>
          </w:p>
          <w:p w14:paraId="218BF518"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Šajā gadījumā uz projektu var attiecināt un tiešajās izmaksās iekļaut 40% no veselības apdrošināšanas polises cenas, piemēram, 40% no 213,43 EUR = 85,37 EUR.</w:t>
            </w:r>
          </w:p>
          <w:p w14:paraId="114660AE"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No 01.01.2022. darbiniekam slodze uz projektu tiek samazināta uz 35%.</w:t>
            </w:r>
          </w:p>
          <w:p w14:paraId="6162656E" w14:textId="77777777" w:rsidR="00261F52"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 xml:space="preserve">Tādējādi līdzfinansējuma saņēmējs, iesniedzot nākamo projekta pārskatu programmas </w:t>
            </w:r>
            <w:proofErr w:type="spellStart"/>
            <w:r>
              <w:rPr>
                <w:rFonts w:ascii="Times New Roman" w:hAnsi="Times New Roman" w:cs="Times New Roman"/>
                <w:color w:val="auto"/>
              </w:rPr>
              <w:t>apsaimniekotājam</w:t>
            </w:r>
            <w:proofErr w:type="spellEnd"/>
            <w:r>
              <w:rPr>
                <w:rFonts w:ascii="Times New Roman" w:hAnsi="Times New Roman" w:cs="Times New Roman"/>
                <w:color w:val="auto"/>
              </w:rPr>
              <w:t xml:space="preserve">, iekļauj pārskatā veselības apdrošināšanas </w:t>
            </w:r>
            <w:r w:rsidR="00126311">
              <w:rPr>
                <w:rFonts w:ascii="Times New Roman" w:hAnsi="Times New Roman" w:cs="Times New Roman"/>
                <w:color w:val="auto"/>
              </w:rPr>
              <w:t xml:space="preserve">izmaksu </w:t>
            </w:r>
            <w:r>
              <w:rPr>
                <w:rFonts w:ascii="Times New Roman" w:hAnsi="Times New Roman" w:cs="Times New Roman"/>
                <w:color w:val="auto"/>
              </w:rPr>
              <w:t xml:space="preserve">pārrēķinu par 2 mēnešiem ar mīnus zīmi: </w:t>
            </w:r>
          </w:p>
          <w:p w14:paraId="53F7A736" w14:textId="08D7FF1B" w:rsidR="00BB0281" w:rsidRDefault="007E1981" w:rsidP="00BB0281">
            <w:pPr>
              <w:pStyle w:val="Default"/>
              <w:jc w:val="both"/>
              <w:rPr>
                <w:rFonts w:ascii="Times New Roman" w:hAnsi="Times New Roman" w:cs="Times New Roman"/>
                <w:color w:val="auto"/>
              </w:rPr>
            </w:pPr>
            <w:r w:rsidRPr="007E1981">
              <w:rPr>
                <w:rFonts w:ascii="Times New Roman" w:hAnsi="Times New Roman" w:cs="Times New Roman"/>
                <w:color w:val="auto"/>
              </w:rPr>
              <w:t>85,37 EUR – (213,43/12*10*40% + 213,43/12*2*35%) = - 1,78</w:t>
            </w:r>
            <w:r w:rsidR="00BB0281">
              <w:rPr>
                <w:rFonts w:ascii="Times New Roman" w:hAnsi="Times New Roman" w:cs="Times New Roman"/>
                <w:color w:val="auto"/>
              </w:rPr>
              <w:t>EUR.</w:t>
            </w:r>
          </w:p>
          <w:p w14:paraId="5ED69EB4"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Ja šāds pārrēķins netiek veikts un iekļauts pārskatā, šī summa tiek uzskatīta par neatbilstoši veiktiem izdevumiem.</w:t>
            </w:r>
          </w:p>
          <w:p w14:paraId="3C424745" w14:textId="77777777" w:rsidR="00BB0281" w:rsidRDefault="00BB0281" w:rsidP="0069275B">
            <w:pPr>
              <w:pStyle w:val="Default"/>
              <w:jc w:val="both"/>
              <w:rPr>
                <w:rFonts w:ascii="Times New Roman" w:hAnsi="Times New Roman" w:cs="Times New Roman"/>
                <w:color w:val="auto"/>
                <w:u w:val="single"/>
              </w:rPr>
            </w:pPr>
          </w:p>
        </w:tc>
      </w:tr>
    </w:tbl>
    <w:p w14:paraId="3275B84A" w14:textId="77777777" w:rsidR="00BB0281" w:rsidRPr="006A3FFB" w:rsidRDefault="00BB0281" w:rsidP="0069275B">
      <w:pPr>
        <w:pStyle w:val="Default"/>
        <w:jc w:val="both"/>
        <w:rPr>
          <w:rFonts w:ascii="Times New Roman" w:hAnsi="Times New Roman" w:cs="Times New Roman"/>
          <w:color w:val="auto"/>
          <w:u w:val="single"/>
        </w:rPr>
      </w:pPr>
    </w:p>
    <w:p w14:paraId="7F6DD053" w14:textId="2257C5E1" w:rsidR="00266E32" w:rsidRDefault="00266E32" w:rsidP="0069275B">
      <w:pPr>
        <w:pStyle w:val="Default"/>
        <w:jc w:val="both"/>
        <w:rPr>
          <w:rFonts w:ascii="Times New Roman" w:hAnsi="Times New Roman" w:cs="Times New Roman"/>
          <w:color w:val="auto"/>
          <w:u w:val="single"/>
        </w:rPr>
      </w:pPr>
      <w:r w:rsidRPr="006A3FFB">
        <w:rPr>
          <w:rFonts w:ascii="Times New Roman" w:hAnsi="Times New Roman" w:cs="Times New Roman"/>
          <w:color w:val="auto"/>
          <w:u w:val="single"/>
        </w:rPr>
        <w:t>4.piemērs</w:t>
      </w:r>
    </w:p>
    <w:p w14:paraId="1C4F05F5" w14:textId="77777777" w:rsidR="009F61B1" w:rsidRPr="006A3FFB" w:rsidRDefault="009F61B1" w:rsidP="0069275B">
      <w:pPr>
        <w:pStyle w:val="Default"/>
        <w:jc w:val="both"/>
        <w:rPr>
          <w:rFonts w:ascii="Times New Roman" w:hAnsi="Times New Roman" w:cs="Times New Roman"/>
          <w:color w:val="auto"/>
          <w:u w:val="single"/>
        </w:rPr>
      </w:pPr>
    </w:p>
    <w:tbl>
      <w:tblPr>
        <w:tblStyle w:val="TableGrid"/>
        <w:tblW w:w="0" w:type="auto"/>
        <w:tblLook w:val="04A0" w:firstRow="1" w:lastRow="0" w:firstColumn="1" w:lastColumn="0" w:noHBand="0" w:noVBand="1"/>
      </w:tblPr>
      <w:tblGrid>
        <w:gridCol w:w="8784"/>
      </w:tblGrid>
      <w:tr w:rsidR="00BB0281" w14:paraId="751F6F16" w14:textId="77777777" w:rsidTr="009F61B1">
        <w:tc>
          <w:tcPr>
            <w:tcW w:w="8784" w:type="dxa"/>
          </w:tcPr>
          <w:p w14:paraId="633C2E34" w14:textId="36348D21"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Darbinieks norīkots darbā uz projektu no 19.10.2020. ar mainīgu ikmēneša noslodzi uz projektu atkarībā no faktiski nostrādātajām stundām.</w:t>
            </w:r>
          </w:p>
          <w:p w14:paraId="16C5691E"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Darbinieka faktiskā noslodze no kopējā mēneša nostrādātajām stundām uz projektu ir bijusi: 2020.g. oktobrī – 35%, 2020.g. novembrī – 30%, 2020.g. decembrī – 45%.</w:t>
            </w:r>
          </w:p>
          <w:p w14:paraId="2E5E70C7"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2020.g. decembrī darbiniekam tiek maksāta novērtēšanas ikgadējā prēmija par novērtēšanas periodu no 01.12.2019. – 30.11.2020. 800 EUR apmērā</w:t>
            </w:r>
          </w:p>
          <w:p w14:paraId="781943B4" w14:textId="77777777" w:rsidR="00BB0281" w:rsidRDefault="00BB0281" w:rsidP="00BB0281">
            <w:pPr>
              <w:pStyle w:val="Default"/>
              <w:jc w:val="both"/>
              <w:rPr>
                <w:rFonts w:ascii="Times New Roman" w:hAnsi="Times New Roman" w:cs="Times New Roman"/>
                <w:color w:val="auto"/>
              </w:rPr>
            </w:pPr>
            <w:r>
              <w:rPr>
                <w:rFonts w:ascii="Times New Roman" w:hAnsi="Times New Roman" w:cs="Times New Roman"/>
                <w:color w:val="auto"/>
              </w:rPr>
              <w:t>Šajā gadījumā uz projektu var attiecināt un tiešajās izmaksās iekļaut:</w:t>
            </w:r>
          </w:p>
          <w:p w14:paraId="7C47402E" w14:textId="77777777" w:rsidR="00BB0281" w:rsidRDefault="00BB0281" w:rsidP="00BB0281">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par 2020.g. oktobri 800 EUR / 12 / 30 * 13 * 35% = 10,11 EUR;</w:t>
            </w:r>
          </w:p>
          <w:p w14:paraId="54762536" w14:textId="77777777" w:rsidR="00BB0281" w:rsidRDefault="00BB0281" w:rsidP="00BB0281">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par 2020.g. novembri 800 EUR / 12 * 30% = 20,00 EUR;</w:t>
            </w:r>
          </w:p>
          <w:p w14:paraId="537E763D" w14:textId="77777777" w:rsidR="00BB0281" w:rsidRDefault="00BB0281" w:rsidP="00BB0281">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kopā 10,11 + 20,00 = 30,11 EUR.</w:t>
            </w:r>
          </w:p>
          <w:p w14:paraId="7D3BAB16" w14:textId="77777777" w:rsidR="00BB0281" w:rsidRDefault="00BB0281" w:rsidP="0069275B">
            <w:pPr>
              <w:pStyle w:val="Default"/>
              <w:jc w:val="both"/>
              <w:rPr>
                <w:rFonts w:ascii="Times New Roman" w:hAnsi="Times New Roman" w:cs="Times New Roman"/>
                <w:color w:val="auto"/>
              </w:rPr>
            </w:pPr>
          </w:p>
        </w:tc>
      </w:tr>
    </w:tbl>
    <w:p w14:paraId="2E632E75" w14:textId="77777777" w:rsidR="00BB0281" w:rsidRDefault="00BB0281" w:rsidP="0069275B">
      <w:pPr>
        <w:pStyle w:val="Default"/>
        <w:jc w:val="both"/>
        <w:rPr>
          <w:rFonts w:ascii="Times New Roman" w:hAnsi="Times New Roman" w:cs="Times New Roman"/>
          <w:color w:val="auto"/>
        </w:rPr>
      </w:pPr>
    </w:p>
    <w:p w14:paraId="7A452CC1" w14:textId="77777777" w:rsidR="0069275B" w:rsidRPr="00395786" w:rsidRDefault="0069275B" w:rsidP="0069275B">
      <w:pPr>
        <w:pStyle w:val="Default"/>
        <w:jc w:val="both"/>
        <w:rPr>
          <w:rFonts w:ascii="Times New Roman" w:hAnsi="Times New Roman" w:cs="Times New Roman"/>
          <w:color w:val="auto"/>
        </w:rPr>
      </w:pPr>
    </w:p>
    <w:sectPr w:rsidR="0069275B" w:rsidRPr="00395786" w:rsidSect="009F61B1">
      <w:headerReference w:type="default" r:id="rId15"/>
      <w:headerReference w:type="first" r:id="rId16"/>
      <w:pgSz w:w="11906" w:h="16838"/>
      <w:pgMar w:top="1440" w:right="1274"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B4BC" w14:textId="77777777" w:rsidR="00D76C1A" w:rsidRDefault="00D76C1A" w:rsidP="00507AB5">
      <w:pPr>
        <w:spacing w:after="0" w:line="240" w:lineRule="auto"/>
      </w:pPr>
      <w:r>
        <w:separator/>
      </w:r>
    </w:p>
  </w:endnote>
  <w:endnote w:type="continuationSeparator" w:id="0">
    <w:p w14:paraId="0AC06D25" w14:textId="77777777" w:rsidR="00D76C1A" w:rsidRDefault="00D76C1A" w:rsidP="00507AB5">
      <w:pPr>
        <w:spacing w:after="0" w:line="240" w:lineRule="auto"/>
      </w:pPr>
      <w:r>
        <w:continuationSeparator/>
      </w:r>
    </w:p>
  </w:endnote>
  <w:endnote w:type="continuationNotice" w:id="1">
    <w:p w14:paraId="7ADDE0AD" w14:textId="77777777" w:rsidR="00D76C1A" w:rsidRDefault="00D76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E32C" w14:textId="77777777" w:rsidR="00D76C1A" w:rsidRDefault="00D76C1A" w:rsidP="00507AB5">
      <w:pPr>
        <w:spacing w:after="0" w:line="240" w:lineRule="auto"/>
      </w:pPr>
      <w:bookmarkStart w:id="0" w:name="_Hlk73347647"/>
      <w:bookmarkEnd w:id="0"/>
      <w:r>
        <w:separator/>
      </w:r>
    </w:p>
  </w:footnote>
  <w:footnote w:type="continuationSeparator" w:id="0">
    <w:p w14:paraId="3778F13B" w14:textId="77777777" w:rsidR="00D76C1A" w:rsidRDefault="00D76C1A" w:rsidP="00507AB5">
      <w:pPr>
        <w:spacing w:after="0" w:line="240" w:lineRule="auto"/>
      </w:pPr>
      <w:r>
        <w:continuationSeparator/>
      </w:r>
    </w:p>
  </w:footnote>
  <w:footnote w:type="continuationNotice" w:id="1">
    <w:p w14:paraId="4E917296" w14:textId="77777777" w:rsidR="00D76C1A" w:rsidRDefault="00D76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580413"/>
      <w:docPartObj>
        <w:docPartGallery w:val="Page Numbers (Top of Page)"/>
        <w:docPartUnique/>
      </w:docPartObj>
    </w:sdtPr>
    <w:sdtEndPr>
      <w:rPr>
        <w:noProof/>
      </w:rPr>
    </w:sdtEndPr>
    <w:sdtContent>
      <w:p w14:paraId="15C83F2F" w14:textId="5343D89D" w:rsidR="003A2809" w:rsidRDefault="003A28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64E62A" w14:textId="77777777" w:rsidR="00507AB5" w:rsidRDefault="0050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F63E" w14:textId="13BC3419" w:rsidR="00764BAF" w:rsidRDefault="00764BAF" w:rsidP="00764BAF">
    <w:pPr>
      <w:spacing w:after="120" w:line="240" w:lineRule="auto"/>
      <w:rPr>
        <w:rFonts w:ascii="Times New Roman" w:hAnsi="Times New Roman" w:cs="Times New Roman"/>
        <w:b/>
        <w:sz w:val="24"/>
        <w:szCs w:val="24"/>
      </w:rPr>
    </w:pPr>
    <w:r>
      <w:rPr>
        <w:noProof/>
        <w:lang w:eastAsia="lv-LV"/>
      </w:rPr>
      <w:drawing>
        <wp:inline distT="0" distB="0" distL="0" distR="0" wp14:anchorId="26538F7A" wp14:editId="6EB404D3">
          <wp:extent cx="1821484" cy="74779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309" cy="755109"/>
                  </a:xfrm>
                  <a:prstGeom prst="rect">
                    <a:avLst/>
                  </a:prstGeom>
                  <a:noFill/>
                  <a:ln>
                    <a:noFill/>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noProof/>
        <w:lang w:eastAsia="lv-LV"/>
      </w:rPr>
      <w:drawing>
        <wp:inline distT="0" distB="0" distL="0" distR="0" wp14:anchorId="36276BC3" wp14:editId="215DF906">
          <wp:extent cx="913822" cy="1177747"/>
          <wp:effectExtent l="0" t="0" r="63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l="11871" r="10568"/>
                  <a:stretch>
                    <a:fillRect/>
                  </a:stretch>
                </pic:blipFill>
                <pic:spPr bwMode="auto">
                  <a:xfrm>
                    <a:off x="0" y="0"/>
                    <a:ext cx="930118" cy="1198749"/>
                  </a:xfrm>
                  <a:prstGeom prst="rect">
                    <a:avLst/>
                  </a:prstGeom>
                  <a:noFill/>
                  <a:ln>
                    <a:noFill/>
                  </a:ln>
                </pic:spPr>
              </pic:pic>
            </a:graphicData>
          </a:graphic>
        </wp:inline>
      </w:drawing>
    </w:r>
    <w:r>
      <w:rPr>
        <w:rFonts w:ascii="Times New Roman" w:hAnsi="Times New Roman" w:cs="Times New Roman"/>
        <w:b/>
        <w:sz w:val="24"/>
        <w:szCs w:val="24"/>
      </w:rPr>
      <w:tab/>
    </w:r>
  </w:p>
  <w:p w14:paraId="5DBB18E5" w14:textId="77777777" w:rsidR="00764BAF" w:rsidRDefault="00764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13FA"/>
    <w:multiLevelType w:val="hybridMultilevel"/>
    <w:tmpl w:val="7F52D1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671040"/>
    <w:multiLevelType w:val="hybridMultilevel"/>
    <w:tmpl w:val="274A92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C172D2"/>
    <w:multiLevelType w:val="hybridMultilevel"/>
    <w:tmpl w:val="6D40B2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B154DB"/>
    <w:multiLevelType w:val="hybridMultilevel"/>
    <w:tmpl w:val="2C1C73BC"/>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 w15:restartNumberingAfterBreak="0">
    <w:nsid w:val="74AD64B8"/>
    <w:multiLevelType w:val="hybridMultilevel"/>
    <w:tmpl w:val="4572A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EE2B03"/>
    <w:multiLevelType w:val="hybridMultilevel"/>
    <w:tmpl w:val="B1B04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20"/>
    <w:rsid w:val="00050A9F"/>
    <w:rsid w:val="00054E63"/>
    <w:rsid w:val="00057B4D"/>
    <w:rsid w:val="00064EAF"/>
    <w:rsid w:val="0006717A"/>
    <w:rsid w:val="00070454"/>
    <w:rsid w:val="00071532"/>
    <w:rsid w:val="00090EF9"/>
    <w:rsid w:val="000A0735"/>
    <w:rsid w:val="000A451E"/>
    <w:rsid w:val="000A4C7B"/>
    <w:rsid w:val="000B0BB5"/>
    <w:rsid w:val="000B281C"/>
    <w:rsid w:val="000B43CA"/>
    <w:rsid w:val="000D016E"/>
    <w:rsid w:val="000D01BE"/>
    <w:rsid w:val="000F6D61"/>
    <w:rsid w:val="00112CD4"/>
    <w:rsid w:val="00115231"/>
    <w:rsid w:val="00121D54"/>
    <w:rsid w:val="00125768"/>
    <w:rsid w:val="00126311"/>
    <w:rsid w:val="00140C41"/>
    <w:rsid w:val="00150F00"/>
    <w:rsid w:val="00172B32"/>
    <w:rsid w:val="0018048F"/>
    <w:rsid w:val="0018790D"/>
    <w:rsid w:val="00197AAA"/>
    <w:rsid w:val="001D015F"/>
    <w:rsid w:val="001D14BC"/>
    <w:rsid w:val="001F7520"/>
    <w:rsid w:val="00205D92"/>
    <w:rsid w:val="002068C1"/>
    <w:rsid w:val="00210942"/>
    <w:rsid w:val="00224419"/>
    <w:rsid w:val="002300D7"/>
    <w:rsid w:val="00261F52"/>
    <w:rsid w:val="00266E32"/>
    <w:rsid w:val="0027502E"/>
    <w:rsid w:val="00283559"/>
    <w:rsid w:val="00283E94"/>
    <w:rsid w:val="00286E0F"/>
    <w:rsid w:val="002A032D"/>
    <w:rsid w:val="002A40D0"/>
    <w:rsid w:val="002B3792"/>
    <w:rsid w:val="002B6518"/>
    <w:rsid w:val="002C3390"/>
    <w:rsid w:val="002D0E36"/>
    <w:rsid w:val="00301E8E"/>
    <w:rsid w:val="00303E5B"/>
    <w:rsid w:val="00312426"/>
    <w:rsid w:val="00322DDD"/>
    <w:rsid w:val="003316F7"/>
    <w:rsid w:val="00334CD3"/>
    <w:rsid w:val="00380936"/>
    <w:rsid w:val="0038203E"/>
    <w:rsid w:val="003840B7"/>
    <w:rsid w:val="0038460A"/>
    <w:rsid w:val="00391E6C"/>
    <w:rsid w:val="00393C1B"/>
    <w:rsid w:val="00395786"/>
    <w:rsid w:val="003A2809"/>
    <w:rsid w:val="003B1F40"/>
    <w:rsid w:val="003B4D51"/>
    <w:rsid w:val="003C415E"/>
    <w:rsid w:val="003D36D4"/>
    <w:rsid w:val="003E570F"/>
    <w:rsid w:val="004038D7"/>
    <w:rsid w:val="00404BE7"/>
    <w:rsid w:val="00410DDC"/>
    <w:rsid w:val="0041214D"/>
    <w:rsid w:val="00424002"/>
    <w:rsid w:val="00430A8C"/>
    <w:rsid w:val="004642CB"/>
    <w:rsid w:val="004761FE"/>
    <w:rsid w:val="00477C98"/>
    <w:rsid w:val="004B3BE0"/>
    <w:rsid w:val="004D27FF"/>
    <w:rsid w:val="004E1E47"/>
    <w:rsid w:val="004F189C"/>
    <w:rsid w:val="004F5838"/>
    <w:rsid w:val="005000EE"/>
    <w:rsid w:val="0050361E"/>
    <w:rsid w:val="00507AB5"/>
    <w:rsid w:val="0052658B"/>
    <w:rsid w:val="00551FEC"/>
    <w:rsid w:val="005633DD"/>
    <w:rsid w:val="00573C03"/>
    <w:rsid w:val="00584CB9"/>
    <w:rsid w:val="0059637A"/>
    <w:rsid w:val="005A1323"/>
    <w:rsid w:val="005C6963"/>
    <w:rsid w:val="00606914"/>
    <w:rsid w:val="00617DBF"/>
    <w:rsid w:val="00620841"/>
    <w:rsid w:val="00621B4F"/>
    <w:rsid w:val="00623364"/>
    <w:rsid w:val="006267D8"/>
    <w:rsid w:val="00656DBE"/>
    <w:rsid w:val="006628B0"/>
    <w:rsid w:val="006728F7"/>
    <w:rsid w:val="0068122D"/>
    <w:rsid w:val="0069275B"/>
    <w:rsid w:val="006A3FFB"/>
    <w:rsid w:val="006B2148"/>
    <w:rsid w:val="006C3270"/>
    <w:rsid w:val="006D023D"/>
    <w:rsid w:val="006E0FC5"/>
    <w:rsid w:val="006E1FF1"/>
    <w:rsid w:val="006E2553"/>
    <w:rsid w:val="006F36C9"/>
    <w:rsid w:val="006F49DF"/>
    <w:rsid w:val="0070694D"/>
    <w:rsid w:val="00707450"/>
    <w:rsid w:val="00720A9D"/>
    <w:rsid w:val="00764BAF"/>
    <w:rsid w:val="00792A54"/>
    <w:rsid w:val="007956E7"/>
    <w:rsid w:val="007A0D06"/>
    <w:rsid w:val="007A36B3"/>
    <w:rsid w:val="007A7967"/>
    <w:rsid w:val="007B40D4"/>
    <w:rsid w:val="007B78F8"/>
    <w:rsid w:val="007C1D22"/>
    <w:rsid w:val="007C2831"/>
    <w:rsid w:val="007E1981"/>
    <w:rsid w:val="007E2796"/>
    <w:rsid w:val="007F428F"/>
    <w:rsid w:val="007F5A7E"/>
    <w:rsid w:val="00805B33"/>
    <w:rsid w:val="008134BE"/>
    <w:rsid w:val="00814DEF"/>
    <w:rsid w:val="008241F0"/>
    <w:rsid w:val="00843933"/>
    <w:rsid w:val="00860035"/>
    <w:rsid w:val="00861E1C"/>
    <w:rsid w:val="00873ED6"/>
    <w:rsid w:val="0087772E"/>
    <w:rsid w:val="0088642F"/>
    <w:rsid w:val="00886774"/>
    <w:rsid w:val="008914A0"/>
    <w:rsid w:val="008B1928"/>
    <w:rsid w:val="008D0A5A"/>
    <w:rsid w:val="008E5373"/>
    <w:rsid w:val="00900E3D"/>
    <w:rsid w:val="0090724A"/>
    <w:rsid w:val="009114B5"/>
    <w:rsid w:val="009274CE"/>
    <w:rsid w:val="009411CF"/>
    <w:rsid w:val="0094211D"/>
    <w:rsid w:val="00951E2F"/>
    <w:rsid w:val="0095578E"/>
    <w:rsid w:val="00966CC8"/>
    <w:rsid w:val="00970727"/>
    <w:rsid w:val="009A6C79"/>
    <w:rsid w:val="009A79F9"/>
    <w:rsid w:val="009B3BE3"/>
    <w:rsid w:val="009B5ABE"/>
    <w:rsid w:val="009D5416"/>
    <w:rsid w:val="009D5660"/>
    <w:rsid w:val="009D7226"/>
    <w:rsid w:val="009E11A4"/>
    <w:rsid w:val="009F06DA"/>
    <w:rsid w:val="009F61B1"/>
    <w:rsid w:val="00A00315"/>
    <w:rsid w:val="00A21E47"/>
    <w:rsid w:val="00A24027"/>
    <w:rsid w:val="00A36696"/>
    <w:rsid w:val="00A36D6C"/>
    <w:rsid w:val="00A56ED4"/>
    <w:rsid w:val="00A82F14"/>
    <w:rsid w:val="00A8397F"/>
    <w:rsid w:val="00A90467"/>
    <w:rsid w:val="00AD04B2"/>
    <w:rsid w:val="00AD230B"/>
    <w:rsid w:val="00AE22A8"/>
    <w:rsid w:val="00AF3355"/>
    <w:rsid w:val="00B07C46"/>
    <w:rsid w:val="00B13410"/>
    <w:rsid w:val="00B44A87"/>
    <w:rsid w:val="00B55A3A"/>
    <w:rsid w:val="00B570CB"/>
    <w:rsid w:val="00B62339"/>
    <w:rsid w:val="00B6255F"/>
    <w:rsid w:val="00B633BB"/>
    <w:rsid w:val="00B74214"/>
    <w:rsid w:val="00B83AE7"/>
    <w:rsid w:val="00B922D1"/>
    <w:rsid w:val="00BA7555"/>
    <w:rsid w:val="00BA78B6"/>
    <w:rsid w:val="00BB0281"/>
    <w:rsid w:val="00BB19A6"/>
    <w:rsid w:val="00BC5FD3"/>
    <w:rsid w:val="00C0586B"/>
    <w:rsid w:val="00C22762"/>
    <w:rsid w:val="00C22CC9"/>
    <w:rsid w:val="00C34875"/>
    <w:rsid w:val="00C41ECC"/>
    <w:rsid w:val="00C500D1"/>
    <w:rsid w:val="00C56959"/>
    <w:rsid w:val="00C60233"/>
    <w:rsid w:val="00C62215"/>
    <w:rsid w:val="00CD1AC9"/>
    <w:rsid w:val="00CD7146"/>
    <w:rsid w:val="00CE1B61"/>
    <w:rsid w:val="00CF6781"/>
    <w:rsid w:val="00D12745"/>
    <w:rsid w:val="00D16538"/>
    <w:rsid w:val="00D31270"/>
    <w:rsid w:val="00D35844"/>
    <w:rsid w:val="00D36DA7"/>
    <w:rsid w:val="00D44563"/>
    <w:rsid w:val="00D46F41"/>
    <w:rsid w:val="00D567D9"/>
    <w:rsid w:val="00D76C1A"/>
    <w:rsid w:val="00D85925"/>
    <w:rsid w:val="00D94C13"/>
    <w:rsid w:val="00DB048B"/>
    <w:rsid w:val="00DE6CBE"/>
    <w:rsid w:val="00DF4797"/>
    <w:rsid w:val="00E173AC"/>
    <w:rsid w:val="00E302BE"/>
    <w:rsid w:val="00E36E41"/>
    <w:rsid w:val="00E407E1"/>
    <w:rsid w:val="00E6593D"/>
    <w:rsid w:val="00E753DB"/>
    <w:rsid w:val="00E95102"/>
    <w:rsid w:val="00E97FEE"/>
    <w:rsid w:val="00EB304D"/>
    <w:rsid w:val="00EB7BA0"/>
    <w:rsid w:val="00EC205F"/>
    <w:rsid w:val="00EC52FA"/>
    <w:rsid w:val="00EC53BB"/>
    <w:rsid w:val="00ED2B41"/>
    <w:rsid w:val="00EE5265"/>
    <w:rsid w:val="00EE66C3"/>
    <w:rsid w:val="00F03B52"/>
    <w:rsid w:val="00F06154"/>
    <w:rsid w:val="00F10559"/>
    <w:rsid w:val="00F22F19"/>
    <w:rsid w:val="00F34E44"/>
    <w:rsid w:val="00F37C91"/>
    <w:rsid w:val="00F6261A"/>
    <w:rsid w:val="00F658DC"/>
    <w:rsid w:val="00F71E63"/>
    <w:rsid w:val="00F87272"/>
    <w:rsid w:val="00F90BA9"/>
    <w:rsid w:val="00F96ECB"/>
    <w:rsid w:val="00FD08CF"/>
    <w:rsid w:val="00FD7760"/>
    <w:rsid w:val="00FE3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1106"/>
  <w15:chartTrackingRefBased/>
  <w15:docId w15:val="{31D052D2-01BB-4CA5-9362-8BDD4E8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52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1F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A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7AB5"/>
  </w:style>
  <w:style w:type="paragraph" w:styleId="Footer">
    <w:name w:val="footer"/>
    <w:basedOn w:val="Normal"/>
    <w:link w:val="FooterChar"/>
    <w:uiPriority w:val="99"/>
    <w:unhideWhenUsed/>
    <w:rsid w:val="00507A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7AB5"/>
  </w:style>
  <w:style w:type="character" w:styleId="CommentReference">
    <w:name w:val="annotation reference"/>
    <w:basedOn w:val="DefaultParagraphFont"/>
    <w:uiPriority w:val="99"/>
    <w:semiHidden/>
    <w:unhideWhenUsed/>
    <w:rsid w:val="00A8397F"/>
    <w:rPr>
      <w:sz w:val="16"/>
      <w:szCs w:val="16"/>
    </w:rPr>
  </w:style>
  <w:style w:type="paragraph" w:styleId="CommentText">
    <w:name w:val="annotation text"/>
    <w:basedOn w:val="Normal"/>
    <w:link w:val="CommentTextChar"/>
    <w:uiPriority w:val="99"/>
    <w:semiHidden/>
    <w:unhideWhenUsed/>
    <w:rsid w:val="00A8397F"/>
    <w:pPr>
      <w:spacing w:line="240" w:lineRule="auto"/>
    </w:pPr>
    <w:rPr>
      <w:sz w:val="20"/>
      <w:szCs w:val="20"/>
    </w:rPr>
  </w:style>
  <w:style w:type="character" w:customStyle="1" w:styleId="CommentTextChar">
    <w:name w:val="Comment Text Char"/>
    <w:basedOn w:val="DefaultParagraphFont"/>
    <w:link w:val="CommentText"/>
    <w:uiPriority w:val="99"/>
    <w:semiHidden/>
    <w:rsid w:val="00A8397F"/>
    <w:rPr>
      <w:sz w:val="20"/>
      <w:szCs w:val="20"/>
    </w:rPr>
  </w:style>
  <w:style w:type="paragraph" w:styleId="CommentSubject">
    <w:name w:val="annotation subject"/>
    <w:basedOn w:val="CommentText"/>
    <w:next w:val="CommentText"/>
    <w:link w:val="CommentSubjectChar"/>
    <w:uiPriority w:val="99"/>
    <w:semiHidden/>
    <w:unhideWhenUsed/>
    <w:rsid w:val="00A8397F"/>
    <w:rPr>
      <w:b/>
      <w:bCs/>
    </w:rPr>
  </w:style>
  <w:style w:type="character" w:customStyle="1" w:styleId="CommentSubjectChar">
    <w:name w:val="Comment Subject Char"/>
    <w:basedOn w:val="CommentTextChar"/>
    <w:link w:val="CommentSubject"/>
    <w:uiPriority w:val="99"/>
    <w:semiHidden/>
    <w:rsid w:val="00A8397F"/>
    <w:rPr>
      <w:b/>
      <w:bCs/>
      <w:sz w:val="20"/>
      <w:szCs w:val="20"/>
    </w:rPr>
  </w:style>
  <w:style w:type="character" w:styleId="Hyperlink">
    <w:name w:val="Hyperlink"/>
    <w:basedOn w:val="DefaultParagraphFont"/>
    <w:uiPriority w:val="99"/>
    <w:unhideWhenUsed/>
    <w:rsid w:val="00BB0281"/>
    <w:rPr>
      <w:color w:val="0563C1" w:themeColor="hyperlink"/>
      <w:u w:val="single"/>
    </w:rPr>
  </w:style>
  <w:style w:type="character" w:styleId="UnresolvedMention">
    <w:name w:val="Unresolved Mention"/>
    <w:basedOn w:val="DefaultParagraphFont"/>
    <w:uiPriority w:val="99"/>
    <w:semiHidden/>
    <w:unhideWhenUsed/>
    <w:rsid w:val="00BB0281"/>
    <w:rPr>
      <w:color w:val="605E5C"/>
      <w:shd w:val="clear" w:color="auto" w:fill="E1DFDD"/>
    </w:rPr>
  </w:style>
  <w:style w:type="character" w:styleId="FollowedHyperlink">
    <w:name w:val="FollowedHyperlink"/>
    <w:basedOn w:val="DefaultParagraphFont"/>
    <w:uiPriority w:val="99"/>
    <w:semiHidden/>
    <w:unhideWhenUsed/>
    <w:rsid w:val="007A0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12645-norvegijas-finansu-instrumenta-2014-2021-nbspgada-perioda-programmas-klimata-parmainu-mazinasana-pielagosanas-t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eagrants.lv/wp-content/uploads/2020/05/27022020_lv_final__EEA_and_Norway_Grants-Financial_Guidance-Sep2018_pabeigt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agrants.org/resources/regulation-implementation-eea-grants-2014-202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eagrants.org/sites/default/files/resources/NO%2BFM%2BRegulation%2BFinal%2B23%2B09%2B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19160-eiropas-ekonomikas-zonas-finansu-instrumenta-2014-2021-gada-perioda-programmas-vieteja-attistiba-nabadzibas-mazinasan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9A875C9FBED214F98C811A27CFC8F6B" ma:contentTypeVersion="11" ma:contentTypeDescription="Izveidot jaunu dokumentu." ma:contentTypeScope="" ma:versionID="e8ab7258439d98a6911edb1afe0a544c">
  <xsd:schema xmlns:xsd="http://www.w3.org/2001/XMLSchema" xmlns:xs="http://www.w3.org/2001/XMLSchema" xmlns:p="http://schemas.microsoft.com/office/2006/metadata/properties" xmlns:ns2="c784d320-c771-4bdb-94dd-f6299667ec95" xmlns:ns3="d23917b1-712b-4be9-a663-83831c192c9a" targetNamespace="http://schemas.microsoft.com/office/2006/metadata/properties" ma:root="true" ma:fieldsID="ad1f37263dc671068bc3ea3478cf65a3" ns2:_="" ns3:_="">
    <xsd:import namespace="c784d320-c771-4bdb-94dd-f6299667ec95"/>
    <xsd:import namespace="d23917b1-712b-4be9-a663-83831c192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4d320-c771-4bdb-94dd-f6299667e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917b1-712b-4be9-a663-83831c192c9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AB68-BF81-4C02-84FF-E9592FFBE6F4}">
  <ds:schemaRefs>
    <ds:schemaRef ds:uri="http://schemas.microsoft.com/sharepoint/v3/contenttype/forms"/>
  </ds:schemaRefs>
</ds:datastoreItem>
</file>

<file path=customXml/itemProps2.xml><?xml version="1.0" encoding="utf-8"?>
<ds:datastoreItem xmlns:ds="http://schemas.openxmlformats.org/officeDocument/2006/customXml" ds:itemID="{EA45482F-02A7-4110-AEDB-D4671EE6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4d320-c771-4bdb-94dd-f6299667ec95"/>
    <ds:schemaRef ds:uri="d23917b1-712b-4be9-a663-83831c19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96856-5766-4E51-8A32-E9225D214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8607</Words>
  <Characters>4907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Cīrule</dc:creator>
  <cp:keywords/>
  <dc:description/>
  <cp:lastModifiedBy>Lita Trakina</cp:lastModifiedBy>
  <cp:revision>2</cp:revision>
  <cp:lastPrinted>2021-07-08T05:51:00Z</cp:lastPrinted>
  <dcterms:created xsi:type="dcterms:W3CDTF">2021-11-25T12:28:00Z</dcterms:created>
  <dcterms:modified xsi:type="dcterms:W3CDTF">2021-11-25T12:28:00Z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0x01010099A875C9FBED214F98C811A27CFC8F6B</vt:lpwstr>
  </property>
</Properties>
</file>