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0237" w14:textId="77777777" w:rsidR="000F79A4" w:rsidRDefault="00052CDC" w:rsidP="0013538B">
      <w:pPr>
        <w:spacing w:after="0" w:line="240" w:lineRule="auto"/>
        <w:jc w:val="both"/>
        <w:rPr>
          <w:sz w:val="24"/>
          <w:szCs w:val="24"/>
          <w:lang w:val="lv-LV"/>
        </w:rPr>
      </w:pPr>
      <w:r>
        <w:rPr>
          <w:rFonts w:ascii="Arial" w:hAnsi="Arial" w:cs="Arial"/>
          <w:noProof/>
          <w:color w:val="4D4E53"/>
          <w:sz w:val="18"/>
          <w:szCs w:val="18"/>
          <w:lang w:val="lv-LV" w:eastAsia="lv-LV"/>
        </w:rPr>
        <w:drawing>
          <wp:inline distT="0" distB="0" distL="0" distR="0" wp14:anchorId="1B58335C" wp14:editId="21B708B2">
            <wp:extent cx="5760085" cy="1212850"/>
            <wp:effectExtent l="0" t="0" r="0" b="6350"/>
            <wp:docPr id="1" name="Picture 1" descr="Esfondi.lv">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1212850"/>
                    </a:xfrm>
                    <a:prstGeom prst="rect">
                      <a:avLst/>
                    </a:prstGeom>
                    <a:noFill/>
                    <a:ln>
                      <a:noFill/>
                    </a:ln>
                  </pic:spPr>
                </pic:pic>
              </a:graphicData>
            </a:graphic>
          </wp:inline>
        </w:drawing>
      </w:r>
    </w:p>
    <w:p w14:paraId="1EECBF97" w14:textId="0858AA06" w:rsidR="00193A8B" w:rsidRDefault="00193A8B" w:rsidP="00A92DFB">
      <w:pPr>
        <w:shd w:val="clear" w:color="auto" w:fill="FFFFFF"/>
        <w:spacing w:after="0" w:line="240" w:lineRule="auto"/>
        <w:rPr>
          <w:rFonts w:eastAsia="Times New Roman"/>
          <w:bCs/>
          <w:sz w:val="24"/>
          <w:szCs w:val="24"/>
          <w:lang w:eastAsia="lv-LV"/>
        </w:rPr>
      </w:pPr>
    </w:p>
    <w:p w14:paraId="76719AF9" w14:textId="77777777" w:rsidR="00341B57" w:rsidRDefault="00341B57" w:rsidP="00193A8B">
      <w:pPr>
        <w:shd w:val="clear" w:color="auto" w:fill="FFFFFF"/>
        <w:spacing w:after="0" w:line="240" w:lineRule="auto"/>
        <w:jc w:val="center"/>
        <w:rPr>
          <w:rFonts w:eastAsia="Times New Roman"/>
          <w:bCs/>
          <w:i/>
          <w:iCs/>
          <w:color w:val="FF0000"/>
          <w:sz w:val="24"/>
          <w:szCs w:val="24"/>
          <w:lang w:val="lv-LV" w:eastAsia="lv-LV"/>
        </w:rPr>
      </w:pPr>
    </w:p>
    <w:p w14:paraId="7B7ED839" w14:textId="7CFFA533" w:rsidR="00193A8B" w:rsidRPr="00805A79" w:rsidRDefault="001774FC" w:rsidP="00193A8B">
      <w:pPr>
        <w:shd w:val="clear" w:color="auto" w:fill="FFFFFF"/>
        <w:spacing w:after="0" w:line="240" w:lineRule="auto"/>
        <w:jc w:val="center"/>
        <w:rPr>
          <w:rFonts w:eastAsia="Times New Roman"/>
          <w:b/>
          <w:sz w:val="28"/>
          <w:szCs w:val="28"/>
          <w:lang w:eastAsia="lv-LV"/>
        </w:rPr>
      </w:pPr>
      <w:r w:rsidRPr="00CA27ED">
        <w:rPr>
          <w:rFonts w:eastAsia="Times New Roman"/>
          <w:b/>
          <w:sz w:val="28"/>
          <w:szCs w:val="28"/>
          <w:lang w:val="lv-LV" w:eastAsia="lv-LV"/>
        </w:rPr>
        <w:t>Siltumnīcefekta gāzu</w:t>
      </w:r>
      <w:r w:rsidR="00193A8B" w:rsidRPr="00CA27ED">
        <w:rPr>
          <w:rFonts w:eastAsia="Times New Roman"/>
          <w:b/>
          <w:sz w:val="28"/>
          <w:szCs w:val="28"/>
          <w:lang w:val="lv-LV" w:eastAsia="lv-LV"/>
        </w:rPr>
        <w:t xml:space="preserve"> emisiju samazinājuma aprēķina metodiskie norādījumi 13.1.3.1. pasākuma</w:t>
      </w:r>
      <w:r w:rsidR="00193A8B" w:rsidRPr="00CA27ED">
        <w:rPr>
          <w:rStyle w:val="FootnoteReference"/>
          <w:rFonts w:eastAsia="Times New Roman"/>
          <w:b/>
          <w:sz w:val="28"/>
          <w:szCs w:val="28"/>
          <w:lang w:val="lv-LV" w:eastAsia="lv-LV"/>
        </w:rPr>
        <w:footnoteReference w:id="1"/>
      </w:r>
      <w:r w:rsidR="00193A8B" w:rsidRPr="00CA27ED">
        <w:rPr>
          <w:rFonts w:eastAsia="Times New Roman"/>
          <w:b/>
          <w:sz w:val="28"/>
          <w:szCs w:val="28"/>
          <w:lang w:val="lv-LV" w:eastAsia="lv-LV"/>
        </w:rPr>
        <w:t xml:space="preserve"> ūdenssaimniecības tehnoloģisko procesu energoefektivitātes projektu iesniegumu atlasei</w:t>
      </w:r>
      <w:r w:rsidR="00193A8B" w:rsidRPr="00805A79">
        <w:rPr>
          <w:rStyle w:val="FootnoteReference"/>
          <w:rFonts w:eastAsia="Times New Roman"/>
          <w:b/>
          <w:sz w:val="28"/>
          <w:szCs w:val="28"/>
          <w:lang w:eastAsia="lv-LV"/>
        </w:rPr>
        <w:footnoteReference w:id="2"/>
      </w:r>
    </w:p>
    <w:p w14:paraId="4C39F0C7" w14:textId="77777777" w:rsidR="00193A8B" w:rsidRDefault="00193A8B" w:rsidP="00193A8B">
      <w:pPr>
        <w:shd w:val="clear" w:color="auto" w:fill="FFFFFF"/>
        <w:spacing w:after="0" w:line="240" w:lineRule="auto"/>
        <w:jc w:val="center"/>
        <w:rPr>
          <w:rFonts w:ascii="Arial" w:eastAsia="Times New Roman" w:hAnsi="Arial" w:cs="Arial"/>
          <w:color w:val="414142"/>
          <w:lang w:eastAsia="lv-LV"/>
        </w:rPr>
      </w:pPr>
    </w:p>
    <w:p w14:paraId="65D6D5B0" w14:textId="77777777" w:rsidR="00193A8B" w:rsidRPr="00605DBF" w:rsidRDefault="00193A8B" w:rsidP="00193A8B">
      <w:pPr>
        <w:shd w:val="clear" w:color="auto" w:fill="FFFFFF"/>
        <w:spacing w:after="0" w:line="240" w:lineRule="auto"/>
        <w:ind w:firstLine="426"/>
        <w:jc w:val="center"/>
        <w:rPr>
          <w:rFonts w:ascii="Arial" w:eastAsia="Times New Roman" w:hAnsi="Arial" w:cs="Arial"/>
          <w:color w:val="414142"/>
          <w:sz w:val="18"/>
          <w:szCs w:val="18"/>
          <w:lang w:eastAsia="lv-LV"/>
        </w:rPr>
      </w:pPr>
    </w:p>
    <w:p w14:paraId="7DD0A124" w14:textId="77777777" w:rsidR="00193A8B" w:rsidRPr="00805A79" w:rsidRDefault="00193A8B" w:rsidP="00193A8B">
      <w:pPr>
        <w:pStyle w:val="tv213"/>
        <w:numPr>
          <w:ilvl w:val="0"/>
          <w:numId w:val="26"/>
        </w:numPr>
        <w:shd w:val="clear" w:color="auto" w:fill="FFFFFF"/>
        <w:spacing w:before="0" w:beforeAutospacing="0" w:after="0" w:afterAutospacing="0" w:line="293" w:lineRule="atLeast"/>
        <w:jc w:val="both"/>
      </w:pPr>
      <w:r w:rsidRPr="00805A79">
        <w:t>Aprēķinus veic atbilstoši:</w:t>
      </w:r>
    </w:p>
    <w:p w14:paraId="47C2EAF9" w14:textId="0299C3AE" w:rsidR="00193A8B" w:rsidRPr="00805A79" w:rsidRDefault="00193A8B" w:rsidP="00193A8B">
      <w:pPr>
        <w:pStyle w:val="tv213"/>
        <w:numPr>
          <w:ilvl w:val="1"/>
          <w:numId w:val="26"/>
        </w:numPr>
        <w:shd w:val="clear" w:color="auto" w:fill="FFFFFF"/>
        <w:spacing w:before="0" w:beforeAutospacing="0" w:after="0" w:afterAutospacing="0" w:line="293" w:lineRule="atLeast"/>
        <w:jc w:val="both"/>
      </w:pPr>
      <w:r w:rsidRPr="00805A79">
        <w:t xml:space="preserve">apstrādātajam notekūdeņu apjomam vai faktiskajam tīklā ievadītajam ūdens apjomam darbībām saskaņā ar 2016. gada 8. marta Ministru kabineta noteikumu Nr. 152 </w:t>
      </w:r>
      <w:r w:rsidR="00675DEF">
        <w:t>“</w:t>
      </w:r>
      <w:r w:rsidRPr="00805A79">
        <w:t xml:space="preserve">Darbības programmas </w:t>
      </w:r>
      <w:r w:rsidR="00675DEF">
        <w:t>“</w:t>
      </w:r>
      <w:r w:rsidRPr="00805A79">
        <w:t>Izaugsme un nodarbinātība</w:t>
      </w:r>
      <w:r w:rsidR="00675DEF">
        <w:t>”</w:t>
      </w:r>
      <w:r w:rsidRPr="00805A79">
        <w:t xml:space="preserve"> 4.2.2. specifiskā atbalsta mērķa </w:t>
      </w:r>
      <w:r w:rsidR="00675DEF">
        <w:t>“</w:t>
      </w:r>
      <w:r w:rsidRPr="00805A79">
        <w:t>Atbilstoši pašvaldības integrētajām attīstības programmām sekmēt energoefektivitātes paaugstināšanu un atjaunojamo energoresursu izmantošanu pašvaldību ēkās" īstenošanas noteikumi” (turpmāk – Noteikumu) 41.3.</w:t>
      </w:r>
      <w:r w:rsidRPr="00805A79">
        <w:rPr>
          <w:vertAlign w:val="superscript"/>
        </w:rPr>
        <w:t>1</w:t>
      </w:r>
      <w:r w:rsidRPr="00805A79">
        <w:t xml:space="preserve"> 2. un 41.3.</w:t>
      </w:r>
      <w:r w:rsidRPr="00805A79">
        <w:rPr>
          <w:vertAlign w:val="superscript"/>
        </w:rPr>
        <w:t>1</w:t>
      </w:r>
      <w:r w:rsidRPr="00805A79">
        <w:t xml:space="preserve"> 3. apakšpunktu;</w:t>
      </w:r>
    </w:p>
    <w:p w14:paraId="1BBD26E7" w14:textId="5B0A780C" w:rsidR="00193A8B" w:rsidRPr="00805A79" w:rsidRDefault="00193A8B" w:rsidP="00193A8B">
      <w:pPr>
        <w:pStyle w:val="tv213"/>
        <w:numPr>
          <w:ilvl w:val="1"/>
          <w:numId w:val="26"/>
        </w:numPr>
        <w:shd w:val="clear" w:color="auto" w:fill="FFFFFF"/>
        <w:spacing w:before="0" w:beforeAutospacing="0" w:after="0" w:afterAutospacing="0" w:line="293" w:lineRule="atLeast"/>
        <w:jc w:val="both"/>
      </w:pPr>
      <w:r w:rsidRPr="00805A79">
        <w:t xml:space="preserve">aizstātās </w:t>
      </w:r>
      <w:r w:rsidR="003F1F0F">
        <w:t>elektro</w:t>
      </w:r>
      <w:r w:rsidRPr="00805A79">
        <w:t xml:space="preserve">enerģijas daudzumam, </w:t>
      </w:r>
      <w:r w:rsidR="00EE00D3">
        <w:t>ievērojot nosacījumus</w:t>
      </w:r>
      <w:r w:rsidR="00EE00D3" w:rsidRPr="00805A79">
        <w:t xml:space="preserve"> </w:t>
      </w:r>
      <w:r w:rsidR="00DD4C30">
        <w:t xml:space="preserve">saražotās </w:t>
      </w:r>
      <w:r w:rsidR="00616DB8">
        <w:t xml:space="preserve">enerģijas izmantošanai </w:t>
      </w:r>
      <w:r w:rsidRPr="00805A79">
        <w:t>uzņēmuma pašpatēriņ</w:t>
      </w:r>
      <w:r w:rsidR="00EE00D3">
        <w:t>am</w:t>
      </w:r>
      <w:r w:rsidRPr="00805A79">
        <w:t xml:space="preserve"> gada griezumā, darbībām saskaņā ar Noteikumu 41.3.</w:t>
      </w:r>
      <w:r w:rsidRPr="00193A8B">
        <w:rPr>
          <w:vertAlign w:val="superscript"/>
        </w:rPr>
        <w:t>1</w:t>
      </w:r>
      <w:r w:rsidRPr="00805A79">
        <w:t xml:space="preserve"> 1. apakšpunktu.</w:t>
      </w:r>
    </w:p>
    <w:p w14:paraId="428A3A98" w14:textId="3AA84C7A" w:rsidR="00193A8B" w:rsidRPr="00805A79" w:rsidRDefault="00D33259" w:rsidP="00193A8B">
      <w:pPr>
        <w:pStyle w:val="tv213"/>
        <w:numPr>
          <w:ilvl w:val="0"/>
          <w:numId w:val="26"/>
        </w:numPr>
        <w:shd w:val="clear" w:color="auto" w:fill="FFFFFF"/>
        <w:spacing w:before="0" w:beforeAutospacing="0" w:after="0" w:afterAutospacing="0" w:line="293" w:lineRule="atLeast"/>
        <w:jc w:val="both"/>
      </w:pPr>
      <w:r w:rsidRPr="00D33259">
        <w:t xml:space="preserve">Siltumnīcefekta gāzu </w:t>
      </w:r>
      <w:r>
        <w:t xml:space="preserve">(turpmāk – SEG) </w:t>
      </w:r>
      <w:r w:rsidRPr="00D33259">
        <w:t>emisiju</w:t>
      </w:r>
      <w:r w:rsidR="00193A8B" w:rsidRPr="00805A79">
        <w:t xml:space="preserve"> samazinājumu gadā aprēķina katram projektā iekļautajam ūdensapgādes un notekūdeņu attīrīšanas procesam atsevišķi. Projekta iesniedzējs var izvēlēties datus norādīt un veikt aprēķinus par atsevišķiem procesiem vai iekārtām, kuri visprecīzāk ataino projektā paredzētos ieguldījumus, ja tiem tiek veikta atsevišķa </w:t>
      </w:r>
      <w:r w:rsidR="003F1F0F">
        <w:t>elektro</w:t>
      </w:r>
      <w:r w:rsidR="00193A8B" w:rsidRPr="00805A79">
        <w:t>enerģijas un apstrādātā notekūdens vai tīklā ievadītā dzeramā ūdens apjoma uzskaite.</w:t>
      </w:r>
    </w:p>
    <w:p w14:paraId="4BF6A86B" w14:textId="77777777" w:rsidR="00193A8B" w:rsidRPr="00805A79" w:rsidRDefault="00193A8B" w:rsidP="00193A8B">
      <w:pPr>
        <w:pStyle w:val="tv213"/>
        <w:numPr>
          <w:ilvl w:val="0"/>
          <w:numId w:val="26"/>
        </w:numPr>
        <w:shd w:val="clear" w:color="auto" w:fill="FFFFFF"/>
        <w:spacing w:before="0" w:beforeAutospacing="0" w:after="0" w:afterAutospacing="0" w:line="293" w:lineRule="atLeast"/>
        <w:jc w:val="both"/>
      </w:pPr>
      <w:r w:rsidRPr="00805A79">
        <w:t>Apstrādāto notekūdeņu apjomu un faktisko tīklā ievadīto ūdens apjomu pirms projekta īstenošanas nosaka, ņemot vērā uzņēmuma uzskaitīto apstrādāto ūdens apjomu vidēji gadā trīs pēdējo gadu periodā.</w:t>
      </w:r>
    </w:p>
    <w:p w14:paraId="50A7EA7C" w14:textId="49E65EA9" w:rsidR="00193A8B" w:rsidRDefault="00193A8B" w:rsidP="00193A8B">
      <w:pPr>
        <w:pStyle w:val="tv213"/>
        <w:numPr>
          <w:ilvl w:val="0"/>
          <w:numId w:val="26"/>
        </w:numPr>
        <w:shd w:val="clear" w:color="auto" w:fill="FFFFFF"/>
        <w:spacing w:before="0" w:beforeAutospacing="0" w:after="0" w:afterAutospacing="0" w:line="293" w:lineRule="atLeast"/>
        <w:jc w:val="both"/>
      </w:pPr>
      <w:r w:rsidRPr="00805A79">
        <w:t>Apstrādāto notekūdeņu apjomu un faktisko tīklā ievadīto ūdens apjomu pēc projekta īstenošanas nosaka, ņemot vērā uzņēmuma prognozi par faktisko jaudu samazināšanu vai palielināšanu, kā arī ņemot vērā paredzamos pašvaldības populācijas rādītājus.</w:t>
      </w:r>
    </w:p>
    <w:p w14:paraId="25CA6525" w14:textId="6096F78F" w:rsidR="004E4086" w:rsidRDefault="004E4086" w:rsidP="004E4086">
      <w:pPr>
        <w:pStyle w:val="tv213"/>
        <w:shd w:val="clear" w:color="auto" w:fill="FFFFFF"/>
        <w:spacing w:before="0" w:beforeAutospacing="0" w:after="0" w:afterAutospacing="0" w:line="293" w:lineRule="atLeast"/>
        <w:jc w:val="both"/>
      </w:pPr>
    </w:p>
    <w:p w14:paraId="1AA40EDB" w14:textId="77777777" w:rsidR="004E4086" w:rsidRPr="00805A79" w:rsidRDefault="004E4086" w:rsidP="004E4086">
      <w:pPr>
        <w:pStyle w:val="tv213"/>
        <w:shd w:val="clear" w:color="auto" w:fill="FFFFFF"/>
        <w:spacing w:before="0" w:beforeAutospacing="0" w:after="0" w:afterAutospacing="0" w:line="293" w:lineRule="atLeast"/>
        <w:jc w:val="both"/>
      </w:pPr>
    </w:p>
    <w:p w14:paraId="02EAF61B" w14:textId="417DCA8F" w:rsidR="00193A8B" w:rsidRPr="00805A79" w:rsidRDefault="00193A8B" w:rsidP="00590C2B">
      <w:pPr>
        <w:pStyle w:val="tv213"/>
        <w:numPr>
          <w:ilvl w:val="0"/>
          <w:numId w:val="26"/>
        </w:numPr>
        <w:shd w:val="clear" w:color="auto" w:fill="FFFFFF"/>
        <w:spacing w:before="0" w:beforeAutospacing="0" w:after="0" w:afterAutospacing="0" w:line="293" w:lineRule="atLeast"/>
        <w:jc w:val="both"/>
      </w:pPr>
      <w:r>
        <w:t>SEG</w:t>
      </w:r>
      <w:r w:rsidRPr="00805A79">
        <w:t xml:space="preserve"> </w:t>
      </w:r>
      <w:r w:rsidR="00A412F0">
        <w:t xml:space="preserve">emisiju </w:t>
      </w:r>
      <w:r w:rsidRPr="00805A79">
        <w:t>samazinājumu gadā Noteikumu 41.3.</w:t>
      </w:r>
      <w:r w:rsidRPr="00805A79">
        <w:rPr>
          <w:vertAlign w:val="superscript"/>
        </w:rPr>
        <w:t>1</w:t>
      </w:r>
      <w:r w:rsidRPr="00805A79">
        <w:t xml:space="preserve"> 2. un 41.3.</w:t>
      </w:r>
      <w:r w:rsidRPr="00805A79">
        <w:rPr>
          <w:vertAlign w:val="superscript"/>
        </w:rPr>
        <w:t>1</w:t>
      </w:r>
      <w:r w:rsidRPr="00805A79">
        <w:t xml:space="preserve"> 3. apakšpunktam</w:t>
      </w:r>
      <w:r w:rsidRPr="00805A79" w:rsidDel="00E676F5">
        <w:t xml:space="preserve"> </w:t>
      </w:r>
      <w:r w:rsidRPr="00805A79">
        <w:t>aprēķina, izmantojot šādu formulu:</w:t>
      </w:r>
    </w:p>
    <w:p w14:paraId="36B7A12E" w14:textId="24ECDD1F" w:rsidR="00193A8B" w:rsidRPr="00805A79" w:rsidRDefault="002B0767" w:rsidP="00CA27ED">
      <w:pPr>
        <w:pStyle w:val="tv213"/>
        <w:shd w:val="clear" w:color="auto" w:fill="FFFFFF"/>
        <w:spacing w:before="0" w:beforeAutospacing="0" w:after="0" w:afterAutospacing="0" w:line="293" w:lineRule="atLeast"/>
        <w:ind w:firstLine="300"/>
        <w:jc w:val="center"/>
      </w:pP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ūd.CO</m:t>
                </m:r>
              </m:e>
              <m:sub>
                <m:r>
                  <w:rPr>
                    <w:rFonts w:ascii="Cambria Math" w:hAnsi="Cambria Math"/>
                  </w:rPr>
                  <m:t>2</m:t>
                </m:r>
              </m:sub>
            </m:sSub>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el</m:t>
                    </m:r>
                  </m:e>
                  <m:sub>
                    <m:r>
                      <w:rPr>
                        <w:rFonts w:ascii="Cambria Math" w:hAnsi="Cambria Math"/>
                      </w:rPr>
                      <m:t>pirms</m:t>
                    </m:r>
                  </m:sub>
                </m:sSub>
              </m:sub>
            </m:sSub>
          </m:num>
          <m:den>
            <m:sSub>
              <m:sSubPr>
                <m:ctrlPr>
                  <w:rPr>
                    <w:rFonts w:ascii="Cambria Math" w:hAnsi="Cambria Math"/>
                    <w:i/>
                  </w:rPr>
                </m:ctrlPr>
              </m:sSubPr>
              <m:e>
                <m:r>
                  <w:rPr>
                    <w:rFonts w:ascii="Cambria Math" w:hAnsi="Cambria Math"/>
                  </w:rPr>
                  <m:t>A</m:t>
                </m:r>
              </m:e>
              <m:sub>
                <m:r>
                  <w:rPr>
                    <w:rFonts w:ascii="Cambria Math" w:hAnsi="Cambria Math"/>
                  </w:rPr>
                  <m:t>pirms</m:t>
                </m:r>
              </m:sub>
            </m:sSub>
          </m:den>
        </m:f>
        <m:r>
          <m:rPr>
            <m:sty m:val="p"/>
          </m:rP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el</m:t>
                    </m:r>
                  </m:e>
                  <m:sub>
                    <m:r>
                      <w:rPr>
                        <w:rFonts w:ascii="Cambria Math" w:hAnsi="Cambria Math"/>
                      </w:rPr>
                      <m:t>pēc</m:t>
                    </m:r>
                  </m:sub>
                </m:sSub>
              </m:sub>
            </m:sSub>
          </m:num>
          <m:den>
            <m:sSub>
              <m:sSubPr>
                <m:ctrlPr>
                  <w:rPr>
                    <w:rFonts w:ascii="Cambria Math" w:hAnsi="Cambria Math"/>
                    <w:i/>
                  </w:rPr>
                </m:ctrlPr>
              </m:sSubPr>
              <m:e>
                <m:r>
                  <w:rPr>
                    <w:rFonts w:ascii="Cambria Math" w:hAnsi="Cambria Math"/>
                  </w:rPr>
                  <m:t>A</m:t>
                </m:r>
              </m:e>
              <m:sub>
                <m:r>
                  <w:rPr>
                    <w:rFonts w:ascii="Cambria Math" w:hAnsi="Cambria Math"/>
                  </w:rPr>
                  <m:t>pēc</m:t>
                </m:r>
              </m:sub>
            </m:sSub>
          </m:den>
        </m:f>
        <m:r>
          <w:rPr>
            <w:rFonts w:ascii="Cambria Math" w:hAnsi="Cambria Math"/>
          </w:rPr>
          <m:t xml:space="preserve">) </m:t>
        </m:r>
        <m:r>
          <m:rPr>
            <m:sty m:val="p"/>
          </m:rPr>
          <w:rPr>
            <w:rFonts w:ascii="Cambria Math" w:hAnsi="Cambria Math"/>
          </w:rPr>
          <m:t>x</m:t>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pēc</m:t>
            </m:r>
          </m:sub>
        </m:sSub>
        <m:r>
          <w:rPr>
            <w:rFonts w:ascii="Cambria Math" w:hAnsi="Cambria Math"/>
          </w:rPr>
          <m:t xml:space="preserve"> </m:t>
        </m:r>
        <m:r>
          <m:rPr>
            <m:sty m:val="p"/>
          </m:rPr>
          <w:rPr>
            <w:rFonts w:ascii="Cambria Math" w:hAnsi="Cambria Math"/>
          </w:rPr>
          <m:t>x</m:t>
        </m:r>
        <m:r>
          <w:rPr>
            <w:rFonts w:ascii="Cambria Math" w:hAnsi="Cambria Math"/>
          </w:rPr>
          <m:t xml:space="preserve"> </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193A8B" w:rsidRPr="00805A79">
        <w:t>, kur</w:t>
      </w:r>
    </w:p>
    <w:p w14:paraId="3DAF35C6" w14:textId="36131A29" w:rsidR="00193A8B" w:rsidRPr="00805A79" w:rsidRDefault="002B0767" w:rsidP="00193A8B">
      <w:pPr>
        <w:pStyle w:val="tv213"/>
        <w:shd w:val="clear" w:color="auto" w:fill="FFFFFF"/>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m</m:t>
            </m:r>
          </m:e>
          <m:sub>
            <m:r>
              <w:rPr>
                <w:rFonts w:ascii="Cambria Math" w:hAnsi="Cambria Math"/>
              </w:rPr>
              <m:t>ūd.</m:t>
            </m:r>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193A8B" w:rsidRPr="00805A79">
        <w:t xml:space="preserve"> </w:t>
      </w:r>
      <w:r w:rsidR="009636E0">
        <w:t>–</w:t>
      </w:r>
      <w:r w:rsidR="00193A8B" w:rsidRPr="00805A79">
        <w:t xml:space="preserve"> </w:t>
      </w:r>
      <w:r w:rsidR="00193A8B">
        <w:t>SEG</w:t>
      </w:r>
      <w:r w:rsidR="00193A8B" w:rsidRPr="00805A79">
        <w:t xml:space="preserve"> </w:t>
      </w:r>
      <w:r w:rsidR="00A76A4C">
        <w:t xml:space="preserve">emisiju </w:t>
      </w:r>
      <w:r w:rsidR="00193A8B" w:rsidRPr="00805A79">
        <w:t>samazinājums gadā atbilstoši apstrādātajam notekūdeņu apjomam vai faktiskajam tīklā ievadītajam ūdens apjomam</w:t>
      </w:r>
      <w:r w:rsidR="00CD680B">
        <w:t xml:space="preserve"> pakalpojumam,</w:t>
      </w:r>
      <w:r w:rsidR="00193A8B" w:rsidRPr="00805A79">
        <w:t xml:space="preserve"> procesam </w:t>
      </w:r>
      <w:r w:rsidR="009636E0">
        <w:t xml:space="preserve">vai </w:t>
      </w:r>
      <w:r w:rsidR="00193A8B" w:rsidRPr="00805A79">
        <w:t>iekārtai, t CO</w:t>
      </w:r>
      <w:r w:rsidR="00193A8B" w:rsidRPr="00805A79">
        <w:rPr>
          <w:vertAlign w:val="subscript"/>
        </w:rPr>
        <w:t>2</w:t>
      </w:r>
      <w:r w:rsidR="00193A8B" w:rsidRPr="00805A79">
        <w:t xml:space="preserve"> </w:t>
      </w:r>
      <w:proofErr w:type="spellStart"/>
      <w:r w:rsidR="00193A8B" w:rsidRPr="00805A79">
        <w:t>ekv</w:t>
      </w:r>
      <w:proofErr w:type="spellEnd"/>
      <w:r w:rsidR="00193A8B" w:rsidRPr="00805A79">
        <w:t>./gadā;</w:t>
      </w:r>
    </w:p>
    <w:p w14:paraId="05AEAFD8" w14:textId="6CC1ED13" w:rsidR="00193A8B" w:rsidRPr="00805A79" w:rsidRDefault="002B0767" w:rsidP="00193A8B">
      <w:pPr>
        <w:pStyle w:val="tv213"/>
        <w:shd w:val="clear" w:color="auto" w:fill="FFFFFF"/>
        <w:spacing w:before="0" w:beforeAutospacing="0" w:after="0" w:afterAutospacing="0" w:line="293" w:lineRule="atLeast"/>
        <w:ind w:firstLine="300"/>
        <w:jc w:val="both"/>
        <w:rPr>
          <w:i/>
        </w:rPr>
      </w:pPr>
      <m:oMath>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el</m:t>
                </m:r>
              </m:e>
              <m:sub>
                <m:r>
                  <w:rPr>
                    <w:rFonts w:ascii="Cambria Math" w:hAnsi="Cambria Math"/>
                  </w:rPr>
                  <m:t>pirms</m:t>
                </m:r>
              </m:sub>
            </m:sSub>
          </m:sub>
        </m:sSub>
      </m:oMath>
      <w:r w:rsidR="00193A8B" w:rsidRPr="00805A79">
        <w:rPr>
          <w:i/>
        </w:rPr>
        <w:t xml:space="preserve"> </w:t>
      </w:r>
      <w:r w:rsidR="000548BA">
        <w:rPr>
          <w:i/>
        </w:rPr>
        <w:t>–</w:t>
      </w:r>
      <w:r w:rsidR="00193A8B" w:rsidRPr="00805A79">
        <w:rPr>
          <w:i/>
        </w:rPr>
        <w:t xml:space="preserve"> </w:t>
      </w:r>
      <w:r w:rsidR="000548BA">
        <w:rPr>
          <w:iCs/>
        </w:rPr>
        <w:t xml:space="preserve">vidējais </w:t>
      </w:r>
      <w:r w:rsidR="00193A8B" w:rsidRPr="00805A79">
        <w:t>elektroenerģijas patēriņš pakalpojuma</w:t>
      </w:r>
      <w:r w:rsidR="00655378">
        <w:t>m</w:t>
      </w:r>
      <w:r w:rsidR="003E5F53">
        <w:t>,</w:t>
      </w:r>
      <w:r w:rsidR="00193A8B" w:rsidRPr="00805A79">
        <w:t xml:space="preserve"> procesam vai iekārtai </w:t>
      </w:r>
      <w:r w:rsidR="000548BA">
        <w:t xml:space="preserve">trīs gadu periodā </w:t>
      </w:r>
      <w:r w:rsidR="00193A8B" w:rsidRPr="00805A79">
        <w:t xml:space="preserve">pirms pasākuma īstenošanas, </w:t>
      </w:r>
      <w:proofErr w:type="spellStart"/>
      <w:r w:rsidR="00193A8B" w:rsidRPr="00805A79">
        <w:t>MWh</w:t>
      </w:r>
      <w:proofErr w:type="spellEnd"/>
      <w:r w:rsidR="00193A8B" w:rsidRPr="00805A79">
        <w:t>/gadā</w:t>
      </w:r>
      <w:r w:rsidR="006348B5">
        <w:t>;</w:t>
      </w:r>
    </w:p>
    <w:p w14:paraId="199CACD1" w14:textId="46CF1E96" w:rsidR="00193A8B" w:rsidRPr="00A76A4C" w:rsidRDefault="002B0767" w:rsidP="00193A8B">
      <w:pPr>
        <w:pStyle w:val="tv213"/>
        <w:shd w:val="clear" w:color="auto" w:fill="FFFFFF"/>
        <w:spacing w:before="0" w:beforeAutospacing="0" w:after="0" w:afterAutospacing="0" w:line="293" w:lineRule="atLeast"/>
        <w:ind w:firstLine="300"/>
        <w:jc w:val="both"/>
      </w:pPr>
      <m:oMath>
        <m:sSub>
          <m:sSubPr>
            <m:ctrlPr>
              <w:rPr>
                <w:rFonts w:ascii="Cambria Math" w:hAnsi="Cambria Math"/>
                <w:i/>
                <w:color w:val="414142"/>
              </w:rPr>
            </m:ctrlPr>
          </m:sSubPr>
          <m:e>
            <m:r>
              <w:rPr>
                <w:rFonts w:ascii="Cambria Math" w:hAnsi="Cambria Math"/>
                <w:color w:val="414142"/>
              </w:rPr>
              <m:t>A</m:t>
            </m:r>
          </m:e>
          <m:sub>
            <m:r>
              <w:rPr>
                <w:rFonts w:ascii="Cambria Math" w:hAnsi="Cambria Math"/>
                <w:color w:val="414142"/>
              </w:rPr>
              <m:t>pirms</m:t>
            </m:r>
          </m:sub>
        </m:sSub>
      </m:oMath>
      <w:r w:rsidR="00193A8B" w:rsidRPr="00193A8B">
        <w:rPr>
          <w:i/>
          <w:color w:val="414142"/>
        </w:rPr>
        <w:t xml:space="preserve"> </w:t>
      </w:r>
      <w:r w:rsidR="00F9635A">
        <w:rPr>
          <w:i/>
          <w:color w:val="414142"/>
        </w:rPr>
        <w:t>–</w:t>
      </w:r>
      <w:r w:rsidR="00193A8B" w:rsidRPr="00193A8B">
        <w:rPr>
          <w:i/>
          <w:color w:val="414142"/>
        </w:rPr>
        <w:t xml:space="preserve"> </w:t>
      </w:r>
      <w:r w:rsidR="00F9635A">
        <w:rPr>
          <w:iCs/>
          <w:color w:val="414142"/>
        </w:rPr>
        <w:t xml:space="preserve">vidējais </w:t>
      </w:r>
      <w:r w:rsidR="00193A8B" w:rsidRPr="00A76A4C">
        <w:t xml:space="preserve">apstrādātais notekūdeņu apjoms vai faktiskais tīklā ievadītais ūdens apjoms </w:t>
      </w:r>
      <w:r w:rsidR="00CD680B">
        <w:t>pakalpojumam</w:t>
      </w:r>
      <w:r w:rsidR="00372505">
        <w:t xml:space="preserve">, </w:t>
      </w:r>
      <w:r w:rsidR="00193A8B" w:rsidRPr="00A76A4C">
        <w:t xml:space="preserve">procesam </w:t>
      </w:r>
      <w:r w:rsidR="00FC3385">
        <w:t xml:space="preserve">vai </w:t>
      </w:r>
      <w:r w:rsidR="00193A8B" w:rsidRPr="00A76A4C">
        <w:t xml:space="preserve">iekārtai </w:t>
      </w:r>
      <w:r w:rsidR="000548BA">
        <w:t xml:space="preserve">trīs gadu periodā </w:t>
      </w:r>
      <w:r w:rsidR="00193A8B" w:rsidRPr="00A76A4C">
        <w:t>pirms pasākuma īstenošanas, m</w:t>
      </w:r>
      <w:r w:rsidR="00193A8B" w:rsidRPr="00A76A4C">
        <w:rPr>
          <w:vertAlign w:val="superscript"/>
        </w:rPr>
        <w:t>3</w:t>
      </w:r>
      <w:r w:rsidR="00193A8B" w:rsidRPr="00A76A4C">
        <w:t>/gadā;</w:t>
      </w:r>
    </w:p>
    <w:p w14:paraId="037ACCA2" w14:textId="66B0E0B8" w:rsidR="006C0A57" w:rsidRPr="00A76A4C" w:rsidRDefault="002B0767" w:rsidP="006C0A57">
      <w:pPr>
        <w:pStyle w:val="tv213"/>
        <w:shd w:val="clear" w:color="auto" w:fill="FFFFFF"/>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el</m:t>
                </m:r>
              </m:e>
              <m:sub>
                <m:r>
                  <w:rPr>
                    <w:rFonts w:ascii="Cambria Math" w:hAnsi="Cambria Math"/>
                  </w:rPr>
                  <m:t>pēc</m:t>
                </m:r>
              </m:sub>
            </m:sSub>
          </m:sub>
        </m:sSub>
      </m:oMath>
      <w:r w:rsidR="00193A8B" w:rsidRPr="00A76A4C">
        <w:rPr>
          <w:i/>
        </w:rPr>
        <w:t xml:space="preserve"> </w:t>
      </w:r>
      <w:r w:rsidR="00F9635A">
        <w:rPr>
          <w:i/>
        </w:rPr>
        <w:t>–</w:t>
      </w:r>
      <w:r w:rsidR="00193A8B" w:rsidRPr="00A76A4C">
        <w:rPr>
          <w:i/>
        </w:rPr>
        <w:t xml:space="preserve"> </w:t>
      </w:r>
      <w:r w:rsidR="00193A8B" w:rsidRPr="00A76A4C">
        <w:t>elektroenerģijas patēriņš pakalpojuma</w:t>
      </w:r>
      <w:r w:rsidR="00655378">
        <w:t>m</w:t>
      </w:r>
      <w:r w:rsidR="003E5F53">
        <w:t>,</w:t>
      </w:r>
      <w:r w:rsidR="00193A8B" w:rsidRPr="00A76A4C">
        <w:t xml:space="preserve"> procesam vai iekārtai pēc pasākuma īstenošanas, </w:t>
      </w:r>
      <w:proofErr w:type="spellStart"/>
      <w:r w:rsidR="00193A8B" w:rsidRPr="00A76A4C">
        <w:t>MWh</w:t>
      </w:r>
      <w:proofErr w:type="spellEnd"/>
      <w:r w:rsidR="00193A8B" w:rsidRPr="00A76A4C">
        <w:t>/gadā</w:t>
      </w:r>
      <w:r w:rsidR="006348B5">
        <w:t>;</w:t>
      </w:r>
    </w:p>
    <w:p w14:paraId="1D082767" w14:textId="5CA59A75" w:rsidR="00193A8B" w:rsidRPr="00A76A4C" w:rsidRDefault="002B0767" w:rsidP="00193A8B">
      <w:pPr>
        <w:pStyle w:val="tv213"/>
        <w:shd w:val="clear" w:color="auto" w:fill="FFFFFF"/>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A</m:t>
            </m:r>
          </m:e>
          <m:sub>
            <m:r>
              <w:rPr>
                <w:rFonts w:ascii="Cambria Math" w:hAnsi="Cambria Math"/>
              </w:rPr>
              <m:t>pēc</m:t>
            </m:r>
          </m:sub>
        </m:sSub>
      </m:oMath>
      <w:r w:rsidR="00193A8B" w:rsidRPr="00A76A4C">
        <w:rPr>
          <w:i/>
        </w:rPr>
        <w:t xml:space="preserve"> </w:t>
      </w:r>
      <w:r w:rsidR="00535C78">
        <w:rPr>
          <w:i/>
        </w:rPr>
        <w:t>–</w:t>
      </w:r>
      <w:r w:rsidR="00193A8B" w:rsidRPr="00A76A4C">
        <w:rPr>
          <w:i/>
        </w:rPr>
        <w:t xml:space="preserve"> </w:t>
      </w:r>
      <w:r w:rsidR="00193A8B" w:rsidRPr="00A76A4C">
        <w:t>apstrādātais notekūdeņu apjoms vai faktiskais tīklā ievadītais ūdens apjoms</w:t>
      </w:r>
      <w:r w:rsidR="00FC3385">
        <w:t xml:space="preserve"> </w:t>
      </w:r>
      <w:r w:rsidR="00372505">
        <w:t xml:space="preserve">pakalpojumam, </w:t>
      </w:r>
      <w:r w:rsidR="00193A8B" w:rsidRPr="00A76A4C">
        <w:t xml:space="preserve">procesam </w:t>
      </w:r>
      <w:r w:rsidR="000548BA">
        <w:t xml:space="preserve">vai </w:t>
      </w:r>
      <w:r w:rsidR="00193A8B" w:rsidRPr="00A76A4C">
        <w:t>iekārtai pēc pasākuma īstenošanas, m</w:t>
      </w:r>
      <w:r w:rsidR="00193A8B" w:rsidRPr="00A76A4C">
        <w:rPr>
          <w:vertAlign w:val="superscript"/>
        </w:rPr>
        <w:t>3</w:t>
      </w:r>
      <w:r w:rsidR="00193A8B" w:rsidRPr="00A76A4C">
        <w:t>/gadā;</w:t>
      </w:r>
    </w:p>
    <w:p w14:paraId="5CDC699E" w14:textId="6E6F854E" w:rsidR="00193A8B" w:rsidRPr="00A76A4C" w:rsidRDefault="002B0767" w:rsidP="00193A8B">
      <w:pPr>
        <w:pStyle w:val="tv213"/>
        <w:shd w:val="clear" w:color="auto" w:fill="FFFFFF"/>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193A8B" w:rsidRPr="00A76A4C">
        <w:rPr>
          <w:i/>
        </w:rPr>
        <w:t xml:space="preserve"> </w:t>
      </w:r>
      <w:r w:rsidR="00780F4A">
        <w:rPr>
          <w:i/>
        </w:rPr>
        <w:t>–</w:t>
      </w:r>
      <w:r w:rsidR="00193A8B" w:rsidRPr="00A76A4C">
        <w:rPr>
          <w:i/>
        </w:rPr>
        <w:t xml:space="preserve"> </w:t>
      </w:r>
      <w:r w:rsidR="00193A8B" w:rsidRPr="00A76A4C">
        <w:t>CO</w:t>
      </w:r>
      <w:r w:rsidR="00193A8B" w:rsidRPr="00A76A4C">
        <w:rPr>
          <w:vertAlign w:val="subscript"/>
        </w:rPr>
        <w:t>2</w:t>
      </w:r>
      <w:r w:rsidR="00193A8B" w:rsidRPr="00A76A4C">
        <w:t xml:space="preserve"> emisijas faktors piegādātajai elektroenerģijai</w:t>
      </w:r>
      <w:r w:rsidR="00193A8B" w:rsidRPr="00A76A4C">
        <w:rPr>
          <w:rStyle w:val="FootnoteReference"/>
        </w:rPr>
        <w:footnoteReference w:id="3"/>
      </w:r>
      <w:r w:rsidR="00193A8B" w:rsidRPr="00A76A4C">
        <w:t>, t CO</w:t>
      </w:r>
      <w:r w:rsidR="00193A8B" w:rsidRPr="00A76A4C">
        <w:rPr>
          <w:vertAlign w:val="subscript"/>
        </w:rPr>
        <w:t>2</w:t>
      </w:r>
      <w:r w:rsidR="00193A8B" w:rsidRPr="00A76A4C">
        <w:t xml:space="preserve"> </w:t>
      </w:r>
      <w:proofErr w:type="spellStart"/>
      <w:r w:rsidR="00193A8B" w:rsidRPr="00A76A4C">
        <w:t>ekv</w:t>
      </w:r>
      <w:proofErr w:type="spellEnd"/>
      <w:r w:rsidR="00EE4727">
        <w:t>.</w:t>
      </w:r>
      <w:r w:rsidR="00193A8B" w:rsidRPr="00A76A4C">
        <w:t>/</w:t>
      </w:r>
      <w:proofErr w:type="spellStart"/>
      <w:r w:rsidR="00193A8B" w:rsidRPr="00A76A4C">
        <w:t>MWh</w:t>
      </w:r>
      <w:proofErr w:type="spellEnd"/>
      <w:r w:rsidR="00193A8B" w:rsidRPr="00A76A4C">
        <w:t>.</w:t>
      </w:r>
    </w:p>
    <w:p w14:paraId="4FE94BC4" w14:textId="55FB9AE8" w:rsidR="00A160A3" w:rsidRPr="00411DB6" w:rsidRDefault="00A160A3" w:rsidP="00590C2B">
      <w:pPr>
        <w:pStyle w:val="tv213"/>
        <w:shd w:val="clear" w:color="auto" w:fill="FFFFFF"/>
        <w:spacing w:before="0" w:beforeAutospacing="0" w:after="0" w:afterAutospacing="0" w:line="293" w:lineRule="atLeast"/>
        <w:jc w:val="both"/>
        <w:rPr>
          <w:rFonts w:ascii="Arial" w:hAnsi="Arial" w:cs="Arial"/>
          <w:sz w:val="14"/>
          <w:szCs w:val="14"/>
        </w:rPr>
      </w:pPr>
    </w:p>
    <w:p w14:paraId="149A4CA2" w14:textId="03937FF5" w:rsidR="00193A8B" w:rsidRPr="00A76A4C" w:rsidRDefault="00193A8B" w:rsidP="00193A8B">
      <w:pPr>
        <w:pStyle w:val="tv213"/>
        <w:numPr>
          <w:ilvl w:val="0"/>
          <w:numId w:val="26"/>
        </w:numPr>
        <w:shd w:val="clear" w:color="auto" w:fill="FFFFFF" w:themeFill="background1"/>
        <w:spacing w:before="0" w:beforeAutospacing="0" w:after="0" w:afterAutospacing="0" w:line="293" w:lineRule="atLeast"/>
        <w:jc w:val="both"/>
      </w:pPr>
      <w:r w:rsidRPr="00A76A4C">
        <w:t xml:space="preserve">Ja nav paredzama apstrādāto notekūdeņu apjoma vai faktiskā tīklā </w:t>
      </w:r>
      <w:r w:rsidR="00C169D3" w:rsidRPr="00A76A4C">
        <w:t>ievadīt</w:t>
      </w:r>
      <w:r w:rsidR="00C169D3">
        <w:t>ā</w:t>
      </w:r>
      <w:r w:rsidR="00C169D3" w:rsidRPr="00A76A4C">
        <w:t xml:space="preserve"> </w:t>
      </w:r>
      <w:r w:rsidRPr="00A76A4C">
        <w:t xml:space="preserve">ūdens apjoma izmaiņas, pieņem, ka parametri </w:t>
      </w:r>
      <w:proofErr w:type="spellStart"/>
      <w:r w:rsidRPr="00A76A4C">
        <w:t>A</w:t>
      </w:r>
      <w:r w:rsidRPr="00A76A4C">
        <w:rPr>
          <w:vertAlign w:val="subscript"/>
        </w:rPr>
        <w:t>pirms</w:t>
      </w:r>
      <w:proofErr w:type="spellEnd"/>
      <w:r w:rsidRPr="00A76A4C">
        <w:t xml:space="preserve"> un </w:t>
      </w:r>
      <w:proofErr w:type="spellStart"/>
      <w:r w:rsidRPr="00A76A4C">
        <w:t>A</w:t>
      </w:r>
      <w:r w:rsidRPr="00A76A4C">
        <w:rPr>
          <w:vertAlign w:val="subscript"/>
        </w:rPr>
        <w:t>pēc</w:t>
      </w:r>
      <w:proofErr w:type="spellEnd"/>
      <w:r w:rsidRPr="00A76A4C">
        <w:t xml:space="preserve"> ir vienādi un šos parametrus aprēķinā par SEG </w:t>
      </w:r>
      <w:r w:rsidR="003D31D3">
        <w:t xml:space="preserve">emisiju </w:t>
      </w:r>
      <w:r w:rsidRPr="00A76A4C">
        <w:t>samazinājumu gadā neiekļauj un uzrāda tikai elektroenerģijas patēriņa izmaiņas.</w:t>
      </w:r>
    </w:p>
    <w:p w14:paraId="7E7A93A0" w14:textId="4759EA76" w:rsidR="00193A8B" w:rsidRPr="00A76A4C" w:rsidRDefault="00193A8B" w:rsidP="00193A8B">
      <w:pPr>
        <w:pStyle w:val="tv213"/>
        <w:numPr>
          <w:ilvl w:val="0"/>
          <w:numId w:val="26"/>
        </w:numPr>
        <w:shd w:val="clear" w:color="auto" w:fill="FFFFFF"/>
        <w:spacing w:before="0" w:beforeAutospacing="0" w:after="0" w:afterAutospacing="0" w:line="293" w:lineRule="atLeast"/>
        <w:jc w:val="both"/>
      </w:pPr>
      <w:r w:rsidRPr="00A76A4C">
        <w:t xml:space="preserve">SEG </w:t>
      </w:r>
      <w:r w:rsidR="000A4FBA">
        <w:t xml:space="preserve">emisiju </w:t>
      </w:r>
      <w:r w:rsidRPr="00A76A4C">
        <w:t>samazinājumu gadā, ja tiek uzstādītas atjaunojamo energoresursu</w:t>
      </w:r>
      <w:r w:rsidR="00E84A99">
        <w:t xml:space="preserve"> iekārtas </w:t>
      </w:r>
      <w:r w:rsidRPr="00A76A4C">
        <w:t xml:space="preserve"> </w:t>
      </w:r>
      <w:r w:rsidR="00E630FD">
        <w:t>elektro</w:t>
      </w:r>
      <w:r w:rsidRPr="00A76A4C">
        <w:t>enerģijas ražo</w:t>
      </w:r>
      <w:r w:rsidR="00240F9D">
        <w:t>šanai</w:t>
      </w:r>
      <w:r w:rsidRPr="00A76A4C">
        <w:t>, aprēķina, izmantojot šādu formulu:</w:t>
      </w:r>
    </w:p>
    <w:p w14:paraId="3F7E6AD8" w14:textId="77777777" w:rsidR="00193A8B" w:rsidRPr="00411DB6" w:rsidRDefault="00193A8B" w:rsidP="00193A8B">
      <w:pPr>
        <w:pStyle w:val="tv213"/>
        <w:shd w:val="clear" w:color="auto" w:fill="FFFFFF"/>
        <w:spacing w:before="0" w:beforeAutospacing="0" w:after="0" w:afterAutospacing="0" w:line="293" w:lineRule="atLeast"/>
        <w:jc w:val="both"/>
        <w:rPr>
          <w:sz w:val="16"/>
          <w:szCs w:val="16"/>
        </w:rPr>
      </w:pPr>
    </w:p>
    <w:p w14:paraId="6FD5B4E9" w14:textId="3063DFA3" w:rsidR="00193A8B" w:rsidRPr="00A76A4C" w:rsidRDefault="002B0767" w:rsidP="00193A8B">
      <w:pPr>
        <w:pStyle w:val="tv213"/>
        <w:shd w:val="clear" w:color="auto" w:fill="FFFFFF"/>
        <w:spacing w:before="0" w:beforeAutospacing="0" w:after="0" w:afterAutospacing="0" w:line="293" w:lineRule="atLeast"/>
        <w:ind w:firstLine="300"/>
        <w:jc w:val="center"/>
      </w:pP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aizst.CO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sar.en.</m:t>
            </m:r>
          </m:sub>
        </m:sSub>
        <m:r>
          <w:rPr>
            <w:rFonts w:ascii="Cambria Math" w:hAnsi="Cambria Math"/>
          </w:rPr>
          <m:t xml:space="preserve"> </m:t>
        </m:r>
        <m:r>
          <m:rPr>
            <m:sty m:val="p"/>
          </m:rPr>
          <w:rPr>
            <w:rFonts w:ascii="Cambria Math" w:hAnsi="Cambria Math"/>
          </w:rPr>
          <m:t>X</m:t>
        </m:r>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tīkl.</m:t>
            </m:r>
          </m:sub>
        </m:sSub>
      </m:oMath>
      <w:r w:rsidR="00193A8B" w:rsidRPr="00A76A4C">
        <w:t xml:space="preserve"> , kur</w:t>
      </w:r>
    </w:p>
    <w:p w14:paraId="748A43AE" w14:textId="77777777" w:rsidR="00193A8B" w:rsidRPr="00411DB6" w:rsidRDefault="00193A8B" w:rsidP="00193A8B">
      <w:pPr>
        <w:pStyle w:val="tv213"/>
        <w:shd w:val="clear" w:color="auto" w:fill="FFFFFF"/>
        <w:spacing w:before="0" w:beforeAutospacing="0" w:after="0" w:afterAutospacing="0" w:line="293" w:lineRule="atLeast"/>
        <w:ind w:firstLine="300"/>
        <w:jc w:val="both"/>
        <w:rPr>
          <w:sz w:val="16"/>
          <w:szCs w:val="16"/>
        </w:rPr>
      </w:pPr>
    </w:p>
    <w:p w14:paraId="77535FEC" w14:textId="3F56FEBC" w:rsidR="00193A8B" w:rsidRPr="00A76A4C" w:rsidRDefault="002B0767" w:rsidP="00193A8B">
      <w:pPr>
        <w:pStyle w:val="tv213"/>
        <w:shd w:val="clear" w:color="auto" w:fill="FFFFFF"/>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m</m:t>
            </m:r>
          </m:e>
          <m:sub>
            <m:r>
              <w:rPr>
                <w:rFonts w:ascii="Cambria Math" w:hAnsi="Cambria Math"/>
              </w:rPr>
              <m:t>aizst.</m:t>
            </m:r>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193A8B" w:rsidRPr="00A76A4C">
        <w:t xml:space="preserve"> </w:t>
      </w:r>
      <w:r w:rsidR="00CF64F7">
        <w:t>–</w:t>
      </w:r>
      <w:r w:rsidR="00193A8B" w:rsidRPr="00A76A4C">
        <w:t xml:space="preserve"> SEG </w:t>
      </w:r>
      <w:r w:rsidR="000A4FBA">
        <w:t xml:space="preserve">emisiju </w:t>
      </w:r>
      <w:r w:rsidR="00193A8B" w:rsidRPr="00A76A4C">
        <w:t>samazinājums gadā, ja tiek uzstādītas atjaunojamo energoresursu</w:t>
      </w:r>
      <w:r w:rsidR="00F83612">
        <w:t xml:space="preserve"> </w:t>
      </w:r>
      <w:r w:rsidR="00CF64F7">
        <w:t>iekārta</w:t>
      </w:r>
      <w:r w:rsidR="00F83612">
        <w:t>s</w:t>
      </w:r>
      <w:r w:rsidR="00193A8B" w:rsidRPr="00A76A4C">
        <w:t xml:space="preserve"> </w:t>
      </w:r>
      <w:r w:rsidR="00E630FD">
        <w:t>elektro</w:t>
      </w:r>
      <w:r w:rsidR="00193A8B" w:rsidRPr="00A76A4C">
        <w:t>enerģijas ražo</w:t>
      </w:r>
      <w:r w:rsidR="00F83612">
        <w:t>šanai</w:t>
      </w:r>
      <w:r w:rsidR="00193A8B" w:rsidRPr="00A76A4C">
        <w:t>, t CO</w:t>
      </w:r>
      <w:r w:rsidR="00193A8B" w:rsidRPr="00A76A4C">
        <w:rPr>
          <w:vertAlign w:val="subscript"/>
        </w:rPr>
        <w:t>2</w:t>
      </w:r>
      <w:r w:rsidR="00193A8B" w:rsidRPr="00A76A4C">
        <w:t xml:space="preserve"> </w:t>
      </w:r>
      <w:proofErr w:type="spellStart"/>
      <w:r w:rsidR="00193A8B" w:rsidRPr="00A76A4C">
        <w:t>ekv</w:t>
      </w:r>
      <w:proofErr w:type="spellEnd"/>
      <w:r w:rsidR="00193A8B" w:rsidRPr="00A76A4C">
        <w:t>./gadā;</w:t>
      </w:r>
    </w:p>
    <w:p w14:paraId="5493C85C" w14:textId="4ACAB873" w:rsidR="00193A8B" w:rsidRPr="00A76A4C" w:rsidRDefault="002B0767" w:rsidP="00193A8B">
      <w:pPr>
        <w:pStyle w:val="tv213"/>
        <w:shd w:val="clear" w:color="auto" w:fill="FFFFFF"/>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Q</m:t>
            </m:r>
          </m:e>
          <m:sub>
            <m:r>
              <w:rPr>
                <w:rFonts w:ascii="Cambria Math" w:hAnsi="Cambria Math"/>
              </w:rPr>
              <m:t>sar.en.</m:t>
            </m:r>
          </m:sub>
        </m:sSub>
      </m:oMath>
      <w:r w:rsidR="00193A8B" w:rsidRPr="00A76A4C">
        <w:t xml:space="preserve"> – plānotais saražotais elektroenerģijas </w:t>
      </w:r>
      <w:r w:rsidR="00E630FD">
        <w:t>apjoms</w:t>
      </w:r>
      <w:r w:rsidR="00193A8B" w:rsidRPr="00A76A4C">
        <w:t xml:space="preserve"> pēc projekta īstenošanas</w:t>
      </w:r>
      <w:r w:rsidR="00E630FD">
        <w:t>,</w:t>
      </w:r>
      <w:r w:rsidR="00AC403F" w:rsidRPr="00AC403F">
        <w:t xml:space="preserve"> ievērojot nosacījumus </w:t>
      </w:r>
      <w:r w:rsidR="00746B3E" w:rsidRPr="00746B3E">
        <w:t xml:space="preserve">saražotās enerģijas izmantošanai </w:t>
      </w:r>
      <w:r w:rsidR="00AC403F" w:rsidRPr="00AC403F">
        <w:t>uzņēmuma pašpatēriņam</w:t>
      </w:r>
      <w:r w:rsidR="00AC403F">
        <w:t xml:space="preserve"> gada griezumā,</w:t>
      </w:r>
      <w:r w:rsidR="00193A8B" w:rsidRPr="00A76A4C">
        <w:t xml:space="preserve"> </w:t>
      </w:r>
      <w:proofErr w:type="spellStart"/>
      <w:r w:rsidR="00193A8B" w:rsidRPr="00A76A4C">
        <w:t>MWh</w:t>
      </w:r>
      <w:proofErr w:type="spellEnd"/>
      <w:r w:rsidR="00193A8B" w:rsidRPr="00A76A4C">
        <w:t>/gadā</w:t>
      </w:r>
      <w:r w:rsidR="00643582">
        <w:t>;</w:t>
      </w:r>
    </w:p>
    <w:p w14:paraId="5F1BC7AB" w14:textId="0EE515BA" w:rsidR="00193A8B" w:rsidRDefault="002B0767" w:rsidP="00A160A3">
      <w:pPr>
        <w:pStyle w:val="tv213"/>
        <w:shd w:val="clear" w:color="auto" w:fill="FFFFFF"/>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K</m:t>
            </m:r>
          </m:e>
          <m:sub>
            <m:r>
              <w:rPr>
                <w:rFonts w:ascii="Cambria Math" w:hAnsi="Cambria Math"/>
              </w:rPr>
              <m:t>tīkl</m:t>
            </m:r>
          </m:sub>
        </m:sSub>
      </m:oMath>
      <w:r w:rsidR="00193A8B" w:rsidRPr="00A76A4C">
        <w:t xml:space="preserve"> </w:t>
      </w:r>
      <w:r w:rsidR="00E57AF7">
        <w:t>–</w:t>
      </w:r>
      <w:r w:rsidR="00193A8B" w:rsidRPr="00A76A4C">
        <w:t xml:space="preserve"> CO</w:t>
      </w:r>
      <w:r w:rsidR="00193A8B" w:rsidRPr="00A76A4C">
        <w:rPr>
          <w:vertAlign w:val="subscript"/>
        </w:rPr>
        <w:t>2</w:t>
      </w:r>
      <w:r w:rsidR="00193A8B" w:rsidRPr="00A76A4C">
        <w:t xml:space="preserve"> emisijas faktors aizstātajai elektroenerģijai no tīkla</w:t>
      </w:r>
      <w:r w:rsidR="00D03D78">
        <w:rPr>
          <w:vertAlign w:val="superscript"/>
        </w:rPr>
        <w:t>3</w:t>
      </w:r>
      <w:r w:rsidR="00D03D78">
        <w:t xml:space="preserve">, </w:t>
      </w:r>
      <w:r w:rsidR="00D03D78" w:rsidRPr="00A76A4C">
        <w:t>t CO</w:t>
      </w:r>
      <w:r w:rsidR="00D03D78" w:rsidRPr="00A76A4C">
        <w:rPr>
          <w:vertAlign w:val="subscript"/>
        </w:rPr>
        <w:t>2</w:t>
      </w:r>
      <w:r w:rsidR="00D03D78" w:rsidRPr="00A76A4C">
        <w:t xml:space="preserve"> </w:t>
      </w:r>
      <w:proofErr w:type="spellStart"/>
      <w:r w:rsidR="00D03D78" w:rsidRPr="00A76A4C">
        <w:t>ekv</w:t>
      </w:r>
      <w:proofErr w:type="spellEnd"/>
      <w:r w:rsidR="00D03D78">
        <w:t>.</w:t>
      </w:r>
      <w:r w:rsidR="00D03D78" w:rsidRPr="00A76A4C">
        <w:t>/</w:t>
      </w:r>
      <w:proofErr w:type="spellStart"/>
      <w:r w:rsidR="00D03D78" w:rsidRPr="00A76A4C">
        <w:t>MWh</w:t>
      </w:r>
      <w:proofErr w:type="spellEnd"/>
    </w:p>
    <w:p w14:paraId="54D6F82C" w14:textId="77777777" w:rsidR="00CA27ED" w:rsidRPr="00411DB6" w:rsidRDefault="00CA27ED" w:rsidP="00590C2B">
      <w:pPr>
        <w:pStyle w:val="tv213"/>
        <w:shd w:val="clear" w:color="auto" w:fill="FFFFFF"/>
        <w:spacing w:before="0" w:beforeAutospacing="0" w:after="0" w:afterAutospacing="0" w:line="293" w:lineRule="atLeast"/>
        <w:jc w:val="both"/>
        <w:rPr>
          <w:sz w:val="16"/>
          <w:szCs w:val="16"/>
        </w:rPr>
      </w:pPr>
    </w:p>
    <w:p w14:paraId="47C7E1CF" w14:textId="269EF880" w:rsidR="00193A8B" w:rsidRPr="00A76A4C" w:rsidRDefault="00193A8B" w:rsidP="00193A8B">
      <w:pPr>
        <w:pStyle w:val="tv213"/>
        <w:numPr>
          <w:ilvl w:val="0"/>
          <w:numId w:val="26"/>
        </w:numPr>
        <w:shd w:val="clear" w:color="auto" w:fill="FFFFFF"/>
        <w:spacing w:before="0" w:beforeAutospacing="0" w:after="0" w:afterAutospacing="0" w:line="293" w:lineRule="atLeast"/>
        <w:jc w:val="both"/>
      </w:pPr>
      <w:r w:rsidRPr="00A76A4C">
        <w:t xml:space="preserve">Kopējo SEG </w:t>
      </w:r>
      <w:r w:rsidR="000A4FBA">
        <w:t xml:space="preserve">emisiju </w:t>
      </w:r>
      <w:r w:rsidRPr="00A76A4C">
        <w:t>samazinājumu gadā aprēķina, izmantojot šādu formulu:</w:t>
      </w:r>
    </w:p>
    <w:p w14:paraId="5A2E913F" w14:textId="77777777" w:rsidR="00193A8B" w:rsidRPr="00411DB6" w:rsidRDefault="00193A8B" w:rsidP="00193A8B">
      <w:pPr>
        <w:pStyle w:val="tv213"/>
        <w:shd w:val="clear" w:color="auto" w:fill="FFFFFF"/>
        <w:spacing w:before="0" w:beforeAutospacing="0" w:after="0" w:afterAutospacing="0" w:line="293" w:lineRule="atLeast"/>
        <w:ind w:firstLine="300"/>
        <w:jc w:val="both"/>
        <w:rPr>
          <w:sz w:val="16"/>
          <w:szCs w:val="16"/>
        </w:rPr>
      </w:pPr>
    </w:p>
    <w:p w14:paraId="47870FED" w14:textId="3C02AD9F" w:rsidR="00193A8B" w:rsidRPr="00A76A4C" w:rsidRDefault="002B0767" w:rsidP="00193A8B">
      <w:pPr>
        <w:pStyle w:val="tv213"/>
        <w:shd w:val="clear" w:color="auto" w:fill="FFFFFF"/>
        <w:spacing w:before="0" w:beforeAutospacing="0" w:after="0" w:afterAutospacing="0" w:line="293" w:lineRule="atLeast"/>
        <w:ind w:firstLine="300"/>
        <w:jc w:val="center"/>
        <w:rPr>
          <w:i/>
        </w:rPr>
      </w:pP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ūd.CO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aizst.CO</m:t>
                </m:r>
              </m:e>
              <m:sub>
                <m:r>
                  <w:rPr>
                    <w:rFonts w:ascii="Cambria Math" w:hAnsi="Cambria Math"/>
                  </w:rPr>
                  <m:t>2</m:t>
                </m:r>
              </m:sub>
            </m:sSub>
          </m:sub>
        </m:sSub>
      </m:oMath>
      <w:r w:rsidR="00193A8B" w:rsidRPr="00A76A4C">
        <w:rPr>
          <w:i/>
        </w:rPr>
        <w:t xml:space="preserve"> </w:t>
      </w:r>
      <w:r w:rsidR="00193A8B" w:rsidRPr="00A76A4C">
        <w:t>, kur</w:t>
      </w:r>
    </w:p>
    <w:p w14:paraId="237AE279" w14:textId="77777777" w:rsidR="00193A8B" w:rsidRPr="00411DB6" w:rsidRDefault="00193A8B" w:rsidP="00193A8B">
      <w:pPr>
        <w:pStyle w:val="tv213"/>
        <w:shd w:val="clear" w:color="auto" w:fill="FFFFFF"/>
        <w:spacing w:before="0" w:beforeAutospacing="0" w:after="0" w:afterAutospacing="0" w:line="293" w:lineRule="atLeast"/>
        <w:ind w:firstLine="300"/>
        <w:jc w:val="both"/>
        <w:rPr>
          <w:sz w:val="16"/>
          <w:szCs w:val="16"/>
        </w:rPr>
      </w:pPr>
    </w:p>
    <w:p w14:paraId="3C4EFA99" w14:textId="37BCFE06" w:rsidR="00193A8B" w:rsidRPr="00A76A4C" w:rsidRDefault="002B0767" w:rsidP="00193A8B">
      <w:pPr>
        <w:pStyle w:val="tv213"/>
        <w:shd w:val="clear" w:color="auto" w:fill="FFFFFF"/>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193A8B" w:rsidRPr="00A76A4C">
        <w:rPr>
          <w:i/>
        </w:rPr>
        <w:t xml:space="preserve"> </w:t>
      </w:r>
      <w:r w:rsidR="00E57AF7">
        <w:rPr>
          <w:i/>
        </w:rPr>
        <w:t>–</w:t>
      </w:r>
      <w:r w:rsidR="00193A8B" w:rsidRPr="00A76A4C">
        <w:rPr>
          <w:i/>
        </w:rPr>
        <w:t xml:space="preserve"> </w:t>
      </w:r>
      <w:r w:rsidR="00E57AF7">
        <w:t>k</w:t>
      </w:r>
      <w:r w:rsidR="00193A8B" w:rsidRPr="00A76A4C">
        <w:t xml:space="preserve">opējais SEG </w:t>
      </w:r>
      <w:r w:rsidR="000A4FBA">
        <w:t xml:space="preserve">emisiju </w:t>
      </w:r>
      <w:r w:rsidR="00193A8B" w:rsidRPr="00A76A4C">
        <w:t>samazinājum</w:t>
      </w:r>
      <w:r w:rsidR="00E150A8">
        <w:t>s</w:t>
      </w:r>
      <w:r w:rsidR="00193A8B" w:rsidRPr="00A76A4C">
        <w:t xml:space="preserve"> gadā, t CO</w:t>
      </w:r>
      <w:r w:rsidR="00193A8B" w:rsidRPr="00A76A4C">
        <w:rPr>
          <w:vertAlign w:val="subscript"/>
        </w:rPr>
        <w:t>2</w:t>
      </w:r>
      <w:r w:rsidR="00193A8B" w:rsidRPr="00A76A4C">
        <w:t xml:space="preserve"> </w:t>
      </w:r>
      <w:proofErr w:type="spellStart"/>
      <w:r w:rsidR="00193A8B" w:rsidRPr="00A76A4C">
        <w:t>ekv</w:t>
      </w:r>
      <w:proofErr w:type="spellEnd"/>
      <w:r w:rsidR="00193A8B" w:rsidRPr="00A76A4C">
        <w:t>./gadā;</w:t>
      </w:r>
    </w:p>
    <w:p w14:paraId="3CF093BA" w14:textId="299102BB" w:rsidR="00193A8B" w:rsidRPr="00A76A4C" w:rsidRDefault="002B0767" w:rsidP="00193A8B">
      <w:pPr>
        <w:pStyle w:val="tv213"/>
        <w:shd w:val="clear" w:color="auto" w:fill="FFFFFF"/>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m</m:t>
            </m:r>
          </m:e>
          <m:sub>
            <m:r>
              <w:rPr>
                <w:rFonts w:ascii="Cambria Math" w:hAnsi="Cambria Math"/>
              </w:rPr>
              <m:t>ūd.</m:t>
            </m:r>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193A8B" w:rsidRPr="00A76A4C">
        <w:rPr>
          <w:i/>
        </w:rPr>
        <w:t xml:space="preserve"> </w:t>
      </w:r>
      <w:r w:rsidR="00E57AF7">
        <w:rPr>
          <w:i/>
        </w:rPr>
        <w:t>–</w:t>
      </w:r>
      <w:r w:rsidR="00193A8B" w:rsidRPr="00A76A4C">
        <w:rPr>
          <w:i/>
        </w:rPr>
        <w:t xml:space="preserve"> </w:t>
      </w:r>
      <w:r w:rsidR="00193A8B" w:rsidRPr="00A76A4C">
        <w:t xml:space="preserve">SEG </w:t>
      </w:r>
      <w:r w:rsidR="00E150A8">
        <w:t xml:space="preserve">emisiju </w:t>
      </w:r>
      <w:r w:rsidR="00193A8B" w:rsidRPr="00A76A4C">
        <w:t xml:space="preserve">samazinājums gadā atbilstoši apstrādātajam notekūdeņu apjomam vai faktiskajam tīklā ievadītajam ūdens apjomam </w:t>
      </w:r>
      <w:r w:rsidR="00793AE3">
        <w:t xml:space="preserve">pakalpojumam, </w:t>
      </w:r>
      <w:r w:rsidR="00193A8B" w:rsidRPr="00A76A4C">
        <w:t xml:space="preserve">procesam </w:t>
      </w:r>
      <w:r w:rsidR="001E2F66">
        <w:t xml:space="preserve">vai </w:t>
      </w:r>
      <w:r w:rsidR="00193A8B" w:rsidRPr="00A76A4C">
        <w:t>iekārtai, t CO</w:t>
      </w:r>
      <w:r w:rsidR="00193A8B" w:rsidRPr="00A76A4C">
        <w:rPr>
          <w:vertAlign w:val="subscript"/>
        </w:rPr>
        <w:t>2</w:t>
      </w:r>
      <w:r w:rsidR="00193A8B" w:rsidRPr="00A76A4C">
        <w:t xml:space="preserve"> </w:t>
      </w:r>
      <w:proofErr w:type="spellStart"/>
      <w:r w:rsidR="00193A8B" w:rsidRPr="00A76A4C">
        <w:t>ekv</w:t>
      </w:r>
      <w:proofErr w:type="spellEnd"/>
      <w:r w:rsidR="00193A8B" w:rsidRPr="00A76A4C">
        <w:t>./gadā;</w:t>
      </w:r>
    </w:p>
    <w:p w14:paraId="74601FBB" w14:textId="2D734C0A" w:rsidR="00193A8B" w:rsidRPr="00A76A4C" w:rsidRDefault="002B0767" w:rsidP="00193A8B">
      <w:pPr>
        <w:pStyle w:val="tv213"/>
        <w:shd w:val="clear" w:color="auto" w:fill="FFFFFF"/>
        <w:spacing w:before="0" w:beforeAutospacing="0" w:after="0" w:afterAutospacing="0" w:line="293" w:lineRule="atLeast"/>
        <w:ind w:firstLine="300"/>
        <w:jc w:val="both"/>
        <w:rPr>
          <w:rFonts w:eastAsiaTheme="minorHAnsi"/>
          <w:lang w:eastAsia="en-US"/>
        </w:rPr>
      </w:pPr>
      <m:oMath>
        <m:sSub>
          <m:sSubPr>
            <m:ctrlPr>
              <w:rPr>
                <w:rFonts w:ascii="Cambria Math" w:hAnsi="Cambria Math"/>
                <w:i/>
              </w:rPr>
            </m:ctrlPr>
          </m:sSubPr>
          <m:e>
            <m:r>
              <w:rPr>
                <w:rFonts w:ascii="Cambria Math" w:hAnsi="Cambria Math"/>
              </w:rPr>
              <m:t>m</m:t>
            </m:r>
          </m:e>
          <m:sub>
            <m:r>
              <w:rPr>
                <w:rFonts w:ascii="Cambria Math" w:hAnsi="Cambria Math"/>
              </w:rPr>
              <m:t>aizst.</m:t>
            </m:r>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193A8B" w:rsidRPr="00A76A4C">
        <w:rPr>
          <w:i/>
        </w:rPr>
        <w:t xml:space="preserve"> </w:t>
      </w:r>
      <w:r w:rsidR="00E57AF7">
        <w:rPr>
          <w:i/>
        </w:rPr>
        <w:t>–</w:t>
      </w:r>
      <w:r w:rsidR="00193A8B" w:rsidRPr="00A76A4C">
        <w:rPr>
          <w:i/>
        </w:rPr>
        <w:t xml:space="preserve"> </w:t>
      </w:r>
      <w:r w:rsidR="00193A8B" w:rsidRPr="00A76A4C">
        <w:t xml:space="preserve">SEG </w:t>
      </w:r>
      <w:r w:rsidR="00E150A8">
        <w:t xml:space="preserve">emisiju </w:t>
      </w:r>
      <w:r w:rsidR="00193A8B" w:rsidRPr="00A76A4C">
        <w:t xml:space="preserve">samazinājums gadā, ja tiek uzstādītas atjaunojamo energoresursu </w:t>
      </w:r>
      <w:r w:rsidR="001E2F66">
        <w:t>iekārtas elektro</w:t>
      </w:r>
      <w:r w:rsidR="00193A8B" w:rsidRPr="00A76A4C">
        <w:t>enerģijas ražo</w:t>
      </w:r>
      <w:r w:rsidR="00BB764C">
        <w:t>šanai</w:t>
      </w:r>
      <w:r w:rsidR="00193A8B" w:rsidRPr="00A76A4C">
        <w:t>, t CO</w:t>
      </w:r>
      <w:r w:rsidR="00193A8B" w:rsidRPr="00A76A4C">
        <w:rPr>
          <w:vertAlign w:val="subscript"/>
        </w:rPr>
        <w:t>2</w:t>
      </w:r>
      <w:r w:rsidR="00193A8B" w:rsidRPr="00A76A4C">
        <w:t xml:space="preserve"> </w:t>
      </w:r>
      <w:proofErr w:type="spellStart"/>
      <w:r w:rsidR="00193A8B" w:rsidRPr="00A76A4C">
        <w:t>ekv</w:t>
      </w:r>
      <w:proofErr w:type="spellEnd"/>
      <w:r w:rsidR="00193A8B" w:rsidRPr="00A76A4C">
        <w:t>./gadā</w:t>
      </w:r>
      <w:r w:rsidR="00BB764C">
        <w:rPr>
          <w:rFonts w:eastAsiaTheme="minorHAnsi"/>
          <w:lang w:eastAsia="en-US"/>
        </w:rPr>
        <w:t>.</w:t>
      </w:r>
    </w:p>
    <w:p w14:paraId="3F19D74F" w14:textId="77777777" w:rsidR="00A160A3" w:rsidRPr="00605DBF" w:rsidRDefault="00A160A3" w:rsidP="00193A8B">
      <w:pPr>
        <w:spacing w:after="0"/>
        <w:jc w:val="both"/>
        <w:rPr>
          <w:rFonts w:eastAsia="Times New Roman"/>
          <w:sz w:val="18"/>
          <w:szCs w:val="18"/>
          <w:lang w:eastAsia="lv-LV"/>
        </w:rPr>
      </w:pPr>
    </w:p>
    <w:p w14:paraId="06DC43A5" w14:textId="29F603C3" w:rsidR="00FC74A2" w:rsidRDefault="00193A8B" w:rsidP="00193A8B">
      <w:pPr>
        <w:pStyle w:val="ListParagraph"/>
        <w:numPr>
          <w:ilvl w:val="0"/>
          <w:numId w:val="26"/>
        </w:numPr>
        <w:jc w:val="both"/>
        <w:rPr>
          <w:rFonts w:eastAsia="Times New Roman"/>
          <w:sz w:val="24"/>
          <w:szCs w:val="24"/>
          <w:lang w:val="lv-LV" w:eastAsia="lv-LV"/>
        </w:rPr>
      </w:pPr>
      <w:r w:rsidRPr="00A76A4C">
        <w:rPr>
          <w:rFonts w:eastAsia="Times New Roman"/>
          <w:sz w:val="24"/>
          <w:szCs w:val="24"/>
          <w:lang w:val="lv-LV" w:eastAsia="lv-LV"/>
        </w:rPr>
        <w:t xml:space="preserve">Metodiskajos norādījumos veiktie aprēķini iekļaujami vai pievienojami </w:t>
      </w:r>
      <w:r w:rsidR="006A039C" w:rsidRPr="00A76A4C">
        <w:rPr>
          <w:rFonts w:eastAsia="Times New Roman"/>
          <w:sz w:val="24"/>
          <w:szCs w:val="24"/>
          <w:lang w:val="lv-LV" w:eastAsia="lv-LV"/>
        </w:rPr>
        <w:t>ūdenssaimniecības</w:t>
      </w:r>
      <w:r w:rsidRPr="00A76A4C">
        <w:rPr>
          <w:rFonts w:eastAsia="Times New Roman"/>
          <w:sz w:val="24"/>
          <w:szCs w:val="24"/>
          <w:lang w:val="lv-LV" w:eastAsia="lv-LV"/>
        </w:rPr>
        <w:t xml:space="preserve"> uzņēmuma </w:t>
      </w:r>
      <w:proofErr w:type="spellStart"/>
      <w:r w:rsidRPr="00A76A4C">
        <w:rPr>
          <w:rFonts w:eastAsia="Times New Roman"/>
          <w:sz w:val="24"/>
          <w:szCs w:val="24"/>
          <w:lang w:val="lv-LV" w:eastAsia="lv-LV"/>
        </w:rPr>
        <w:t>energoaudita</w:t>
      </w:r>
      <w:proofErr w:type="spellEnd"/>
      <w:r w:rsidRPr="00A76A4C">
        <w:rPr>
          <w:rFonts w:eastAsia="Times New Roman"/>
          <w:sz w:val="24"/>
          <w:szCs w:val="24"/>
          <w:lang w:val="lv-LV" w:eastAsia="lv-LV"/>
        </w:rPr>
        <w:t xml:space="preserve"> pārskatā, vides pārvaldības sistēmas vai </w:t>
      </w:r>
      <w:proofErr w:type="spellStart"/>
      <w:r w:rsidRPr="00A76A4C">
        <w:rPr>
          <w:rFonts w:eastAsia="Times New Roman"/>
          <w:sz w:val="24"/>
          <w:szCs w:val="24"/>
          <w:lang w:val="lv-LV" w:eastAsia="lv-LV"/>
        </w:rPr>
        <w:t>energopārvaldības</w:t>
      </w:r>
      <w:proofErr w:type="spellEnd"/>
      <w:r w:rsidRPr="00A76A4C">
        <w:rPr>
          <w:rFonts w:eastAsia="Times New Roman"/>
          <w:sz w:val="24"/>
          <w:szCs w:val="24"/>
          <w:lang w:val="lv-LV" w:eastAsia="lv-LV"/>
        </w:rPr>
        <w:t xml:space="preserve"> sistēmas dokumentācijā. Papildus dokumentācijai jāiesniedz apliecinājums par apstrādāto notekūdeņu apjomu vai faktisko tīklā ievadīto ūdens apjomu </w:t>
      </w:r>
      <w:r w:rsidR="00CD281A">
        <w:rPr>
          <w:rFonts w:eastAsia="Times New Roman"/>
          <w:sz w:val="24"/>
          <w:szCs w:val="24"/>
          <w:lang w:val="lv-LV" w:eastAsia="lv-LV"/>
        </w:rPr>
        <w:t xml:space="preserve">pakalpojumam, </w:t>
      </w:r>
      <w:r w:rsidRPr="00A76A4C">
        <w:rPr>
          <w:rFonts w:eastAsia="Times New Roman"/>
          <w:sz w:val="24"/>
          <w:szCs w:val="24"/>
          <w:lang w:val="lv-LV" w:eastAsia="lv-LV"/>
        </w:rPr>
        <w:t xml:space="preserve">procesam </w:t>
      </w:r>
      <w:r w:rsidR="00334168">
        <w:rPr>
          <w:rFonts w:eastAsia="Times New Roman"/>
          <w:sz w:val="24"/>
          <w:szCs w:val="24"/>
          <w:lang w:val="lv-LV" w:eastAsia="lv-LV"/>
        </w:rPr>
        <w:t xml:space="preserve">vai </w:t>
      </w:r>
      <w:r w:rsidRPr="00A76A4C">
        <w:rPr>
          <w:rFonts w:eastAsia="Times New Roman"/>
          <w:sz w:val="24"/>
          <w:szCs w:val="24"/>
          <w:lang w:val="lv-LV" w:eastAsia="lv-LV"/>
        </w:rPr>
        <w:t>iekārtai pirms pasākuma īstenošanas un elektroenerģijas patēriņu pakalpojuma</w:t>
      </w:r>
      <w:r w:rsidR="00655378">
        <w:rPr>
          <w:rFonts w:eastAsia="Times New Roman"/>
          <w:sz w:val="24"/>
          <w:szCs w:val="24"/>
          <w:lang w:val="lv-LV" w:eastAsia="lv-LV"/>
        </w:rPr>
        <w:t>m</w:t>
      </w:r>
      <w:r w:rsidR="00CD281A">
        <w:rPr>
          <w:rFonts w:eastAsia="Times New Roman"/>
          <w:sz w:val="24"/>
          <w:szCs w:val="24"/>
          <w:lang w:val="lv-LV" w:eastAsia="lv-LV"/>
        </w:rPr>
        <w:t>,</w:t>
      </w:r>
      <w:r w:rsidRPr="00A76A4C">
        <w:rPr>
          <w:rFonts w:eastAsia="Times New Roman"/>
          <w:sz w:val="24"/>
          <w:szCs w:val="24"/>
          <w:lang w:val="lv-LV" w:eastAsia="lv-LV"/>
        </w:rPr>
        <w:t xml:space="preserve"> procesam vai iekārtai pirms pasākuma īstenošanas par trīs pēdējo gadu periodu.</w:t>
      </w:r>
    </w:p>
    <w:p w14:paraId="5DFB112D" w14:textId="77777777" w:rsidR="0074572C" w:rsidRDefault="0074572C" w:rsidP="0074572C">
      <w:pPr>
        <w:pStyle w:val="ListParagraph"/>
        <w:ind w:left="360"/>
        <w:jc w:val="both"/>
        <w:rPr>
          <w:rFonts w:eastAsia="Times New Roman"/>
          <w:sz w:val="24"/>
          <w:szCs w:val="24"/>
          <w:lang w:val="lv-LV" w:eastAsia="lv-LV"/>
        </w:rPr>
      </w:pPr>
    </w:p>
    <w:p w14:paraId="69E22305" w14:textId="5D12354D" w:rsidR="00DB407E" w:rsidRPr="0074572C" w:rsidRDefault="00926C8F" w:rsidP="00193A8B">
      <w:pPr>
        <w:pStyle w:val="ListParagraph"/>
        <w:numPr>
          <w:ilvl w:val="0"/>
          <w:numId w:val="26"/>
        </w:numPr>
        <w:jc w:val="both"/>
        <w:rPr>
          <w:rFonts w:eastAsia="Times New Roman"/>
          <w:sz w:val="24"/>
          <w:szCs w:val="24"/>
          <w:lang w:val="lv-LV" w:eastAsia="lv-LV"/>
        </w:rPr>
      </w:pPr>
      <w:r w:rsidRPr="0074572C">
        <w:rPr>
          <w:rFonts w:eastAsia="Times New Roman"/>
          <w:sz w:val="24"/>
          <w:szCs w:val="24"/>
          <w:lang w:val="lv-LV" w:eastAsia="lv-LV"/>
        </w:rPr>
        <w:lastRenderedPageBreak/>
        <w:t>Projekta iesnieguma veidlapā norādāmo plānoto</w:t>
      </w:r>
      <w:r w:rsidR="00FC74A2" w:rsidRPr="0074572C">
        <w:rPr>
          <w:rFonts w:eastAsia="Times New Roman"/>
          <w:sz w:val="24"/>
          <w:szCs w:val="24"/>
          <w:lang w:val="lv-LV" w:eastAsia="lv-LV"/>
        </w:rPr>
        <w:t xml:space="preserve"> Eiropas Reģionālās attīstības fonda finansējumu uz vienu ietaupīto ogļskābās gāzes emisijas ekvivalenta tonnu gadā </w:t>
      </w:r>
      <w:r w:rsidR="00DB407E" w:rsidRPr="0074572C">
        <w:rPr>
          <w:rFonts w:eastAsia="Times New Roman"/>
          <w:sz w:val="24"/>
          <w:szCs w:val="24"/>
          <w:lang w:val="lv-LV" w:eastAsia="lv-LV"/>
        </w:rPr>
        <w:t xml:space="preserve">aprēķina </w:t>
      </w:r>
      <w:r w:rsidRPr="0074572C">
        <w:rPr>
          <w:rFonts w:eastAsia="Times New Roman"/>
          <w:sz w:val="24"/>
          <w:szCs w:val="24"/>
          <w:lang w:val="lv-LV" w:eastAsia="lv-LV"/>
        </w:rPr>
        <w:t>atsevišķi</w:t>
      </w:r>
      <w:r w:rsidR="00DB407E" w:rsidRPr="0074572C">
        <w:rPr>
          <w:rFonts w:eastAsia="Times New Roman"/>
          <w:sz w:val="24"/>
          <w:szCs w:val="24"/>
          <w:lang w:val="lv-LV" w:eastAsia="lv-LV"/>
        </w:rPr>
        <w:t>:</w:t>
      </w:r>
    </w:p>
    <w:p w14:paraId="603504B0" w14:textId="4EE54F99" w:rsidR="00DB407E" w:rsidRPr="0016686B" w:rsidRDefault="00DB407E" w:rsidP="00DB407E">
      <w:pPr>
        <w:pStyle w:val="ListParagraph"/>
        <w:numPr>
          <w:ilvl w:val="1"/>
          <w:numId w:val="26"/>
        </w:numPr>
        <w:jc w:val="both"/>
        <w:rPr>
          <w:rFonts w:eastAsia="Times New Roman"/>
          <w:sz w:val="24"/>
          <w:szCs w:val="24"/>
          <w:lang w:val="lv-LV" w:eastAsia="lv-LV"/>
        </w:rPr>
      </w:pPr>
      <w:r w:rsidRPr="0074572C">
        <w:rPr>
          <w:rFonts w:eastAsia="Times New Roman"/>
          <w:sz w:val="24"/>
          <w:szCs w:val="24"/>
          <w:lang w:val="lv-LV" w:eastAsia="lv-LV"/>
        </w:rPr>
        <w:t>ūdensapgādes pakalpojum</w:t>
      </w:r>
      <w:r w:rsidR="00577B43" w:rsidRPr="0074572C">
        <w:rPr>
          <w:rFonts w:eastAsia="Times New Roman"/>
          <w:sz w:val="24"/>
          <w:szCs w:val="24"/>
          <w:lang w:val="lv-LV" w:eastAsia="lv-LV"/>
        </w:rPr>
        <w:t>ie</w:t>
      </w:r>
      <w:r w:rsidR="00384CC7" w:rsidRPr="0016686B">
        <w:rPr>
          <w:rFonts w:eastAsia="Times New Roman"/>
          <w:sz w:val="24"/>
          <w:szCs w:val="24"/>
          <w:lang w:val="lv-LV" w:eastAsia="lv-LV"/>
        </w:rPr>
        <w:t>m, ja projekta ietvaros plānotas darbības ūdensapgādes pakalpojum</w:t>
      </w:r>
      <w:r w:rsidR="0055689D" w:rsidRPr="0016686B">
        <w:rPr>
          <w:rFonts w:eastAsia="Times New Roman"/>
          <w:sz w:val="24"/>
          <w:szCs w:val="24"/>
          <w:lang w:val="lv-LV" w:eastAsia="lv-LV"/>
        </w:rPr>
        <w:t>u sniegšanai nepieciešamo tehnoloģisko procesu</w:t>
      </w:r>
      <w:r w:rsidR="00384CC7" w:rsidRPr="0016686B">
        <w:rPr>
          <w:rFonts w:eastAsia="Times New Roman"/>
          <w:sz w:val="24"/>
          <w:szCs w:val="24"/>
          <w:lang w:val="lv-LV" w:eastAsia="lv-LV"/>
        </w:rPr>
        <w:t xml:space="preserve"> </w:t>
      </w:r>
      <w:r w:rsidR="004E6AF8" w:rsidRPr="0016686B">
        <w:rPr>
          <w:rFonts w:eastAsia="Times New Roman"/>
          <w:sz w:val="24"/>
          <w:szCs w:val="24"/>
          <w:lang w:val="lv-LV" w:eastAsia="lv-LV"/>
        </w:rPr>
        <w:t>energo</w:t>
      </w:r>
      <w:r w:rsidR="00384CC7" w:rsidRPr="0016686B">
        <w:rPr>
          <w:rFonts w:eastAsia="Times New Roman"/>
          <w:sz w:val="24"/>
          <w:szCs w:val="24"/>
          <w:lang w:val="lv-LV" w:eastAsia="lv-LV"/>
        </w:rPr>
        <w:t>efektivitātes uzlabošanai</w:t>
      </w:r>
      <w:r w:rsidRPr="0016686B">
        <w:rPr>
          <w:rFonts w:eastAsia="Times New Roman"/>
          <w:sz w:val="24"/>
          <w:szCs w:val="24"/>
          <w:lang w:val="lv-LV" w:eastAsia="lv-LV"/>
        </w:rPr>
        <w:t>;</w:t>
      </w:r>
    </w:p>
    <w:p w14:paraId="462651D1" w14:textId="761B265C" w:rsidR="00DB407E" w:rsidRPr="0016686B" w:rsidRDefault="00DB407E" w:rsidP="00DB407E">
      <w:pPr>
        <w:pStyle w:val="ListParagraph"/>
        <w:numPr>
          <w:ilvl w:val="1"/>
          <w:numId w:val="26"/>
        </w:numPr>
        <w:jc w:val="both"/>
        <w:rPr>
          <w:rFonts w:eastAsia="Times New Roman"/>
          <w:sz w:val="24"/>
          <w:szCs w:val="24"/>
          <w:lang w:val="lv-LV" w:eastAsia="lv-LV"/>
        </w:rPr>
      </w:pPr>
      <w:r w:rsidRPr="0016686B">
        <w:rPr>
          <w:rFonts w:eastAsia="Times New Roman"/>
          <w:sz w:val="24"/>
          <w:szCs w:val="24"/>
          <w:lang w:val="lv-LV" w:eastAsia="lv-LV"/>
        </w:rPr>
        <w:t>kanalizācijas pakalpojum</w:t>
      </w:r>
      <w:r w:rsidR="00577B43" w:rsidRPr="0016686B">
        <w:rPr>
          <w:rFonts w:eastAsia="Times New Roman"/>
          <w:sz w:val="24"/>
          <w:szCs w:val="24"/>
          <w:lang w:val="lv-LV" w:eastAsia="lv-LV"/>
        </w:rPr>
        <w:t>ie</w:t>
      </w:r>
      <w:r w:rsidR="00384CC7" w:rsidRPr="0016686B">
        <w:rPr>
          <w:rFonts w:eastAsia="Times New Roman"/>
          <w:sz w:val="24"/>
          <w:szCs w:val="24"/>
          <w:lang w:val="lv-LV" w:eastAsia="lv-LV"/>
        </w:rPr>
        <w:t>m, ja projekta ietvaros plānotas darbības kanalizācijas pakalpojum</w:t>
      </w:r>
      <w:r w:rsidR="0055689D" w:rsidRPr="0016686B">
        <w:rPr>
          <w:rFonts w:eastAsia="Times New Roman"/>
          <w:sz w:val="24"/>
          <w:szCs w:val="24"/>
          <w:lang w:val="lv-LV" w:eastAsia="lv-LV"/>
        </w:rPr>
        <w:t>u sniegšanai nepieciešamo tehnoloģisko procesu</w:t>
      </w:r>
      <w:r w:rsidR="00384CC7" w:rsidRPr="0016686B">
        <w:rPr>
          <w:rFonts w:eastAsia="Times New Roman"/>
          <w:sz w:val="24"/>
          <w:szCs w:val="24"/>
          <w:lang w:val="lv-LV" w:eastAsia="lv-LV"/>
        </w:rPr>
        <w:t xml:space="preserve"> </w:t>
      </w:r>
      <w:r w:rsidR="004E6AF8" w:rsidRPr="0016686B">
        <w:rPr>
          <w:rFonts w:eastAsia="Times New Roman"/>
          <w:sz w:val="24"/>
          <w:szCs w:val="24"/>
          <w:lang w:val="lv-LV" w:eastAsia="lv-LV"/>
        </w:rPr>
        <w:t>energo</w:t>
      </w:r>
      <w:r w:rsidR="00384CC7" w:rsidRPr="0016686B">
        <w:rPr>
          <w:rFonts w:eastAsia="Times New Roman"/>
          <w:sz w:val="24"/>
          <w:szCs w:val="24"/>
          <w:lang w:val="lv-LV" w:eastAsia="lv-LV"/>
        </w:rPr>
        <w:t>efektivitātes uzlabošanai</w:t>
      </w:r>
      <w:r w:rsidRPr="0016686B">
        <w:rPr>
          <w:rFonts w:eastAsia="Times New Roman"/>
          <w:sz w:val="24"/>
          <w:szCs w:val="24"/>
          <w:lang w:val="lv-LV" w:eastAsia="lv-LV"/>
        </w:rPr>
        <w:t>;</w:t>
      </w:r>
    </w:p>
    <w:p w14:paraId="1C17DAFE" w14:textId="168C0F68" w:rsidR="00193A8B" w:rsidRPr="0074572C" w:rsidRDefault="00384CC7" w:rsidP="00DB407E">
      <w:pPr>
        <w:pStyle w:val="ListParagraph"/>
        <w:numPr>
          <w:ilvl w:val="1"/>
          <w:numId w:val="26"/>
        </w:numPr>
        <w:jc w:val="both"/>
        <w:rPr>
          <w:rFonts w:eastAsia="Times New Roman"/>
          <w:sz w:val="24"/>
          <w:szCs w:val="24"/>
          <w:lang w:val="lv-LV" w:eastAsia="lv-LV"/>
        </w:rPr>
      </w:pPr>
      <w:r w:rsidRPr="0016686B">
        <w:rPr>
          <w:rFonts w:eastAsia="Times New Roman"/>
          <w:sz w:val="24"/>
          <w:szCs w:val="24"/>
          <w:lang w:val="lv-LV" w:eastAsia="lv-LV"/>
        </w:rPr>
        <w:t xml:space="preserve">projekta ietvaros iekļautajai </w:t>
      </w:r>
      <w:r w:rsidR="00DB407E" w:rsidRPr="0016686B">
        <w:rPr>
          <w:rFonts w:eastAsia="Times New Roman"/>
          <w:sz w:val="24"/>
          <w:szCs w:val="24"/>
          <w:lang w:val="lv-LV" w:eastAsia="lv-LV"/>
        </w:rPr>
        <w:t xml:space="preserve">ūdenssaimniecības </w:t>
      </w:r>
      <w:r w:rsidR="00C11125" w:rsidRPr="0016686B">
        <w:rPr>
          <w:rFonts w:eastAsia="Times New Roman"/>
          <w:sz w:val="24"/>
          <w:szCs w:val="24"/>
          <w:lang w:val="lv-LV" w:eastAsia="lv-LV"/>
        </w:rPr>
        <w:t xml:space="preserve">pakalpojumu </w:t>
      </w:r>
      <w:r w:rsidRPr="0016686B">
        <w:rPr>
          <w:rFonts w:eastAsia="Times New Roman"/>
          <w:sz w:val="24"/>
          <w:szCs w:val="24"/>
          <w:lang w:val="lv-LV" w:eastAsia="lv-LV"/>
        </w:rPr>
        <w:t>sistēmai</w:t>
      </w:r>
      <w:r w:rsidR="00D32591" w:rsidRPr="0074572C">
        <w:rPr>
          <w:rStyle w:val="FootnoteReference"/>
          <w:rFonts w:eastAsia="Times New Roman"/>
          <w:sz w:val="24"/>
          <w:szCs w:val="24"/>
          <w:lang w:val="lv-LV" w:eastAsia="lv-LV"/>
        </w:rPr>
        <w:footnoteReference w:id="4"/>
      </w:r>
      <w:r w:rsidR="00DB407E" w:rsidRPr="0074572C">
        <w:rPr>
          <w:rFonts w:eastAsia="Times New Roman"/>
          <w:sz w:val="24"/>
          <w:szCs w:val="24"/>
          <w:lang w:val="lv-LV" w:eastAsia="lv-LV"/>
        </w:rPr>
        <w:t>.</w:t>
      </w:r>
    </w:p>
    <w:sectPr w:rsidR="00193A8B" w:rsidRPr="0074572C" w:rsidSect="004E4086">
      <w:pgSz w:w="11906" w:h="16838" w:code="9"/>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C370" w14:textId="77777777" w:rsidR="002B0767" w:rsidRDefault="002B0767" w:rsidP="000F79A4">
      <w:pPr>
        <w:spacing w:after="0" w:line="240" w:lineRule="auto"/>
      </w:pPr>
      <w:r>
        <w:separator/>
      </w:r>
    </w:p>
  </w:endnote>
  <w:endnote w:type="continuationSeparator" w:id="0">
    <w:p w14:paraId="67F4A136" w14:textId="77777777" w:rsidR="002B0767" w:rsidRDefault="002B0767" w:rsidP="000F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 JULIAN">
    <w:charset w:val="00"/>
    <w:family w:val="auto"/>
    <w:pitch w:val="variable"/>
    <w:sig w:usb0="8000002F" w:usb1="0000000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29A7" w14:textId="77777777" w:rsidR="002B0767" w:rsidRDefault="002B0767" w:rsidP="000F79A4">
      <w:pPr>
        <w:spacing w:after="0" w:line="240" w:lineRule="auto"/>
      </w:pPr>
      <w:r>
        <w:separator/>
      </w:r>
    </w:p>
  </w:footnote>
  <w:footnote w:type="continuationSeparator" w:id="0">
    <w:p w14:paraId="436FDEE0" w14:textId="77777777" w:rsidR="002B0767" w:rsidRDefault="002B0767" w:rsidP="000F79A4">
      <w:pPr>
        <w:spacing w:after="0" w:line="240" w:lineRule="auto"/>
      </w:pPr>
      <w:r>
        <w:continuationSeparator/>
      </w:r>
    </w:p>
  </w:footnote>
  <w:footnote w:id="1">
    <w:p w14:paraId="58FE987A" w14:textId="104A4C5C" w:rsidR="00193A8B" w:rsidRPr="00193A8B" w:rsidRDefault="00193A8B" w:rsidP="00193A8B">
      <w:pPr>
        <w:pStyle w:val="FootnoteText"/>
        <w:jc w:val="both"/>
        <w:rPr>
          <w:rFonts w:ascii="Times New Roman" w:hAnsi="Times New Roman" w:cs="Times New Roman"/>
        </w:rPr>
      </w:pPr>
      <w:r>
        <w:rPr>
          <w:rStyle w:val="FootnoteReference"/>
        </w:rPr>
        <w:footnoteRef/>
      </w:r>
      <w:r>
        <w:t xml:space="preserve"> </w:t>
      </w:r>
      <w:r w:rsidRPr="00193A8B">
        <w:rPr>
          <w:rFonts w:ascii="Times New Roman" w:hAnsi="Times New Roman" w:cs="Times New Roman"/>
        </w:rPr>
        <w:t xml:space="preserve">Darbības programmas </w:t>
      </w:r>
      <w:r w:rsidR="00675DEF">
        <w:rPr>
          <w:rFonts w:ascii="Times New Roman" w:hAnsi="Times New Roman" w:cs="Times New Roman"/>
        </w:rPr>
        <w:t>“</w:t>
      </w:r>
      <w:r w:rsidRPr="00193A8B">
        <w:rPr>
          <w:rFonts w:ascii="Times New Roman" w:hAnsi="Times New Roman" w:cs="Times New Roman"/>
        </w:rPr>
        <w:t>Izaugsme un nodarbinātība</w:t>
      </w:r>
      <w:r w:rsidR="00675DEF">
        <w:rPr>
          <w:rFonts w:ascii="Times New Roman" w:hAnsi="Times New Roman" w:cs="Times New Roman"/>
        </w:rPr>
        <w:t>”</w:t>
      </w:r>
      <w:r w:rsidRPr="00193A8B">
        <w:rPr>
          <w:rFonts w:ascii="Times New Roman" w:hAnsi="Times New Roman" w:cs="Times New Roman"/>
        </w:rPr>
        <w:t xml:space="preserve"> 13.1.3. specifiskā atbalsta mērķa </w:t>
      </w:r>
      <w:r w:rsidR="00675DEF">
        <w:rPr>
          <w:rFonts w:ascii="Times New Roman" w:hAnsi="Times New Roman" w:cs="Times New Roman"/>
        </w:rPr>
        <w:t>“</w:t>
      </w:r>
      <w:r w:rsidRPr="00193A8B">
        <w:rPr>
          <w:rFonts w:ascii="Times New Roman" w:hAnsi="Times New Roman" w:cs="Times New Roman"/>
        </w:rPr>
        <w:t>Atveseļošanas pasākumi vides un reģionālās attīstības jomā</w:t>
      </w:r>
      <w:r w:rsidR="00675DEF">
        <w:rPr>
          <w:rFonts w:ascii="Times New Roman" w:hAnsi="Times New Roman" w:cs="Times New Roman"/>
        </w:rPr>
        <w:t>”</w:t>
      </w:r>
      <w:r w:rsidRPr="00193A8B">
        <w:rPr>
          <w:rFonts w:ascii="Times New Roman" w:hAnsi="Times New Roman" w:cs="Times New Roman"/>
        </w:rPr>
        <w:t xml:space="preserve"> 13.1.3.1. pasākums “Energoefektivitātes paaugstināšana pašvaldību infrastruktūrā ekonomiskās situācijas uzlabošanai” (4.2.2. specifiskā atbalsta mērķa </w:t>
      </w:r>
      <w:r w:rsidR="00675DEF">
        <w:rPr>
          <w:rFonts w:ascii="Times New Roman" w:hAnsi="Times New Roman" w:cs="Times New Roman"/>
        </w:rPr>
        <w:t>“</w:t>
      </w:r>
      <w:r w:rsidRPr="00193A8B">
        <w:rPr>
          <w:rFonts w:ascii="Times New Roman" w:hAnsi="Times New Roman" w:cs="Times New Roman"/>
        </w:rPr>
        <w:t>Atbilstoši pašvaldības integrētajām attīstības programmām sekmēt energoefektivitātes paaugstināšanu un atjaunojamo energoresursu izmantošanu pašvaldību infrastruktūrā</w:t>
      </w:r>
      <w:r w:rsidR="00675DEF">
        <w:rPr>
          <w:rFonts w:ascii="Times New Roman" w:hAnsi="Times New Roman" w:cs="Times New Roman"/>
        </w:rPr>
        <w:t>”</w:t>
      </w:r>
      <w:r w:rsidRPr="00193A8B">
        <w:rPr>
          <w:rFonts w:ascii="Times New Roman" w:hAnsi="Times New Roman" w:cs="Times New Roman"/>
        </w:rPr>
        <w:t xml:space="preserve"> turpinājums).</w:t>
      </w:r>
    </w:p>
  </w:footnote>
  <w:footnote w:id="2">
    <w:p w14:paraId="3A2C6B9E" w14:textId="14EB5F33" w:rsidR="00193A8B" w:rsidRPr="00193A8B" w:rsidRDefault="00193A8B" w:rsidP="00193A8B">
      <w:pPr>
        <w:pStyle w:val="FootnoteText"/>
        <w:jc w:val="both"/>
        <w:rPr>
          <w:rFonts w:ascii="Times New Roman" w:hAnsi="Times New Roman" w:cs="Times New Roman"/>
        </w:rPr>
      </w:pPr>
      <w:r w:rsidRPr="00193A8B">
        <w:rPr>
          <w:rStyle w:val="FootnoteReference"/>
          <w:rFonts w:ascii="Times New Roman" w:hAnsi="Times New Roman" w:cs="Times New Roman"/>
        </w:rPr>
        <w:footnoteRef/>
      </w:r>
      <w:r w:rsidRPr="00193A8B">
        <w:rPr>
          <w:rFonts w:ascii="Times New Roman" w:hAnsi="Times New Roman" w:cs="Times New Roman"/>
        </w:rPr>
        <w:t xml:space="preserve"> Tiek piemēroti, ja ieguldījumi plānoti sabiedrisko ūdenssaimniecības pakalpojumu sniedzēju infrastruktūrā atbilstoši 2016. gada 8. marta Ministru kabineta noteikumu Nr. 152 “Darbības programmas </w:t>
      </w:r>
      <w:r w:rsidR="00675DEF">
        <w:rPr>
          <w:rFonts w:ascii="Times New Roman" w:hAnsi="Times New Roman" w:cs="Times New Roman"/>
        </w:rPr>
        <w:t>“</w:t>
      </w:r>
      <w:r w:rsidRPr="00193A8B">
        <w:rPr>
          <w:rFonts w:ascii="Times New Roman" w:hAnsi="Times New Roman" w:cs="Times New Roman"/>
        </w:rPr>
        <w:t>Izaugsme un nodarbinātība</w:t>
      </w:r>
      <w:r w:rsidR="00675DEF">
        <w:rPr>
          <w:rFonts w:ascii="Times New Roman" w:hAnsi="Times New Roman" w:cs="Times New Roman"/>
        </w:rPr>
        <w:t>”</w:t>
      </w:r>
      <w:r w:rsidRPr="00193A8B">
        <w:rPr>
          <w:rFonts w:ascii="Times New Roman" w:hAnsi="Times New Roman" w:cs="Times New Roman"/>
        </w:rPr>
        <w:t xml:space="preserve"> 4.2.2. specifiskā atbalsta mērķa </w:t>
      </w:r>
      <w:r w:rsidR="00675DEF">
        <w:rPr>
          <w:rFonts w:ascii="Times New Roman" w:hAnsi="Times New Roman" w:cs="Times New Roman"/>
        </w:rPr>
        <w:t>“</w:t>
      </w:r>
      <w:r w:rsidRPr="00193A8B">
        <w:rPr>
          <w:rFonts w:ascii="Times New Roman" w:hAnsi="Times New Roman" w:cs="Times New Roman"/>
        </w:rPr>
        <w:t>Atbilstoši pašvaldības integrētajām attīstības programmām sekmēt energoefektivitātes paaugstināšanu un atjaunojamo energoresursu izmantošanu pašvaldību ēkās</w:t>
      </w:r>
      <w:r w:rsidR="00675DEF">
        <w:rPr>
          <w:rFonts w:ascii="Times New Roman" w:hAnsi="Times New Roman" w:cs="Times New Roman"/>
        </w:rPr>
        <w:t>”</w:t>
      </w:r>
      <w:r w:rsidRPr="00193A8B">
        <w:rPr>
          <w:rFonts w:ascii="Times New Roman" w:hAnsi="Times New Roman" w:cs="Times New Roman"/>
        </w:rPr>
        <w:t xml:space="preserve"> un 13.1.3. specifiskā atbalsta mērķa </w:t>
      </w:r>
      <w:r w:rsidR="00675DEF">
        <w:rPr>
          <w:rFonts w:ascii="Times New Roman" w:hAnsi="Times New Roman" w:cs="Times New Roman"/>
        </w:rPr>
        <w:t>“</w:t>
      </w:r>
      <w:r w:rsidRPr="00193A8B">
        <w:rPr>
          <w:rFonts w:ascii="Times New Roman" w:hAnsi="Times New Roman" w:cs="Times New Roman"/>
        </w:rPr>
        <w:t>Atveseļošanas pasākumi vides un reģionālās attīstības jomā</w:t>
      </w:r>
      <w:r w:rsidR="00675DEF">
        <w:rPr>
          <w:rFonts w:ascii="Times New Roman" w:hAnsi="Times New Roman" w:cs="Times New Roman"/>
        </w:rPr>
        <w:t>”</w:t>
      </w:r>
      <w:r w:rsidRPr="00193A8B">
        <w:rPr>
          <w:rFonts w:ascii="Times New Roman" w:hAnsi="Times New Roman" w:cs="Times New Roman"/>
        </w:rPr>
        <w:t xml:space="preserve"> 13.1.3.1. pasākuma </w:t>
      </w:r>
      <w:r w:rsidR="00675DEF">
        <w:rPr>
          <w:rFonts w:ascii="Times New Roman" w:hAnsi="Times New Roman" w:cs="Times New Roman"/>
        </w:rPr>
        <w:t>“</w:t>
      </w:r>
      <w:r w:rsidRPr="00193A8B">
        <w:rPr>
          <w:rFonts w:ascii="Times New Roman" w:hAnsi="Times New Roman" w:cs="Times New Roman"/>
        </w:rPr>
        <w:t>Energoefektivitātes paaugstināšana pašvaldību infrastruktūrā ekonomiskās situācijas uzlabošanai</w:t>
      </w:r>
      <w:r w:rsidR="00675DEF">
        <w:rPr>
          <w:rFonts w:ascii="Times New Roman" w:hAnsi="Times New Roman" w:cs="Times New Roman"/>
        </w:rPr>
        <w:t>”</w:t>
      </w:r>
      <w:r w:rsidRPr="00193A8B">
        <w:rPr>
          <w:rFonts w:ascii="Times New Roman" w:hAnsi="Times New Roman" w:cs="Times New Roman"/>
        </w:rPr>
        <w:t xml:space="preserve"> īstenošanas noteikumi” 41.3.</w:t>
      </w:r>
      <w:r w:rsidRPr="00193A8B">
        <w:rPr>
          <w:rFonts w:ascii="Times New Roman" w:hAnsi="Times New Roman" w:cs="Times New Roman"/>
          <w:vertAlign w:val="superscript"/>
        </w:rPr>
        <w:t>1</w:t>
      </w:r>
      <w:r w:rsidRPr="00193A8B">
        <w:rPr>
          <w:rFonts w:ascii="Times New Roman" w:hAnsi="Times New Roman" w:cs="Times New Roman"/>
        </w:rPr>
        <w:t xml:space="preserve"> apakšpunktam.</w:t>
      </w:r>
    </w:p>
  </w:footnote>
  <w:footnote w:id="3">
    <w:p w14:paraId="55296A6F" w14:textId="207E0D91" w:rsidR="00193A8B" w:rsidRPr="002D4C55" w:rsidRDefault="00193A8B" w:rsidP="00193A8B">
      <w:pPr>
        <w:pStyle w:val="FootnoteText"/>
        <w:rPr>
          <w:rFonts w:ascii="Times New Roman" w:hAnsi="Times New Roman" w:cs="Times New Roman"/>
        </w:rPr>
      </w:pPr>
      <w:r w:rsidRPr="002D4C55">
        <w:rPr>
          <w:rStyle w:val="FootnoteReference"/>
          <w:rFonts w:ascii="Times New Roman" w:hAnsi="Times New Roman" w:cs="Times New Roman"/>
        </w:rPr>
        <w:footnoteRef/>
      </w:r>
      <w:r w:rsidRPr="002D4C55">
        <w:rPr>
          <w:rFonts w:ascii="Times New Roman" w:hAnsi="Times New Roman" w:cs="Times New Roman"/>
        </w:rPr>
        <w:t xml:space="preserve"> Saskaņā ar 2021. gada 8. aprīļa Ministru kabineta noteikumiem Nr.</w:t>
      </w:r>
      <w:r w:rsidR="001E2F66">
        <w:rPr>
          <w:rFonts w:ascii="Times New Roman" w:hAnsi="Times New Roman" w:cs="Times New Roman"/>
        </w:rPr>
        <w:t xml:space="preserve"> </w:t>
      </w:r>
      <w:r w:rsidRPr="002D4C55">
        <w:rPr>
          <w:rFonts w:ascii="Times New Roman" w:hAnsi="Times New Roman" w:cs="Times New Roman"/>
        </w:rPr>
        <w:t xml:space="preserve">222 “Ēku energoefektivitātes aprēķina metodes un ēku </w:t>
      </w:r>
      <w:proofErr w:type="spellStart"/>
      <w:r w:rsidRPr="002D4C55">
        <w:rPr>
          <w:rFonts w:ascii="Times New Roman" w:hAnsi="Times New Roman" w:cs="Times New Roman"/>
        </w:rPr>
        <w:t>energosertifikācijas</w:t>
      </w:r>
      <w:proofErr w:type="spellEnd"/>
      <w:r w:rsidRPr="002D4C55">
        <w:rPr>
          <w:rFonts w:ascii="Times New Roman" w:hAnsi="Times New Roman" w:cs="Times New Roman"/>
        </w:rPr>
        <w:t xml:space="preserve"> noteikumi”.</w:t>
      </w:r>
    </w:p>
  </w:footnote>
  <w:footnote w:id="4">
    <w:p w14:paraId="08B4D94E" w14:textId="5522AF25" w:rsidR="00D32591" w:rsidRPr="00CA002A" w:rsidRDefault="00D32591" w:rsidP="00C31580">
      <w:pPr>
        <w:pStyle w:val="FootnoteText"/>
        <w:jc w:val="both"/>
        <w:rPr>
          <w:rFonts w:ascii="Times New Roman" w:hAnsi="Times New Roman" w:cs="Times New Roman"/>
        </w:rPr>
      </w:pPr>
      <w:r w:rsidRPr="00CA002A">
        <w:rPr>
          <w:rStyle w:val="FootnoteReference"/>
          <w:rFonts w:ascii="Times New Roman" w:hAnsi="Times New Roman" w:cs="Times New Roman"/>
        </w:rPr>
        <w:footnoteRef/>
      </w:r>
      <w:r w:rsidRPr="00CA002A">
        <w:rPr>
          <w:rFonts w:ascii="Times New Roman" w:hAnsi="Times New Roman" w:cs="Times New Roman"/>
        </w:rPr>
        <w:t xml:space="preserve"> </w:t>
      </w:r>
      <w:r w:rsidR="00B561C2" w:rsidRPr="00CA002A">
        <w:rPr>
          <w:rFonts w:ascii="Times New Roman" w:hAnsi="Times New Roman" w:cs="Times New Roman"/>
        </w:rPr>
        <w:t>P</w:t>
      </w:r>
      <w:r w:rsidRPr="00CA002A">
        <w:rPr>
          <w:rFonts w:ascii="Times New Roman" w:hAnsi="Times New Roman" w:cs="Times New Roman"/>
        </w:rPr>
        <w:t>ar vienu ūdenssaimniecības pakalpojumu sistēmu pakalpoju</w:t>
      </w:r>
      <w:r w:rsidR="00846AA9" w:rsidRPr="00CA002A">
        <w:rPr>
          <w:rFonts w:ascii="Times New Roman" w:hAnsi="Times New Roman" w:cs="Times New Roman"/>
        </w:rPr>
        <w:t>mu</w:t>
      </w:r>
      <w:r w:rsidRPr="00CA002A">
        <w:rPr>
          <w:rFonts w:ascii="Times New Roman" w:hAnsi="Times New Roman" w:cs="Times New Roman"/>
        </w:rPr>
        <w:t xml:space="preserve"> sniegšanas zonas robežās var iesniegt vienu projekta iesniegumu, kurā var iekļaut energoefektivitātes uzlabošanas pasākumus gan viena (ūdensapgāde</w:t>
      </w:r>
      <w:r w:rsidR="008D784A" w:rsidRPr="00CA002A">
        <w:rPr>
          <w:rFonts w:ascii="Times New Roman" w:hAnsi="Times New Roman" w:cs="Times New Roman"/>
        </w:rPr>
        <w:t>s</w:t>
      </w:r>
      <w:r w:rsidRPr="00CA002A">
        <w:rPr>
          <w:rFonts w:ascii="Times New Roman" w:hAnsi="Times New Roman" w:cs="Times New Roman"/>
        </w:rPr>
        <w:t xml:space="preserve"> vai kanalizācija</w:t>
      </w:r>
      <w:r w:rsidR="008D784A" w:rsidRPr="00CA002A">
        <w:rPr>
          <w:rFonts w:ascii="Times New Roman" w:hAnsi="Times New Roman" w:cs="Times New Roman"/>
        </w:rPr>
        <w:t>s</w:t>
      </w:r>
      <w:r w:rsidRPr="00CA002A">
        <w:rPr>
          <w:rFonts w:ascii="Times New Roman" w:hAnsi="Times New Roman" w:cs="Times New Roman"/>
        </w:rPr>
        <w:t>), gan abu</w:t>
      </w:r>
      <w:r w:rsidR="00846AA9" w:rsidRPr="00CA002A">
        <w:rPr>
          <w:rFonts w:ascii="Times New Roman" w:hAnsi="Times New Roman" w:cs="Times New Roman"/>
        </w:rPr>
        <w:t xml:space="preserve"> </w:t>
      </w:r>
      <w:r w:rsidRPr="00CA002A">
        <w:rPr>
          <w:rFonts w:ascii="Times New Roman" w:hAnsi="Times New Roman" w:cs="Times New Roman"/>
        </w:rPr>
        <w:t>pakalpojumu tehnoloģiskajos procesos.</w:t>
      </w:r>
      <w:r w:rsidR="00EE016C" w:rsidRPr="00CA002A">
        <w:rPr>
          <w:rFonts w:ascii="Times New Roman" w:hAnsi="Times New Roman" w:cs="Times New Roman"/>
        </w:rPr>
        <w:t xml:space="preserve"> </w:t>
      </w:r>
      <w:r w:rsidR="00847617" w:rsidRPr="00CA002A">
        <w:rPr>
          <w:rFonts w:ascii="Times New Roman" w:hAnsi="Times New Roman" w:cs="Times New Roman"/>
        </w:rPr>
        <w:t>Atbilstoši m</w:t>
      </w:r>
      <w:r w:rsidR="00023E0C" w:rsidRPr="00CA002A">
        <w:rPr>
          <w:rFonts w:ascii="Times New Roman" w:hAnsi="Times New Roman" w:cs="Times New Roman"/>
        </w:rPr>
        <w:t>etodikas 10.3 apakšpunktā</w:t>
      </w:r>
      <w:r w:rsidR="00EE016C" w:rsidRPr="00CA002A">
        <w:rPr>
          <w:rFonts w:ascii="Times New Roman" w:hAnsi="Times New Roman" w:cs="Times New Roman"/>
        </w:rPr>
        <w:t xml:space="preserve"> </w:t>
      </w:r>
      <w:r w:rsidR="00847617" w:rsidRPr="00CA002A">
        <w:rPr>
          <w:rFonts w:ascii="Times New Roman" w:hAnsi="Times New Roman" w:cs="Times New Roman"/>
        </w:rPr>
        <w:t xml:space="preserve">noteiktajam </w:t>
      </w:r>
      <w:r w:rsidR="00C31580" w:rsidRPr="00CA002A">
        <w:rPr>
          <w:rFonts w:ascii="Times New Roman" w:hAnsi="Times New Roman" w:cs="Times New Roman"/>
        </w:rPr>
        <w:t>aprēķināms</w:t>
      </w:r>
      <w:r w:rsidR="00EE016C" w:rsidRPr="00CA002A">
        <w:rPr>
          <w:rFonts w:ascii="Times New Roman" w:hAnsi="Times New Roman" w:cs="Times New Roman"/>
        </w:rPr>
        <w:t xml:space="preserve"> projekta kopējais Eiropas Reģionālās attīstības fonda finansējuma uz vienu ietaupīto ogļskābās gāzes emisijas ekvivalenta tonnu gadā rādītājs</w:t>
      </w:r>
      <w:r w:rsidR="00C84EFE" w:rsidRPr="00CA002A">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9A2"/>
    <w:multiLevelType w:val="hybridMultilevel"/>
    <w:tmpl w:val="C5085AC4"/>
    <w:lvl w:ilvl="0" w:tplc="74E4B05A">
      <w:start w:val="1"/>
      <w:numFmt w:val="bullet"/>
      <w:lvlText w:val="-"/>
      <w:lvlJc w:val="left"/>
      <w:pPr>
        <w:ind w:left="720" w:hanging="360"/>
      </w:pPr>
      <w:rPr>
        <w:rFonts w:ascii="AR JULIAN" w:hAnsi="AR JUL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E63FA"/>
    <w:multiLevelType w:val="hybridMultilevel"/>
    <w:tmpl w:val="83863558"/>
    <w:lvl w:ilvl="0" w:tplc="E1BEB6FE">
      <w:start w:val="1"/>
      <w:numFmt w:val="bullet"/>
      <w:lvlText w:val="-"/>
      <w:lvlJc w:val="left"/>
      <w:pPr>
        <w:ind w:left="720" w:hanging="360"/>
      </w:pPr>
      <w:rPr>
        <w:rFonts w:ascii="Andalus" w:hAnsi="Andalu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57061"/>
    <w:multiLevelType w:val="hybridMultilevel"/>
    <w:tmpl w:val="36D2739E"/>
    <w:lvl w:ilvl="0" w:tplc="E1BEB6FE">
      <w:start w:val="1"/>
      <w:numFmt w:val="bullet"/>
      <w:lvlText w:val="-"/>
      <w:lvlJc w:val="left"/>
      <w:pPr>
        <w:ind w:left="720" w:hanging="360"/>
      </w:pPr>
      <w:rPr>
        <w:rFonts w:ascii="Andalus" w:hAnsi="Andalu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02751"/>
    <w:multiLevelType w:val="hybridMultilevel"/>
    <w:tmpl w:val="1C6CC34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07CC4419"/>
    <w:multiLevelType w:val="hybridMultilevel"/>
    <w:tmpl w:val="870A1C5A"/>
    <w:lvl w:ilvl="0" w:tplc="E1BEB6FE">
      <w:start w:val="1"/>
      <w:numFmt w:val="bullet"/>
      <w:lvlText w:val="-"/>
      <w:lvlJc w:val="left"/>
      <w:pPr>
        <w:ind w:left="720" w:hanging="360"/>
      </w:pPr>
      <w:rPr>
        <w:rFonts w:ascii="Andalus" w:hAnsi="Andalu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356A5"/>
    <w:multiLevelType w:val="hybridMultilevel"/>
    <w:tmpl w:val="E5D8437A"/>
    <w:lvl w:ilvl="0" w:tplc="0D34E7A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35660"/>
    <w:multiLevelType w:val="hybridMultilevel"/>
    <w:tmpl w:val="D2D853D8"/>
    <w:lvl w:ilvl="0" w:tplc="E1BEB6FE">
      <w:start w:val="1"/>
      <w:numFmt w:val="bullet"/>
      <w:lvlText w:val="-"/>
      <w:lvlJc w:val="left"/>
      <w:pPr>
        <w:ind w:left="720" w:hanging="360"/>
      </w:pPr>
      <w:rPr>
        <w:rFonts w:ascii="Andalus" w:hAnsi="Andalu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4253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1E3A47"/>
    <w:multiLevelType w:val="hybridMultilevel"/>
    <w:tmpl w:val="0AC21B24"/>
    <w:lvl w:ilvl="0" w:tplc="E1BEB6FE">
      <w:start w:val="1"/>
      <w:numFmt w:val="bullet"/>
      <w:lvlText w:val="-"/>
      <w:lvlJc w:val="left"/>
      <w:pPr>
        <w:ind w:left="720" w:hanging="360"/>
      </w:pPr>
      <w:rPr>
        <w:rFonts w:ascii="Andalus" w:hAnsi="Andalu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9717C"/>
    <w:multiLevelType w:val="hybridMultilevel"/>
    <w:tmpl w:val="57FA6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F57"/>
    <w:multiLevelType w:val="hybridMultilevel"/>
    <w:tmpl w:val="18F034CE"/>
    <w:lvl w:ilvl="0" w:tplc="E1BEB6FE">
      <w:start w:val="1"/>
      <w:numFmt w:val="bullet"/>
      <w:lvlText w:val="-"/>
      <w:lvlJc w:val="left"/>
      <w:pPr>
        <w:ind w:left="720" w:hanging="360"/>
      </w:pPr>
      <w:rPr>
        <w:rFonts w:ascii="Andalus" w:hAnsi="Andalus" w:hint="default"/>
      </w:rPr>
    </w:lvl>
    <w:lvl w:ilvl="1" w:tplc="E1BEB6FE">
      <w:start w:val="1"/>
      <w:numFmt w:val="bullet"/>
      <w:lvlText w:val="-"/>
      <w:lvlJc w:val="left"/>
      <w:pPr>
        <w:ind w:left="1800" w:hanging="720"/>
      </w:pPr>
      <w:rPr>
        <w:rFonts w:ascii="Andalus" w:hAnsi="Andalu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92C11"/>
    <w:multiLevelType w:val="hybridMultilevel"/>
    <w:tmpl w:val="391686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82344F"/>
    <w:multiLevelType w:val="hybridMultilevel"/>
    <w:tmpl w:val="E760CA8A"/>
    <w:lvl w:ilvl="0" w:tplc="E1BEB6FE">
      <w:start w:val="1"/>
      <w:numFmt w:val="bullet"/>
      <w:lvlText w:val="-"/>
      <w:lvlJc w:val="left"/>
      <w:pPr>
        <w:ind w:left="720" w:hanging="360"/>
      </w:pPr>
      <w:rPr>
        <w:rFonts w:ascii="Andalus" w:hAnsi="Andalu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5186F"/>
    <w:multiLevelType w:val="hybridMultilevel"/>
    <w:tmpl w:val="44FC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E3631"/>
    <w:multiLevelType w:val="hybridMultilevel"/>
    <w:tmpl w:val="4A2E176C"/>
    <w:lvl w:ilvl="0" w:tplc="E1BEB6FE">
      <w:start w:val="1"/>
      <w:numFmt w:val="bullet"/>
      <w:lvlText w:val="-"/>
      <w:lvlJc w:val="left"/>
      <w:pPr>
        <w:ind w:left="720" w:hanging="360"/>
      </w:pPr>
      <w:rPr>
        <w:rFonts w:ascii="Andalus" w:hAnsi="Andalu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2102D"/>
    <w:multiLevelType w:val="hybridMultilevel"/>
    <w:tmpl w:val="13DE89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C311C3"/>
    <w:multiLevelType w:val="hybridMultilevel"/>
    <w:tmpl w:val="44A0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02948"/>
    <w:multiLevelType w:val="hybridMultilevel"/>
    <w:tmpl w:val="81DC757C"/>
    <w:lvl w:ilvl="0" w:tplc="E1BEB6FE">
      <w:start w:val="1"/>
      <w:numFmt w:val="bullet"/>
      <w:lvlText w:val="-"/>
      <w:lvlJc w:val="left"/>
      <w:pPr>
        <w:ind w:left="720" w:hanging="360"/>
      </w:pPr>
      <w:rPr>
        <w:rFonts w:ascii="Andalus" w:hAnsi="Andalus" w:hint="default"/>
      </w:rPr>
    </w:lvl>
    <w:lvl w:ilvl="1" w:tplc="7A5476E4">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17025"/>
    <w:multiLevelType w:val="hybridMultilevel"/>
    <w:tmpl w:val="018A4534"/>
    <w:lvl w:ilvl="0" w:tplc="E1BEB6FE">
      <w:start w:val="1"/>
      <w:numFmt w:val="bullet"/>
      <w:lvlText w:val="-"/>
      <w:lvlJc w:val="left"/>
      <w:pPr>
        <w:ind w:left="720" w:hanging="360"/>
      </w:pPr>
      <w:rPr>
        <w:rFonts w:ascii="Andalus" w:hAnsi="Andalu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93298"/>
    <w:multiLevelType w:val="hybridMultilevel"/>
    <w:tmpl w:val="7B0276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654C14"/>
    <w:multiLevelType w:val="hybridMultilevel"/>
    <w:tmpl w:val="D272D73C"/>
    <w:lvl w:ilvl="0" w:tplc="E1BEB6FE">
      <w:start w:val="1"/>
      <w:numFmt w:val="bullet"/>
      <w:lvlText w:val="-"/>
      <w:lvlJc w:val="left"/>
      <w:pPr>
        <w:ind w:left="754" w:hanging="360"/>
      </w:pPr>
      <w:rPr>
        <w:rFonts w:ascii="Andalus" w:hAnsi="Andalu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78D95D20"/>
    <w:multiLevelType w:val="hybridMultilevel"/>
    <w:tmpl w:val="4B5EA8CE"/>
    <w:lvl w:ilvl="0" w:tplc="A6C2E7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A4C0B96"/>
    <w:multiLevelType w:val="hybridMultilevel"/>
    <w:tmpl w:val="5D143272"/>
    <w:lvl w:ilvl="0" w:tplc="E1BEB6FE">
      <w:start w:val="1"/>
      <w:numFmt w:val="bullet"/>
      <w:lvlText w:val="-"/>
      <w:lvlJc w:val="left"/>
      <w:pPr>
        <w:ind w:left="720" w:hanging="360"/>
      </w:pPr>
      <w:rPr>
        <w:rFonts w:ascii="Andalus" w:hAnsi="Andalu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12D1C"/>
    <w:multiLevelType w:val="hybridMultilevel"/>
    <w:tmpl w:val="9718F1F4"/>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7E5B2D21"/>
    <w:multiLevelType w:val="hybridMultilevel"/>
    <w:tmpl w:val="008654D8"/>
    <w:lvl w:ilvl="0" w:tplc="E1BEB6FE">
      <w:start w:val="1"/>
      <w:numFmt w:val="bullet"/>
      <w:lvlText w:val="-"/>
      <w:lvlJc w:val="left"/>
      <w:pPr>
        <w:ind w:left="720" w:hanging="360"/>
      </w:pPr>
      <w:rPr>
        <w:rFonts w:ascii="Andalus" w:hAnsi="Andalu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7"/>
  </w:num>
  <w:num w:numId="4">
    <w:abstractNumId w:val="24"/>
  </w:num>
  <w:num w:numId="5">
    <w:abstractNumId w:val="14"/>
  </w:num>
  <w:num w:numId="6">
    <w:abstractNumId w:val="23"/>
  </w:num>
  <w:num w:numId="7">
    <w:abstractNumId w:val="16"/>
  </w:num>
  <w:num w:numId="8">
    <w:abstractNumId w:val="2"/>
  </w:num>
  <w:num w:numId="9">
    <w:abstractNumId w:val="20"/>
  </w:num>
  <w:num w:numId="10">
    <w:abstractNumId w:val="1"/>
  </w:num>
  <w:num w:numId="11">
    <w:abstractNumId w:val="18"/>
  </w:num>
  <w:num w:numId="12">
    <w:abstractNumId w:val="8"/>
  </w:num>
  <w:num w:numId="13">
    <w:abstractNumId w:val="12"/>
  </w:num>
  <w:num w:numId="14">
    <w:abstractNumId w:val="4"/>
  </w:num>
  <w:num w:numId="15">
    <w:abstractNumId w:val="6"/>
  </w:num>
  <w:num w:numId="16">
    <w:abstractNumId w:val="10"/>
  </w:num>
  <w:num w:numId="17">
    <w:abstractNumId w:val="22"/>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1"/>
  </w:num>
  <w:num w:numId="24">
    <w:abstractNumId w:val="21"/>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0E"/>
    <w:rsid w:val="000029D6"/>
    <w:rsid w:val="00011C42"/>
    <w:rsid w:val="00021B56"/>
    <w:rsid w:val="00023E0C"/>
    <w:rsid w:val="00031BF6"/>
    <w:rsid w:val="0003285D"/>
    <w:rsid w:val="000405E7"/>
    <w:rsid w:val="00052CDC"/>
    <w:rsid w:val="000548BA"/>
    <w:rsid w:val="00064F46"/>
    <w:rsid w:val="000667F9"/>
    <w:rsid w:val="00066EE4"/>
    <w:rsid w:val="00071177"/>
    <w:rsid w:val="000721F5"/>
    <w:rsid w:val="00077B6A"/>
    <w:rsid w:val="0008335A"/>
    <w:rsid w:val="00091BEB"/>
    <w:rsid w:val="00092AAD"/>
    <w:rsid w:val="000A4FBA"/>
    <w:rsid w:val="000A5EF9"/>
    <w:rsid w:val="000C4050"/>
    <w:rsid w:val="000C6767"/>
    <w:rsid w:val="000C6A2E"/>
    <w:rsid w:val="000E5CFA"/>
    <w:rsid w:val="000F35BC"/>
    <w:rsid w:val="000F79A4"/>
    <w:rsid w:val="0010243B"/>
    <w:rsid w:val="00107889"/>
    <w:rsid w:val="00116106"/>
    <w:rsid w:val="00121819"/>
    <w:rsid w:val="00122AF7"/>
    <w:rsid w:val="0012488D"/>
    <w:rsid w:val="0013538B"/>
    <w:rsid w:val="00142FA0"/>
    <w:rsid w:val="00165CC7"/>
    <w:rsid w:val="0016686B"/>
    <w:rsid w:val="00166C44"/>
    <w:rsid w:val="001774FC"/>
    <w:rsid w:val="00190888"/>
    <w:rsid w:val="00191A1C"/>
    <w:rsid w:val="00193A8B"/>
    <w:rsid w:val="001A275E"/>
    <w:rsid w:val="001A5A0F"/>
    <w:rsid w:val="001B30D9"/>
    <w:rsid w:val="001C1537"/>
    <w:rsid w:val="001C2C9A"/>
    <w:rsid w:val="001C4CBE"/>
    <w:rsid w:val="001C6E8C"/>
    <w:rsid w:val="001D4824"/>
    <w:rsid w:val="001D65C4"/>
    <w:rsid w:val="001D6E14"/>
    <w:rsid w:val="001E2F66"/>
    <w:rsid w:val="001E6E78"/>
    <w:rsid w:val="001F0A27"/>
    <w:rsid w:val="00222FED"/>
    <w:rsid w:val="00240F9D"/>
    <w:rsid w:val="00246370"/>
    <w:rsid w:val="00252A1B"/>
    <w:rsid w:val="00260B9E"/>
    <w:rsid w:val="00271AE5"/>
    <w:rsid w:val="002920F3"/>
    <w:rsid w:val="00292651"/>
    <w:rsid w:val="002B0767"/>
    <w:rsid w:val="002B42CA"/>
    <w:rsid w:val="002C7946"/>
    <w:rsid w:val="002D4C55"/>
    <w:rsid w:val="002E0DDA"/>
    <w:rsid w:val="002E5758"/>
    <w:rsid w:val="002E720D"/>
    <w:rsid w:val="002F0DCD"/>
    <w:rsid w:val="002F1AD7"/>
    <w:rsid w:val="00302B2D"/>
    <w:rsid w:val="00304E3A"/>
    <w:rsid w:val="00306FC2"/>
    <w:rsid w:val="003121D8"/>
    <w:rsid w:val="00315432"/>
    <w:rsid w:val="00321C16"/>
    <w:rsid w:val="0032768F"/>
    <w:rsid w:val="00334168"/>
    <w:rsid w:val="00336CA4"/>
    <w:rsid w:val="00341B57"/>
    <w:rsid w:val="00350BD8"/>
    <w:rsid w:val="00355147"/>
    <w:rsid w:val="00356716"/>
    <w:rsid w:val="00360A35"/>
    <w:rsid w:val="003704ED"/>
    <w:rsid w:val="00372505"/>
    <w:rsid w:val="00372F76"/>
    <w:rsid w:val="00375DF4"/>
    <w:rsid w:val="003844ED"/>
    <w:rsid w:val="00384CC7"/>
    <w:rsid w:val="00384F23"/>
    <w:rsid w:val="00390968"/>
    <w:rsid w:val="00397CC9"/>
    <w:rsid w:val="00397FC6"/>
    <w:rsid w:val="003A0711"/>
    <w:rsid w:val="003C0B72"/>
    <w:rsid w:val="003C11A8"/>
    <w:rsid w:val="003C2E5F"/>
    <w:rsid w:val="003C32B1"/>
    <w:rsid w:val="003C3B3B"/>
    <w:rsid w:val="003D31D3"/>
    <w:rsid w:val="003E5F53"/>
    <w:rsid w:val="003F1366"/>
    <w:rsid w:val="003F1F0F"/>
    <w:rsid w:val="003F202D"/>
    <w:rsid w:val="003F476D"/>
    <w:rsid w:val="003F50E1"/>
    <w:rsid w:val="003F65B7"/>
    <w:rsid w:val="00403057"/>
    <w:rsid w:val="00404BF2"/>
    <w:rsid w:val="00411DB6"/>
    <w:rsid w:val="004134C4"/>
    <w:rsid w:val="004164C6"/>
    <w:rsid w:val="004171AC"/>
    <w:rsid w:val="004267EE"/>
    <w:rsid w:val="00431CC3"/>
    <w:rsid w:val="004337FE"/>
    <w:rsid w:val="00441C71"/>
    <w:rsid w:val="00447BFD"/>
    <w:rsid w:val="00450099"/>
    <w:rsid w:val="004552BA"/>
    <w:rsid w:val="004774E8"/>
    <w:rsid w:val="00487507"/>
    <w:rsid w:val="00496834"/>
    <w:rsid w:val="004A1A37"/>
    <w:rsid w:val="004A436F"/>
    <w:rsid w:val="004A6CD5"/>
    <w:rsid w:val="004A7E54"/>
    <w:rsid w:val="004B1389"/>
    <w:rsid w:val="004B52E0"/>
    <w:rsid w:val="004B5352"/>
    <w:rsid w:val="004C6D3D"/>
    <w:rsid w:val="004C7410"/>
    <w:rsid w:val="004D6EB8"/>
    <w:rsid w:val="004E3681"/>
    <w:rsid w:val="004E4086"/>
    <w:rsid w:val="004E6AF8"/>
    <w:rsid w:val="004F160E"/>
    <w:rsid w:val="004F61E4"/>
    <w:rsid w:val="004F7B1F"/>
    <w:rsid w:val="005014A4"/>
    <w:rsid w:val="00503177"/>
    <w:rsid w:val="00511A96"/>
    <w:rsid w:val="00515545"/>
    <w:rsid w:val="00516349"/>
    <w:rsid w:val="00527704"/>
    <w:rsid w:val="0053139E"/>
    <w:rsid w:val="00535C78"/>
    <w:rsid w:val="00537BA6"/>
    <w:rsid w:val="005436F8"/>
    <w:rsid w:val="0055689D"/>
    <w:rsid w:val="005572B7"/>
    <w:rsid w:val="0056008B"/>
    <w:rsid w:val="00562A1C"/>
    <w:rsid w:val="00564249"/>
    <w:rsid w:val="0056612C"/>
    <w:rsid w:val="00571956"/>
    <w:rsid w:val="005725AB"/>
    <w:rsid w:val="00574DE2"/>
    <w:rsid w:val="00577B43"/>
    <w:rsid w:val="00584207"/>
    <w:rsid w:val="00584624"/>
    <w:rsid w:val="00590656"/>
    <w:rsid w:val="00590C2B"/>
    <w:rsid w:val="005A0A71"/>
    <w:rsid w:val="005A214A"/>
    <w:rsid w:val="005A6FE0"/>
    <w:rsid w:val="005B5985"/>
    <w:rsid w:val="005C28C8"/>
    <w:rsid w:val="005C5F94"/>
    <w:rsid w:val="005D3E11"/>
    <w:rsid w:val="005E6CE8"/>
    <w:rsid w:val="005E7F3C"/>
    <w:rsid w:val="005F3ADE"/>
    <w:rsid w:val="005F46F8"/>
    <w:rsid w:val="00604159"/>
    <w:rsid w:val="00604BD1"/>
    <w:rsid w:val="00605B3F"/>
    <w:rsid w:val="00605DBF"/>
    <w:rsid w:val="006150BB"/>
    <w:rsid w:val="00615397"/>
    <w:rsid w:val="0061678E"/>
    <w:rsid w:val="00616DB8"/>
    <w:rsid w:val="00633BCA"/>
    <w:rsid w:val="006348B5"/>
    <w:rsid w:val="00634E03"/>
    <w:rsid w:val="006410F5"/>
    <w:rsid w:val="00643582"/>
    <w:rsid w:val="00650F0E"/>
    <w:rsid w:val="006549E7"/>
    <w:rsid w:val="00655378"/>
    <w:rsid w:val="00670B24"/>
    <w:rsid w:val="00675DEF"/>
    <w:rsid w:val="00682E12"/>
    <w:rsid w:val="0068330F"/>
    <w:rsid w:val="00693A77"/>
    <w:rsid w:val="006A039C"/>
    <w:rsid w:val="006B31E1"/>
    <w:rsid w:val="006B3F63"/>
    <w:rsid w:val="006C0A57"/>
    <w:rsid w:val="006C2500"/>
    <w:rsid w:val="006C78B1"/>
    <w:rsid w:val="006D2D37"/>
    <w:rsid w:val="006D3B28"/>
    <w:rsid w:val="006D6BC2"/>
    <w:rsid w:val="006E6940"/>
    <w:rsid w:val="006F3723"/>
    <w:rsid w:val="006F4BDC"/>
    <w:rsid w:val="00704712"/>
    <w:rsid w:val="00714857"/>
    <w:rsid w:val="00717A67"/>
    <w:rsid w:val="00717CD8"/>
    <w:rsid w:val="0072621B"/>
    <w:rsid w:val="007312F9"/>
    <w:rsid w:val="0074027D"/>
    <w:rsid w:val="0074158D"/>
    <w:rsid w:val="0074572C"/>
    <w:rsid w:val="00746B3E"/>
    <w:rsid w:val="00752C54"/>
    <w:rsid w:val="00762945"/>
    <w:rsid w:val="00765342"/>
    <w:rsid w:val="00766A97"/>
    <w:rsid w:val="00767A05"/>
    <w:rsid w:val="00771BC6"/>
    <w:rsid w:val="00771C90"/>
    <w:rsid w:val="00780F4A"/>
    <w:rsid w:val="00793AE3"/>
    <w:rsid w:val="007A1C36"/>
    <w:rsid w:val="007A4DDC"/>
    <w:rsid w:val="007A5950"/>
    <w:rsid w:val="007B50AA"/>
    <w:rsid w:val="007C31A5"/>
    <w:rsid w:val="007D5E9D"/>
    <w:rsid w:val="007F0814"/>
    <w:rsid w:val="007F5661"/>
    <w:rsid w:val="007F5D1B"/>
    <w:rsid w:val="00805A79"/>
    <w:rsid w:val="0082401A"/>
    <w:rsid w:val="00834AE3"/>
    <w:rsid w:val="008454B0"/>
    <w:rsid w:val="00846AA9"/>
    <w:rsid w:val="00847617"/>
    <w:rsid w:val="008546DA"/>
    <w:rsid w:val="008553DB"/>
    <w:rsid w:val="008718A8"/>
    <w:rsid w:val="00884726"/>
    <w:rsid w:val="00885060"/>
    <w:rsid w:val="00891DEB"/>
    <w:rsid w:val="00893755"/>
    <w:rsid w:val="008A0FBF"/>
    <w:rsid w:val="008A1606"/>
    <w:rsid w:val="008A1B66"/>
    <w:rsid w:val="008C1D15"/>
    <w:rsid w:val="008D0594"/>
    <w:rsid w:val="008D2A32"/>
    <w:rsid w:val="008D3320"/>
    <w:rsid w:val="008D56CC"/>
    <w:rsid w:val="008D611B"/>
    <w:rsid w:val="008D784A"/>
    <w:rsid w:val="008E2D6E"/>
    <w:rsid w:val="008E3227"/>
    <w:rsid w:val="008E550E"/>
    <w:rsid w:val="008E7448"/>
    <w:rsid w:val="008E7936"/>
    <w:rsid w:val="009112E4"/>
    <w:rsid w:val="00926C8F"/>
    <w:rsid w:val="00943811"/>
    <w:rsid w:val="009457AF"/>
    <w:rsid w:val="009576CE"/>
    <w:rsid w:val="009636E0"/>
    <w:rsid w:val="00970B49"/>
    <w:rsid w:val="00984609"/>
    <w:rsid w:val="009848D8"/>
    <w:rsid w:val="00987A51"/>
    <w:rsid w:val="00987D1D"/>
    <w:rsid w:val="00995101"/>
    <w:rsid w:val="009A3408"/>
    <w:rsid w:val="009A744D"/>
    <w:rsid w:val="009B4C31"/>
    <w:rsid w:val="009C2C01"/>
    <w:rsid w:val="009C5AA6"/>
    <w:rsid w:val="009D12C9"/>
    <w:rsid w:val="009D3B57"/>
    <w:rsid w:val="009E0A8B"/>
    <w:rsid w:val="009E3B69"/>
    <w:rsid w:val="009F72CF"/>
    <w:rsid w:val="00A037A9"/>
    <w:rsid w:val="00A05274"/>
    <w:rsid w:val="00A05F50"/>
    <w:rsid w:val="00A114A8"/>
    <w:rsid w:val="00A11DB7"/>
    <w:rsid w:val="00A160A3"/>
    <w:rsid w:val="00A25B54"/>
    <w:rsid w:val="00A26C6E"/>
    <w:rsid w:val="00A27F36"/>
    <w:rsid w:val="00A30A3D"/>
    <w:rsid w:val="00A32789"/>
    <w:rsid w:val="00A412F0"/>
    <w:rsid w:val="00A42EE3"/>
    <w:rsid w:val="00A6068C"/>
    <w:rsid w:val="00A71D01"/>
    <w:rsid w:val="00A76A4C"/>
    <w:rsid w:val="00A82739"/>
    <w:rsid w:val="00A83595"/>
    <w:rsid w:val="00A835D8"/>
    <w:rsid w:val="00A83B9D"/>
    <w:rsid w:val="00A84491"/>
    <w:rsid w:val="00A85643"/>
    <w:rsid w:val="00A87ADB"/>
    <w:rsid w:val="00A92DFB"/>
    <w:rsid w:val="00AA0907"/>
    <w:rsid w:val="00AC403F"/>
    <w:rsid w:val="00AC5DEA"/>
    <w:rsid w:val="00AE649F"/>
    <w:rsid w:val="00B02AFC"/>
    <w:rsid w:val="00B05666"/>
    <w:rsid w:val="00B26197"/>
    <w:rsid w:val="00B26D24"/>
    <w:rsid w:val="00B32DA6"/>
    <w:rsid w:val="00B416E7"/>
    <w:rsid w:val="00B503C4"/>
    <w:rsid w:val="00B52E38"/>
    <w:rsid w:val="00B53C98"/>
    <w:rsid w:val="00B561C2"/>
    <w:rsid w:val="00B62C64"/>
    <w:rsid w:val="00B70966"/>
    <w:rsid w:val="00B712B0"/>
    <w:rsid w:val="00B7150A"/>
    <w:rsid w:val="00B84203"/>
    <w:rsid w:val="00B873CE"/>
    <w:rsid w:val="00B91E0F"/>
    <w:rsid w:val="00B92377"/>
    <w:rsid w:val="00BB25A0"/>
    <w:rsid w:val="00BB41D6"/>
    <w:rsid w:val="00BB764C"/>
    <w:rsid w:val="00BC444C"/>
    <w:rsid w:val="00BD528D"/>
    <w:rsid w:val="00BD69F2"/>
    <w:rsid w:val="00BE0033"/>
    <w:rsid w:val="00BE181A"/>
    <w:rsid w:val="00BE677A"/>
    <w:rsid w:val="00BF1C04"/>
    <w:rsid w:val="00C01502"/>
    <w:rsid w:val="00C11125"/>
    <w:rsid w:val="00C169D3"/>
    <w:rsid w:val="00C225AB"/>
    <w:rsid w:val="00C23F4C"/>
    <w:rsid w:val="00C31580"/>
    <w:rsid w:val="00C33448"/>
    <w:rsid w:val="00C44978"/>
    <w:rsid w:val="00C54597"/>
    <w:rsid w:val="00C60125"/>
    <w:rsid w:val="00C66661"/>
    <w:rsid w:val="00C70D65"/>
    <w:rsid w:val="00C84EFE"/>
    <w:rsid w:val="00C90459"/>
    <w:rsid w:val="00CA002A"/>
    <w:rsid w:val="00CA248E"/>
    <w:rsid w:val="00CA27ED"/>
    <w:rsid w:val="00CB2100"/>
    <w:rsid w:val="00CB499A"/>
    <w:rsid w:val="00CB4A17"/>
    <w:rsid w:val="00CC3AA3"/>
    <w:rsid w:val="00CC659E"/>
    <w:rsid w:val="00CD2728"/>
    <w:rsid w:val="00CD281A"/>
    <w:rsid w:val="00CD680B"/>
    <w:rsid w:val="00CF4A0A"/>
    <w:rsid w:val="00CF64F7"/>
    <w:rsid w:val="00CF6862"/>
    <w:rsid w:val="00D03D78"/>
    <w:rsid w:val="00D06D56"/>
    <w:rsid w:val="00D07C31"/>
    <w:rsid w:val="00D10D00"/>
    <w:rsid w:val="00D14125"/>
    <w:rsid w:val="00D170AF"/>
    <w:rsid w:val="00D23CFF"/>
    <w:rsid w:val="00D2519F"/>
    <w:rsid w:val="00D31DC8"/>
    <w:rsid w:val="00D32591"/>
    <w:rsid w:val="00D33259"/>
    <w:rsid w:val="00D342AE"/>
    <w:rsid w:val="00D35225"/>
    <w:rsid w:val="00D35682"/>
    <w:rsid w:val="00D5234E"/>
    <w:rsid w:val="00D739EC"/>
    <w:rsid w:val="00D95353"/>
    <w:rsid w:val="00DA275A"/>
    <w:rsid w:val="00DA43F0"/>
    <w:rsid w:val="00DB407E"/>
    <w:rsid w:val="00DC4002"/>
    <w:rsid w:val="00DD4C30"/>
    <w:rsid w:val="00DE6E7F"/>
    <w:rsid w:val="00DF1B9C"/>
    <w:rsid w:val="00DF581E"/>
    <w:rsid w:val="00E0037E"/>
    <w:rsid w:val="00E008F1"/>
    <w:rsid w:val="00E0412F"/>
    <w:rsid w:val="00E04C52"/>
    <w:rsid w:val="00E1218E"/>
    <w:rsid w:val="00E150A8"/>
    <w:rsid w:val="00E22B29"/>
    <w:rsid w:val="00E25360"/>
    <w:rsid w:val="00E34745"/>
    <w:rsid w:val="00E406F9"/>
    <w:rsid w:val="00E4251C"/>
    <w:rsid w:val="00E42E29"/>
    <w:rsid w:val="00E55427"/>
    <w:rsid w:val="00E5726C"/>
    <w:rsid w:val="00E57AF7"/>
    <w:rsid w:val="00E630FD"/>
    <w:rsid w:val="00E674BF"/>
    <w:rsid w:val="00E70749"/>
    <w:rsid w:val="00E76ACD"/>
    <w:rsid w:val="00E84A99"/>
    <w:rsid w:val="00E96ADC"/>
    <w:rsid w:val="00EA1C67"/>
    <w:rsid w:val="00EA33BF"/>
    <w:rsid w:val="00EC424B"/>
    <w:rsid w:val="00EC5268"/>
    <w:rsid w:val="00ED6D13"/>
    <w:rsid w:val="00EE00D3"/>
    <w:rsid w:val="00EE016C"/>
    <w:rsid w:val="00EE0B5E"/>
    <w:rsid w:val="00EE2F46"/>
    <w:rsid w:val="00EE3026"/>
    <w:rsid w:val="00EE4727"/>
    <w:rsid w:val="00EE5687"/>
    <w:rsid w:val="00EF5E42"/>
    <w:rsid w:val="00F14DF9"/>
    <w:rsid w:val="00F41EEC"/>
    <w:rsid w:val="00F50EFC"/>
    <w:rsid w:val="00F521C1"/>
    <w:rsid w:val="00F6117B"/>
    <w:rsid w:val="00F637B7"/>
    <w:rsid w:val="00F6397D"/>
    <w:rsid w:val="00F63F48"/>
    <w:rsid w:val="00F6558C"/>
    <w:rsid w:val="00F76F0E"/>
    <w:rsid w:val="00F8161D"/>
    <w:rsid w:val="00F83612"/>
    <w:rsid w:val="00F869CC"/>
    <w:rsid w:val="00F9050B"/>
    <w:rsid w:val="00F94258"/>
    <w:rsid w:val="00F94BA1"/>
    <w:rsid w:val="00F9635A"/>
    <w:rsid w:val="00FA2931"/>
    <w:rsid w:val="00FA46CF"/>
    <w:rsid w:val="00FA5C6A"/>
    <w:rsid w:val="00FB4162"/>
    <w:rsid w:val="00FB7471"/>
    <w:rsid w:val="00FC21C3"/>
    <w:rsid w:val="00FC3385"/>
    <w:rsid w:val="00FC74A2"/>
    <w:rsid w:val="00FD1A60"/>
    <w:rsid w:val="00FD1D32"/>
    <w:rsid w:val="00FD4658"/>
    <w:rsid w:val="00FE3426"/>
    <w:rsid w:val="00FF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6263"/>
  <w15:docId w15:val="{6D396D72-E078-4E7F-8C1D-B200B9F9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Accent31">
    <w:name w:val="Light Shading - Accent 31"/>
    <w:basedOn w:val="TableNormal"/>
    <w:next w:val="LightShading-Accent3"/>
    <w:uiPriority w:val="60"/>
    <w:rsid w:val="005725AB"/>
    <w:pPr>
      <w:spacing w:after="0" w:line="240" w:lineRule="auto"/>
      <w:ind w:firstLine="709"/>
      <w:jc w:val="both"/>
    </w:pPr>
    <w:rPr>
      <w:rFonts w:eastAsia="Calibri"/>
      <w:color w:val="76923C"/>
      <w:spacing w:val="-10"/>
      <w:kern w:val="24"/>
      <w:sz w:val="24"/>
      <w:szCs w:val="24"/>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semiHidden/>
    <w:unhideWhenUsed/>
    <w:rsid w:val="005725A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Accent32">
    <w:name w:val="Light Shading - Accent 32"/>
    <w:basedOn w:val="TableNormal"/>
    <w:next w:val="LightShading-Accent3"/>
    <w:uiPriority w:val="60"/>
    <w:rsid w:val="005725AB"/>
    <w:pPr>
      <w:spacing w:after="0" w:line="240" w:lineRule="auto"/>
      <w:ind w:firstLine="709"/>
      <w:jc w:val="both"/>
    </w:pPr>
    <w:rPr>
      <w:rFonts w:eastAsia="Calibri"/>
      <w:color w:val="76923C"/>
      <w:spacing w:val="-10"/>
      <w:kern w:val="24"/>
      <w:sz w:val="24"/>
      <w:szCs w:val="24"/>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Grid">
    <w:name w:val="Table Grid"/>
    <w:basedOn w:val="TableNormal"/>
    <w:uiPriority w:val="39"/>
    <w:rsid w:val="00572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9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79A4"/>
  </w:style>
  <w:style w:type="paragraph" w:styleId="Footer">
    <w:name w:val="footer"/>
    <w:basedOn w:val="Normal"/>
    <w:link w:val="FooterChar"/>
    <w:uiPriority w:val="99"/>
    <w:unhideWhenUsed/>
    <w:rsid w:val="000F79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79A4"/>
  </w:style>
  <w:style w:type="paragraph" w:styleId="ListParagraph">
    <w:name w:val="List Paragraph"/>
    <w:basedOn w:val="Normal"/>
    <w:uiPriority w:val="34"/>
    <w:qFormat/>
    <w:rsid w:val="000F79A4"/>
    <w:pPr>
      <w:ind w:left="720"/>
      <w:contextualSpacing/>
    </w:pPr>
  </w:style>
  <w:style w:type="table" w:customStyle="1" w:styleId="LightShading-Accent33">
    <w:name w:val="Light Shading - Accent 33"/>
    <w:basedOn w:val="TableNormal"/>
    <w:next w:val="LightShading-Accent3"/>
    <w:uiPriority w:val="60"/>
    <w:rsid w:val="00372F76"/>
    <w:pPr>
      <w:spacing w:after="0" w:line="240" w:lineRule="auto"/>
      <w:ind w:firstLine="709"/>
      <w:jc w:val="both"/>
    </w:pPr>
    <w:rPr>
      <w:rFonts w:eastAsia="Calibri"/>
      <w:color w:val="76923C"/>
      <w:spacing w:val="-10"/>
      <w:kern w:val="24"/>
      <w:sz w:val="24"/>
      <w:szCs w:val="24"/>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1">
    <w:name w:val="Table Grid1"/>
    <w:basedOn w:val="TableNormal"/>
    <w:next w:val="TableGrid"/>
    <w:uiPriority w:val="59"/>
    <w:rsid w:val="000A5EF9"/>
    <w:pPr>
      <w:spacing w:after="0" w:line="240" w:lineRule="auto"/>
    </w:pPr>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C90"/>
    <w:rPr>
      <w:color w:val="0563C1" w:themeColor="hyperlink"/>
      <w:u w:val="single"/>
    </w:rPr>
  </w:style>
  <w:style w:type="table" w:customStyle="1" w:styleId="PlainTable11">
    <w:name w:val="Plain Table 11"/>
    <w:basedOn w:val="TableNormal"/>
    <w:uiPriority w:val="41"/>
    <w:rsid w:val="001E6E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1E6E7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31">
    <w:name w:val="List Table 2 - Accent 31"/>
    <w:basedOn w:val="TableNormal"/>
    <w:uiPriority w:val="47"/>
    <w:rsid w:val="001E6E7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F50EFC"/>
    <w:rPr>
      <w:sz w:val="16"/>
      <w:szCs w:val="16"/>
    </w:rPr>
  </w:style>
  <w:style w:type="paragraph" w:styleId="CommentText">
    <w:name w:val="annotation text"/>
    <w:basedOn w:val="Normal"/>
    <w:link w:val="CommentTextChar"/>
    <w:uiPriority w:val="99"/>
    <w:unhideWhenUsed/>
    <w:rsid w:val="00F50EFC"/>
    <w:pPr>
      <w:spacing w:line="240" w:lineRule="auto"/>
    </w:pPr>
    <w:rPr>
      <w:sz w:val="20"/>
      <w:szCs w:val="20"/>
    </w:rPr>
  </w:style>
  <w:style w:type="character" w:customStyle="1" w:styleId="CommentTextChar">
    <w:name w:val="Comment Text Char"/>
    <w:basedOn w:val="DefaultParagraphFont"/>
    <w:link w:val="CommentText"/>
    <w:uiPriority w:val="99"/>
    <w:rsid w:val="00F50EFC"/>
    <w:rPr>
      <w:sz w:val="20"/>
      <w:szCs w:val="20"/>
    </w:rPr>
  </w:style>
  <w:style w:type="paragraph" w:styleId="CommentSubject">
    <w:name w:val="annotation subject"/>
    <w:basedOn w:val="CommentText"/>
    <w:next w:val="CommentText"/>
    <w:link w:val="CommentSubjectChar"/>
    <w:uiPriority w:val="99"/>
    <w:semiHidden/>
    <w:unhideWhenUsed/>
    <w:rsid w:val="00F50EFC"/>
    <w:rPr>
      <w:b/>
      <w:bCs/>
    </w:rPr>
  </w:style>
  <w:style w:type="character" w:customStyle="1" w:styleId="CommentSubjectChar">
    <w:name w:val="Comment Subject Char"/>
    <w:basedOn w:val="CommentTextChar"/>
    <w:link w:val="CommentSubject"/>
    <w:uiPriority w:val="99"/>
    <w:semiHidden/>
    <w:rsid w:val="00F50EFC"/>
    <w:rPr>
      <w:b/>
      <w:bCs/>
      <w:sz w:val="20"/>
      <w:szCs w:val="20"/>
    </w:rPr>
  </w:style>
  <w:style w:type="paragraph" w:styleId="BalloonText">
    <w:name w:val="Balloon Text"/>
    <w:basedOn w:val="Normal"/>
    <w:link w:val="BalloonTextChar"/>
    <w:uiPriority w:val="99"/>
    <w:semiHidden/>
    <w:unhideWhenUsed/>
    <w:rsid w:val="00F50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EFC"/>
    <w:rPr>
      <w:rFonts w:ascii="Segoe UI" w:hAnsi="Segoe UI" w:cs="Segoe UI"/>
      <w:sz w:val="18"/>
      <w:szCs w:val="18"/>
    </w:rPr>
  </w:style>
  <w:style w:type="paragraph" w:styleId="Revision">
    <w:name w:val="Revision"/>
    <w:hidden/>
    <w:uiPriority w:val="99"/>
    <w:semiHidden/>
    <w:rsid w:val="0032768F"/>
    <w:pPr>
      <w:spacing w:after="0" w:line="240" w:lineRule="auto"/>
    </w:pPr>
  </w:style>
  <w:style w:type="character" w:customStyle="1" w:styleId="apple-converted-space">
    <w:name w:val="apple-converted-space"/>
    <w:basedOn w:val="DefaultParagraphFont"/>
    <w:rsid w:val="00537BA6"/>
  </w:style>
  <w:style w:type="character" w:customStyle="1" w:styleId="UnresolvedMention1">
    <w:name w:val="Unresolved Mention1"/>
    <w:basedOn w:val="DefaultParagraphFont"/>
    <w:uiPriority w:val="99"/>
    <w:semiHidden/>
    <w:unhideWhenUsed/>
    <w:rsid w:val="00B05666"/>
    <w:rPr>
      <w:color w:val="605E5C"/>
      <w:shd w:val="clear" w:color="auto" w:fill="E1DFDD"/>
    </w:rPr>
  </w:style>
  <w:style w:type="paragraph" w:customStyle="1" w:styleId="tv213">
    <w:name w:val="tv213"/>
    <w:basedOn w:val="Normal"/>
    <w:rsid w:val="00805A79"/>
    <w:pPr>
      <w:spacing w:before="100" w:beforeAutospacing="1" w:after="100" w:afterAutospacing="1" w:line="240" w:lineRule="auto"/>
    </w:pPr>
    <w:rPr>
      <w:rFonts w:eastAsia="Times New Roman"/>
      <w:sz w:val="24"/>
      <w:szCs w:val="24"/>
      <w:lang w:val="lv-LV" w:eastAsia="lv-LV"/>
    </w:rPr>
  </w:style>
  <w:style w:type="paragraph" w:styleId="FootnoteText">
    <w:name w:val="footnote text"/>
    <w:basedOn w:val="Normal"/>
    <w:link w:val="FootnoteTextChar"/>
    <w:uiPriority w:val="99"/>
    <w:semiHidden/>
    <w:unhideWhenUsed/>
    <w:rsid w:val="00805A79"/>
    <w:pPr>
      <w:spacing w:after="0" w:line="240" w:lineRule="auto"/>
    </w:pPr>
    <w:rPr>
      <w:rFonts w:asciiTheme="minorHAnsi" w:hAnsiTheme="minorHAnsi" w:cstheme="minorBidi"/>
      <w:sz w:val="20"/>
      <w:szCs w:val="20"/>
      <w:lang w:val="lv-LV"/>
    </w:rPr>
  </w:style>
  <w:style w:type="character" w:customStyle="1" w:styleId="FootnoteTextChar">
    <w:name w:val="Footnote Text Char"/>
    <w:basedOn w:val="DefaultParagraphFont"/>
    <w:link w:val="FootnoteText"/>
    <w:uiPriority w:val="99"/>
    <w:semiHidden/>
    <w:rsid w:val="00805A79"/>
    <w:rPr>
      <w:rFonts w:asciiTheme="minorHAnsi" w:hAnsiTheme="minorHAnsi" w:cstheme="minorBidi"/>
      <w:sz w:val="20"/>
      <w:szCs w:val="20"/>
      <w:lang w:val="lv-LV"/>
    </w:rPr>
  </w:style>
  <w:style w:type="character" w:styleId="FootnoteReference">
    <w:name w:val="footnote reference"/>
    <w:basedOn w:val="DefaultParagraphFont"/>
    <w:uiPriority w:val="99"/>
    <w:semiHidden/>
    <w:unhideWhenUsed/>
    <w:rsid w:val="00805A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fondi.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78f822e184101c1bc8fe7cdf8c476493">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c8e2907f288fd15ec0174a8864605405"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2C9A-3762-4D04-A705-50A17E73AE66}">
  <ds:schemaRefs>
    <ds:schemaRef ds:uri="http://schemas.microsoft.com/sharepoint/v3/contenttype/forms"/>
  </ds:schemaRefs>
</ds:datastoreItem>
</file>

<file path=customXml/itemProps2.xml><?xml version="1.0" encoding="utf-8"?>
<ds:datastoreItem xmlns:ds="http://schemas.openxmlformats.org/officeDocument/2006/customXml" ds:itemID="{95892B48-B9C7-4C49-9F5D-9A3F6BBE8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FC42A-9E7F-44C9-9805-892D5B9F90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A27EDA-5512-423D-81CE-ACBDA821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3503</Words>
  <Characters>1997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Kļaviņa</dc:creator>
  <cp:lastModifiedBy>Lita Trakina</cp:lastModifiedBy>
  <cp:revision>2</cp:revision>
  <dcterms:created xsi:type="dcterms:W3CDTF">2021-09-23T10:51:00Z</dcterms:created>
  <dcterms:modified xsi:type="dcterms:W3CDTF">2021-09-23T10:51:00Z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