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4315" w14:textId="35943BB8" w:rsidR="004B19BE" w:rsidRPr="00C31E0D" w:rsidRDefault="004B19BE" w:rsidP="00D73B87">
      <w:pPr>
        <w:shd w:val="clear" w:color="auto" w:fill="FFFFFF"/>
        <w:spacing w:after="0" w:line="240" w:lineRule="auto"/>
        <w:jc w:val="center"/>
        <w:rPr>
          <w:rFonts w:ascii="Arial" w:eastAsia="Times New Roman" w:hAnsi="Arial" w:cs="Arial"/>
          <w:b/>
          <w:bCs/>
          <w:sz w:val="27"/>
          <w:szCs w:val="27"/>
          <w:lang w:eastAsia="lv-LV"/>
        </w:rPr>
      </w:pPr>
    </w:p>
    <w:p w14:paraId="14484B2C" w14:textId="348B6D1F" w:rsidR="004B19BE" w:rsidRPr="00C31E0D" w:rsidRDefault="004B19BE" w:rsidP="004B19BE">
      <w:pPr>
        <w:shd w:val="clear" w:color="auto" w:fill="FFFFFF"/>
        <w:spacing w:after="0" w:line="240" w:lineRule="auto"/>
        <w:jc w:val="center"/>
        <w:rPr>
          <w:rFonts w:ascii="Times New Roman" w:eastAsia="Times New Roman" w:hAnsi="Times New Roman" w:cs="Times New Roman"/>
          <w:b/>
          <w:bCs/>
          <w:sz w:val="27"/>
          <w:szCs w:val="27"/>
          <w:u w:val="single"/>
          <w:lang w:eastAsia="lv-LV"/>
        </w:rPr>
      </w:pPr>
      <w:bookmarkStart w:id="0" w:name="_Hlk68687712"/>
      <w:bookmarkStart w:id="1" w:name="_Hlk68687679"/>
      <w:r w:rsidRPr="00C31E0D">
        <w:rPr>
          <w:rFonts w:ascii="Times New Roman" w:eastAsia="Times New Roman" w:hAnsi="Times New Roman" w:cs="Times New Roman"/>
          <w:b/>
          <w:bCs/>
          <w:sz w:val="27"/>
          <w:szCs w:val="27"/>
          <w:lang w:eastAsia="lv-LV"/>
        </w:rPr>
        <w:t>Centrālā Baltijas jūras reģiona programma</w:t>
      </w:r>
      <w:r w:rsidR="00FE4913" w:rsidRPr="00C31E0D">
        <w:rPr>
          <w:rFonts w:ascii="Times New Roman" w:eastAsia="Times New Roman" w:hAnsi="Times New Roman" w:cs="Times New Roman"/>
          <w:b/>
          <w:bCs/>
          <w:sz w:val="27"/>
          <w:szCs w:val="27"/>
          <w:lang w:eastAsia="lv-LV"/>
        </w:rPr>
        <w:t>s</w:t>
      </w:r>
      <w:r w:rsidRPr="00C31E0D">
        <w:rPr>
          <w:rFonts w:ascii="Times New Roman" w:eastAsia="Times New Roman" w:hAnsi="Times New Roman" w:cs="Times New Roman"/>
          <w:b/>
          <w:bCs/>
          <w:sz w:val="27"/>
          <w:szCs w:val="27"/>
          <w:lang w:eastAsia="lv-LV"/>
        </w:rPr>
        <w:t xml:space="preserve"> 2021.–2027. gadam</w:t>
      </w:r>
      <w:r w:rsidR="00FE4913" w:rsidRPr="00C31E0D">
        <w:rPr>
          <w:rFonts w:ascii="Times New Roman" w:eastAsia="Times New Roman" w:hAnsi="Times New Roman" w:cs="Times New Roman"/>
          <w:b/>
          <w:bCs/>
          <w:sz w:val="27"/>
          <w:szCs w:val="27"/>
          <w:lang w:eastAsia="lv-LV"/>
        </w:rPr>
        <w:t xml:space="preserve"> dokumenta projekta un Stratēģiskā ietekmes uz vidi novērtējuma Vides pārskata projekta </w:t>
      </w:r>
      <w:r w:rsidR="00FE4913" w:rsidRPr="00C31E0D">
        <w:rPr>
          <w:rFonts w:ascii="Times New Roman" w:eastAsia="Times New Roman" w:hAnsi="Times New Roman" w:cs="Times New Roman"/>
          <w:b/>
          <w:bCs/>
          <w:sz w:val="27"/>
          <w:szCs w:val="27"/>
          <w:u w:val="single"/>
          <w:lang w:eastAsia="lv-LV"/>
        </w:rPr>
        <w:t>publiskās apspriešanas kopsavilkums</w:t>
      </w:r>
    </w:p>
    <w:p w14:paraId="63E60345" w14:textId="77777777" w:rsidR="00CD0AE4" w:rsidRPr="00C31E0D" w:rsidRDefault="00CD0AE4" w:rsidP="004B19BE">
      <w:pPr>
        <w:shd w:val="clear" w:color="auto" w:fill="FFFFFF"/>
        <w:spacing w:after="0" w:line="240" w:lineRule="auto"/>
        <w:jc w:val="center"/>
        <w:rPr>
          <w:rFonts w:ascii="Times New Roman" w:eastAsia="Times New Roman" w:hAnsi="Times New Roman" w:cs="Times New Roman"/>
          <w:b/>
          <w:bCs/>
          <w:sz w:val="27"/>
          <w:szCs w:val="27"/>
          <w:u w:val="single"/>
          <w:lang w:eastAsia="lv-LV"/>
        </w:rPr>
      </w:pPr>
    </w:p>
    <w:p w14:paraId="0C6DCA91" w14:textId="3EE00E25" w:rsidR="00CD0AE4" w:rsidRPr="00C31E0D" w:rsidRDefault="00CD0AE4" w:rsidP="004B19BE">
      <w:pPr>
        <w:shd w:val="clear" w:color="auto" w:fill="FFFFFF"/>
        <w:spacing w:after="0" w:line="240" w:lineRule="auto"/>
        <w:jc w:val="center"/>
        <w:rPr>
          <w:rFonts w:ascii="Times New Roman" w:eastAsia="Times New Roman" w:hAnsi="Times New Roman" w:cs="Times New Roman"/>
          <w:b/>
          <w:bCs/>
          <w:sz w:val="27"/>
          <w:szCs w:val="27"/>
          <w:lang w:eastAsia="lv-LV"/>
        </w:rPr>
      </w:pPr>
      <w:r w:rsidRPr="00C31E0D">
        <w:rPr>
          <w:rFonts w:ascii="Times New Roman" w:eastAsia="Times New Roman" w:hAnsi="Times New Roman" w:cs="Times New Roman"/>
          <w:b/>
          <w:bCs/>
          <w:sz w:val="27"/>
          <w:szCs w:val="27"/>
          <w:u w:val="single"/>
          <w:lang w:eastAsia="lv-LV"/>
        </w:rPr>
        <w:t>05.03.2021.-09.04.2021.</w:t>
      </w:r>
    </w:p>
    <w:p w14:paraId="58094FBB" w14:textId="77777777" w:rsidR="00FE4913" w:rsidRPr="00C31E0D" w:rsidRDefault="00FE4913" w:rsidP="004B19BE">
      <w:pPr>
        <w:shd w:val="clear" w:color="auto" w:fill="FFFFFF"/>
        <w:spacing w:after="0" w:line="240" w:lineRule="auto"/>
        <w:jc w:val="center"/>
        <w:rPr>
          <w:rFonts w:ascii="Times New Roman" w:eastAsia="Times New Roman" w:hAnsi="Times New Roman" w:cs="Times New Roman"/>
          <w:b/>
          <w:bCs/>
          <w:sz w:val="27"/>
          <w:szCs w:val="27"/>
          <w:lang w:eastAsia="lv-LV"/>
        </w:rPr>
      </w:pPr>
    </w:p>
    <w:p w14:paraId="3478812C" w14:textId="3745B8F3" w:rsidR="004B19BE" w:rsidRPr="00C31E0D" w:rsidRDefault="004B19BE" w:rsidP="004B19BE">
      <w:pPr>
        <w:shd w:val="clear" w:color="auto" w:fill="FFFFFF"/>
        <w:spacing w:after="0" w:line="240" w:lineRule="auto"/>
        <w:jc w:val="center"/>
        <w:rPr>
          <w:rFonts w:ascii="Times New Roman" w:eastAsia="Times New Roman" w:hAnsi="Times New Roman" w:cs="Times New Roman"/>
          <w:b/>
          <w:bCs/>
          <w:sz w:val="27"/>
          <w:szCs w:val="27"/>
          <w:lang w:eastAsia="lv-LV"/>
        </w:rPr>
      </w:pPr>
      <w:r w:rsidRPr="00C31E0D">
        <w:rPr>
          <w:rFonts w:ascii="Times New Roman" w:eastAsia="Times New Roman" w:hAnsi="Times New Roman" w:cs="Times New Roman"/>
          <w:b/>
          <w:bCs/>
          <w:sz w:val="27"/>
          <w:szCs w:val="27"/>
          <w:lang w:eastAsia="lv-LV"/>
        </w:rPr>
        <w:t xml:space="preserve">Programmas dokumenta projekts </w:t>
      </w:r>
    </w:p>
    <w:bookmarkEnd w:id="0"/>
    <w:p w14:paraId="6A133C87" w14:textId="77777777" w:rsidR="00D73B87" w:rsidRPr="00C31E0D" w:rsidRDefault="00D73B87" w:rsidP="00D73B87">
      <w:pPr>
        <w:shd w:val="clear" w:color="auto" w:fill="FFFFFF"/>
        <w:spacing w:after="0" w:line="240" w:lineRule="auto"/>
        <w:jc w:val="center"/>
        <w:rPr>
          <w:rFonts w:ascii="Arial" w:eastAsia="Times New Roman" w:hAnsi="Arial" w:cs="Arial"/>
          <w:b/>
          <w:bCs/>
          <w:sz w:val="27"/>
          <w:szCs w:val="27"/>
          <w:lang w:eastAsia="lv-LV"/>
        </w:rPr>
      </w:pPr>
    </w:p>
    <w:tbl>
      <w:tblPr>
        <w:tblW w:w="4971" w:type="pct"/>
        <w:jc w:val="center"/>
        <w:tblBorders>
          <w:top w:val="outset" w:sz="6" w:space="0" w:color="414142"/>
          <w:left w:val="outset" w:sz="6" w:space="0" w:color="414142"/>
          <w:bottom w:val="outset" w:sz="6" w:space="0" w:color="414142"/>
          <w:right w:val="outset" w:sz="6" w:space="0" w:color="414142"/>
        </w:tblBorders>
        <w:tblLayout w:type="fixed"/>
        <w:tblCellMar>
          <w:top w:w="15" w:type="dxa"/>
          <w:left w:w="15" w:type="dxa"/>
          <w:bottom w:w="15" w:type="dxa"/>
          <w:right w:w="15" w:type="dxa"/>
        </w:tblCellMar>
        <w:tblLook w:val="04A0" w:firstRow="1" w:lastRow="0" w:firstColumn="1" w:lastColumn="0" w:noHBand="0" w:noVBand="1"/>
      </w:tblPr>
      <w:tblGrid>
        <w:gridCol w:w="331"/>
        <w:gridCol w:w="1947"/>
        <w:gridCol w:w="1444"/>
        <w:gridCol w:w="6589"/>
        <w:gridCol w:w="1499"/>
        <w:gridCol w:w="2097"/>
      </w:tblGrid>
      <w:tr w:rsidR="00E31A66" w:rsidRPr="00C31E0D" w14:paraId="5FA1612F"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vAlign w:val="center"/>
            <w:hideMark/>
          </w:tcPr>
          <w:p w14:paraId="4540CD04"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Nr.</w:t>
            </w:r>
            <w:r w:rsidRPr="00C31E0D">
              <w:rPr>
                <w:rFonts w:ascii="Times New Roman" w:eastAsia="Times New Roman" w:hAnsi="Times New Roman" w:cs="Times New Roman"/>
                <w:sz w:val="20"/>
                <w:szCs w:val="20"/>
                <w:lang w:eastAsia="lv-LV"/>
              </w:rPr>
              <w:br/>
              <w:t>p.k.</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205F26F"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Iebilduma/priekšlikuma iesniedzējs</w:t>
            </w:r>
          </w:p>
        </w:tc>
        <w:tc>
          <w:tcPr>
            <w:tcW w:w="519" w:type="pct"/>
            <w:tcBorders>
              <w:top w:val="outset" w:sz="6" w:space="0" w:color="414142"/>
              <w:left w:val="outset" w:sz="6" w:space="0" w:color="414142"/>
              <w:bottom w:val="outset" w:sz="6" w:space="0" w:color="414142"/>
              <w:right w:val="outset" w:sz="6" w:space="0" w:color="414142"/>
            </w:tcBorders>
          </w:tcPr>
          <w:p w14:paraId="140FE611" w14:textId="503CCF33" w:rsidR="00D73B87" w:rsidRPr="00C31E0D" w:rsidRDefault="00D97A2B"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Programmas dokumenta projekta </w:t>
            </w:r>
            <w:r w:rsidR="00EC066B" w:rsidRPr="00C31E0D">
              <w:rPr>
                <w:rFonts w:ascii="Times New Roman" w:eastAsia="Times New Roman" w:hAnsi="Times New Roman" w:cs="Times New Roman"/>
                <w:sz w:val="20"/>
                <w:szCs w:val="20"/>
                <w:lang w:eastAsia="lv-LV"/>
              </w:rPr>
              <w:t>nodaļa</w:t>
            </w:r>
            <w:r w:rsidRPr="00C31E0D">
              <w:rPr>
                <w:rFonts w:ascii="Times New Roman" w:eastAsia="Times New Roman" w:hAnsi="Times New Roman" w:cs="Times New Roman"/>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vAlign w:val="center"/>
            <w:hideMark/>
          </w:tcPr>
          <w:p w14:paraId="19328051" w14:textId="77F1D89D"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Iesniegtā iebilduma/</w:t>
            </w:r>
            <w:r w:rsidRPr="00C31E0D">
              <w:rPr>
                <w:rFonts w:ascii="Times New Roman" w:eastAsia="Times New Roman" w:hAnsi="Times New Roman" w:cs="Times New Roman"/>
                <w:sz w:val="20"/>
                <w:szCs w:val="20"/>
                <w:lang w:eastAsia="lv-LV"/>
              </w:rPr>
              <w:br/>
              <w:t>priekšlikuma būtība</w:t>
            </w:r>
          </w:p>
        </w:tc>
        <w:tc>
          <w:tcPr>
            <w:tcW w:w="539" w:type="pct"/>
            <w:tcBorders>
              <w:top w:val="outset" w:sz="6" w:space="0" w:color="414142"/>
              <w:left w:val="outset" w:sz="6" w:space="0" w:color="414142"/>
              <w:bottom w:val="outset" w:sz="6" w:space="0" w:color="414142"/>
              <w:right w:val="outset" w:sz="6" w:space="0" w:color="414142"/>
            </w:tcBorders>
            <w:vAlign w:val="center"/>
            <w:hideMark/>
          </w:tcPr>
          <w:p w14:paraId="41715DCC"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Ņemts vērā/</w:t>
            </w:r>
            <w:r w:rsidRPr="00C31E0D">
              <w:rPr>
                <w:rFonts w:ascii="Times New Roman" w:eastAsia="Times New Roman" w:hAnsi="Times New Roman" w:cs="Times New Roman"/>
                <w:sz w:val="20"/>
                <w:szCs w:val="20"/>
                <w:lang w:eastAsia="lv-LV"/>
              </w:rPr>
              <w:br/>
              <w:t>nav ņemts vērā</w:t>
            </w:r>
          </w:p>
        </w:tc>
        <w:tc>
          <w:tcPr>
            <w:tcW w:w="754" w:type="pct"/>
            <w:tcBorders>
              <w:top w:val="outset" w:sz="6" w:space="0" w:color="414142"/>
              <w:left w:val="outset" w:sz="6" w:space="0" w:color="414142"/>
              <w:bottom w:val="outset" w:sz="6" w:space="0" w:color="414142"/>
              <w:right w:val="outset" w:sz="6" w:space="0" w:color="414142"/>
            </w:tcBorders>
            <w:vAlign w:val="center"/>
            <w:hideMark/>
          </w:tcPr>
          <w:p w14:paraId="352821B1"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Pamatojums, ja iebildums/priekšlikums</w:t>
            </w:r>
            <w:r w:rsidRPr="00C31E0D">
              <w:rPr>
                <w:rFonts w:ascii="Times New Roman" w:eastAsia="Times New Roman" w:hAnsi="Times New Roman" w:cs="Times New Roman"/>
                <w:sz w:val="20"/>
                <w:szCs w:val="20"/>
                <w:lang w:eastAsia="lv-LV"/>
              </w:rPr>
              <w:br/>
              <w:t>nav ņemts vērā</w:t>
            </w:r>
          </w:p>
        </w:tc>
      </w:tr>
      <w:tr w:rsidR="00E31A66" w:rsidRPr="00C31E0D" w14:paraId="65DDA9DE"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695A4BC" w14:textId="73BC6287" w:rsidR="00FA41E6" w:rsidRPr="00C31E0D" w:rsidRDefault="00FA41E6" w:rsidP="00BA6961">
            <w:pPr>
              <w:spacing w:after="0" w:line="240" w:lineRule="auto"/>
              <w:jc w:val="center"/>
              <w:rPr>
                <w:rFonts w:ascii="Times New Roman" w:eastAsia="Times New Roman" w:hAnsi="Times New Roman" w:cs="Times New Roman"/>
                <w:b/>
                <w:bCs/>
                <w:sz w:val="20"/>
                <w:szCs w:val="20"/>
                <w:lang w:eastAsia="lv-LV"/>
              </w:rPr>
            </w:pPr>
            <w:r w:rsidRPr="00C31E0D">
              <w:rPr>
                <w:rFonts w:ascii="Times New Roman" w:eastAsia="Times New Roman" w:hAnsi="Times New Roman" w:cs="Times New Roman"/>
                <w:b/>
                <w:bCs/>
                <w:sz w:val="20"/>
                <w:szCs w:val="20"/>
                <w:lang w:eastAsia="lv-LV"/>
              </w:rPr>
              <w:t>Vispārīgi</w:t>
            </w:r>
          </w:p>
        </w:tc>
      </w:tr>
      <w:tr w:rsidR="00E31A66" w:rsidRPr="00C31E0D" w14:paraId="5E7D600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94399BB" w14:textId="5C2A2734"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700" w:type="pct"/>
            <w:tcBorders>
              <w:top w:val="outset" w:sz="6" w:space="0" w:color="414142"/>
              <w:left w:val="outset" w:sz="6" w:space="0" w:color="414142"/>
              <w:bottom w:val="outset" w:sz="6" w:space="0" w:color="414142"/>
              <w:right w:val="outset" w:sz="6" w:space="0" w:color="414142"/>
            </w:tcBorders>
          </w:tcPr>
          <w:p w14:paraId="316D9BD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54FF3E39"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5F02EB5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papildināt CBJR programmas projektu ar informāciju, ka visas atbalstāmās darbības tiks īstenotas saskaņā ar Nacionālo attīstības plānu 2021.–2027 gadam.</w:t>
            </w:r>
          </w:p>
          <w:p w14:paraId="0E0C6D1D"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E96A45B" w14:textId="77777777" w:rsidR="002D47F0" w:rsidRDefault="00463386" w:rsidP="00BA6961">
            <w:pPr>
              <w:spacing w:after="0" w:line="240" w:lineRule="auto"/>
              <w:rPr>
                <w:rFonts w:ascii="Times New Roman" w:eastAsia="Times New Roman" w:hAnsi="Times New Roman" w:cs="Times New Roman"/>
                <w:b/>
                <w:sz w:val="20"/>
                <w:szCs w:val="20"/>
                <w:lang w:eastAsia="lv-LV"/>
              </w:rPr>
            </w:pPr>
            <w:r w:rsidRPr="00463386">
              <w:rPr>
                <w:rFonts w:ascii="Times New Roman" w:eastAsia="Times New Roman" w:hAnsi="Times New Roman" w:cs="Times New Roman"/>
                <w:b/>
                <w:sz w:val="20"/>
                <w:szCs w:val="20"/>
                <w:lang w:eastAsia="lv-LV"/>
              </w:rPr>
              <w:t>Ņemts vērā.</w:t>
            </w:r>
            <w:r>
              <w:rPr>
                <w:rFonts w:ascii="Times New Roman" w:eastAsia="Times New Roman" w:hAnsi="Times New Roman" w:cs="Times New Roman"/>
                <w:b/>
                <w:sz w:val="20"/>
                <w:szCs w:val="20"/>
                <w:lang w:eastAsia="lv-LV"/>
              </w:rPr>
              <w:t xml:space="preserve"> Sniegts skaidrojums.</w:t>
            </w:r>
          </w:p>
          <w:p w14:paraId="3CD87377" w14:textId="77777777" w:rsidR="00463386" w:rsidRDefault="00463386" w:rsidP="00BA6961">
            <w:pPr>
              <w:spacing w:after="0" w:line="240" w:lineRule="auto"/>
              <w:rPr>
                <w:rFonts w:ascii="Times New Roman" w:eastAsia="Times New Roman" w:hAnsi="Times New Roman" w:cs="Times New Roman"/>
                <w:b/>
                <w:sz w:val="20"/>
                <w:szCs w:val="20"/>
                <w:lang w:eastAsia="lv-LV"/>
              </w:rPr>
            </w:pPr>
          </w:p>
          <w:p w14:paraId="0DC29D99" w14:textId="660E1B43" w:rsidR="00463386" w:rsidRPr="00463386" w:rsidRDefault="00463386" w:rsidP="00BA6961">
            <w:pPr>
              <w:spacing w:after="0" w:line="240" w:lineRule="auto"/>
              <w:rPr>
                <w:rFonts w:ascii="Times New Roman" w:eastAsia="Times New Roman" w:hAnsi="Times New Roman" w:cs="Times New Roman"/>
                <w:sz w:val="20"/>
                <w:szCs w:val="20"/>
                <w:lang w:eastAsia="lv-LV"/>
              </w:rPr>
            </w:pPr>
            <w:r w:rsidRPr="00463386">
              <w:rPr>
                <w:rFonts w:ascii="Times New Roman" w:eastAsia="Times New Roman" w:hAnsi="Times New Roman" w:cs="Times New Roman"/>
                <w:sz w:val="20"/>
                <w:szCs w:val="20"/>
                <w:lang w:eastAsia="lv-LV"/>
              </w:rPr>
              <w:t xml:space="preserve">Izstrādājot Programmas dokumentu, visas minētās prioritātes un atbalsta darbības balstās uz valstu nacionāla un reģionāla līmeņa attīstības plānošanas dokumentiem un tajos iekļautajām prioritātēm. Tomēr galvenais ietvars projektu atlasei un īstenošanai ir Programmas </w:t>
            </w:r>
            <w:r w:rsidRPr="00463386">
              <w:rPr>
                <w:rFonts w:ascii="Times New Roman" w:eastAsia="Times New Roman" w:hAnsi="Times New Roman" w:cs="Times New Roman"/>
                <w:sz w:val="20"/>
                <w:szCs w:val="20"/>
                <w:lang w:eastAsia="lv-LV"/>
              </w:rPr>
              <w:lastRenderedPageBreak/>
              <w:t>dokuments.</w:t>
            </w:r>
            <w:r>
              <w:rPr>
                <w:rFonts w:ascii="Times New Roman" w:eastAsia="Times New Roman" w:hAnsi="Times New Roman" w:cs="Times New Roman"/>
                <w:sz w:val="20"/>
                <w:szCs w:val="20"/>
                <w:lang w:eastAsia="lv-LV"/>
              </w:rPr>
              <w:t xml:space="preserve"> Vispārējs pieņēmums ir tāds, ka nepastāv pretrunas starp valstu nacionālajām  prioritātēm un Programmas prioritātēm. Vienlaikus pārrobežu  sadarbībai tiek noteikts šaurāks kopējo prioritāšu ietvars. Atsauces uz valstu nacionāla un reģionāla līmeņa attīstības plānošanas dokumentiem  norādītas Programmas Reģionālās analīzes dokumenta pielikumā.</w:t>
            </w:r>
          </w:p>
        </w:tc>
        <w:tc>
          <w:tcPr>
            <w:tcW w:w="754" w:type="pct"/>
            <w:tcBorders>
              <w:top w:val="outset" w:sz="6" w:space="0" w:color="414142"/>
              <w:left w:val="outset" w:sz="6" w:space="0" w:color="414142"/>
              <w:bottom w:val="outset" w:sz="6" w:space="0" w:color="414142"/>
              <w:right w:val="outset" w:sz="6" w:space="0" w:color="414142"/>
            </w:tcBorders>
          </w:tcPr>
          <w:p w14:paraId="7E24A29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r>
      <w:tr w:rsidR="00E31A66" w:rsidRPr="00C31E0D" w14:paraId="21581B9B"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594929A" w14:textId="582ED81F"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700" w:type="pct"/>
            <w:tcBorders>
              <w:top w:val="outset" w:sz="6" w:space="0" w:color="414142"/>
              <w:left w:val="outset" w:sz="6" w:space="0" w:color="414142"/>
              <w:bottom w:val="outset" w:sz="6" w:space="0" w:color="414142"/>
              <w:right w:val="outset" w:sz="6" w:space="0" w:color="414142"/>
            </w:tcBorders>
          </w:tcPr>
          <w:p w14:paraId="6FC8F48F"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0B5B1142"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3FB1B578"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papildināt CBJR programmas projektu ar uzraudzības rādītāju vērtībām.</w:t>
            </w:r>
          </w:p>
          <w:p w14:paraId="1F8B81A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5FAB5D2" w14:textId="41E13E02" w:rsidR="002D47F0" w:rsidRPr="00C31E0D" w:rsidRDefault="006B4051"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3E1E095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r>
      <w:tr w:rsidR="00E31A66" w:rsidRPr="00C31E0D" w14:paraId="08DD816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C27BF1B" w14:textId="1825FC20"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700" w:type="pct"/>
            <w:tcBorders>
              <w:top w:val="outset" w:sz="6" w:space="0" w:color="414142"/>
              <w:left w:val="outset" w:sz="6" w:space="0" w:color="414142"/>
              <w:bottom w:val="outset" w:sz="6" w:space="0" w:color="414142"/>
              <w:right w:val="outset" w:sz="6" w:space="0" w:color="414142"/>
            </w:tcBorders>
          </w:tcPr>
          <w:p w14:paraId="2BDB58AF"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18E5FE4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4A59A9D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papildināt CBJR programmas projektu ar informāciju, kādā veidā minētais dokuments veicinās COVID-19 izraisītās krīzes negatīvu seku mazināšanu.</w:t>
            </w:r>
          </w:p>
          <w:p w14:paraId="6CD4623B"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AC97130" w14:textId="3D4268A4" w:rsidR="002D47F0" w:rsidRPr="00E93FD4" w:rsidRDefault="0073235B" w:rsidP="00BA6961">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60184858" w14:textId="77777777" w:rsidR="00E93FD4" w:rsidRDefault="0073235B" w:rsidP="0073235B">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Sniegts skaidrojums.</w:t>
            </w:r>
          </w:p>
          <w:p w14:paraId="6B77299E" w14:textId="77777777" w:rsidR="00E93FD4" w:rsidRDefault="00E93FD4" w:rsidP="0073235B">
            <w:pPr>
              <w:spacing w:after="0" w:line="240" w:lineRule="auto"/>
              <w:rPr>
                <w:rFonts w:ascii="Times New Roman" w:eastAsia="Times New Roman" w:hAnsi="Times New Roman" w:cs="Times New Roman"/>
                <w:b/>
                <w:sz w:val="20"/>
                <w:szCs w:val="20"/>
                <w:lang w:eastAsia="lv-LV"/>
              </w:rPr>
            </w:pPr>
          </w:p>
          <w:p w14:paraId="0D080CBE" w14:textId="55847334" w:rsidR="002D47F0" w:rsidRPr="00C31E0D" w:rsidRDefault="0073235B" w:rsidP="0073235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Balstoties un Programmas darba grupā un Apvienotajā Programmēšanas komitejā notikušajām diskusijām panākta vienošanās, ka </w:t>
            </w:r>
            <w:r>
              <w:rPr>
                <w:rFonts w:ascii="Times New Roman" w:eastAsia="Times New Roman" w:hAnsi="Times New Roman" w:cs="Times New Roman"/>
                <w:sz w:val="20"/>
                <w:szCs w:val="20"/>
                <w:lang w:eastAsia="lv-LV"/>
              </w:rPr>
              <w:lastRenderedPageBreak/>
              <w:t>Programmai nepieciešams aptvert ilgāku laika perspektīvu un tajā netiek risinātas tūlītējas COVID-19 sekas. Dalībvalstu diskusiju laikā tika identificēti jauni aspekti saistībā ar izaicinājumiem un iespējamiem atbalsta virzieniem, taču kopumā dalībvalstis vienojās, ka Programmas dokumenta projektā nav nepieciešams iekļaut COVID-19 specifiskus elementus un darbības.</w:t>
            </w:r>
          </w:p>
        </w:tc>
      </w:tr>
      <w:tr w:rsidR="00E31A66" w:rsidRPr="00C31E0D" w14:paraId="0815E87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F9F4AD1" w14:textId="04460975"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w:t>
            </w:r>
          </w:p>
        </w:tc>
        <w:tc>
          <w:tcPr>
            <w:tcW w:w="700" w:type="pct"/>
            <w:tcBorders>
              <w:top w:val="outset" w:sz="6" w:space="0" w:color="414142"/>
              <w:left w:val="outset" w:sz="6" w:space="0" w:color="414142"/>
              <w:bottom w:val="outset" w:sz="6" w:space="0" w:color="414142"/>
              <w:right w:val="outset" w:sz="6" w:space="0" w:color="414142"/>
            </w:tcBorders>
          </w:tcPr>
          <w:p w14:paraId="6D05F2A3"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bdr w:val="none" w:sz="0" w:space="0" w:color="auto" w:frame="1"/>
                <w:lang w:eastAsia="lv-LV"/>
              </w:rPr>
              <w:t>Dabas aizsardzības pārvalde</w:t>
            </w:r>
          </w:p>
        </w:tc>
        <w:tc>
          <w:tcPr>
            <w:tcW w:w="519" w:type="pct"/>
            <w:tcBorders>
              <w:top w:val="outset" w:sz="6" w:space="0" w:color="414142"/>
              <w:left w:val="outset" w:sz="6" w:space="0" w:color="414142"/>
              <w:bottom w:val="outset" w:sz="6" w:space="0" w:color="414142"/>
              <w:right w:val="outset" w:sz="6" w:space="0" w:color="414142"/>
            </w:tcBorders>
          </w:tcPr>
          <w:p w14:paraId="183A58B2"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11695359"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Pārvalde atbalsta Programmas īstenošanas Vides alternatīvu, kas nerada negatīvas ietekmes risku uz bioloģisko daudzveidību un jūras vidi, kā arī neveicina piesārņojumu un klimata pārmaiņas. Pārvaldes ieskatā būtu atbalstāms, ja tiktu izvirzīti projektu atbalsta kritēriji, kas prioritāri sniedz finansējumu projektiem ar iespējami mazāku ietekmi uz vidi, tai skaitā bioloģisko daudzveidību.</w:t>
            </w:r>
          </w:p>
          <w:p w14:paraId="10AF3708"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CDEDC23" w14:textId="038FFEE2" w:rsidR="002D47F0" w:rsidRPr="00E93FD4" w:rsidRDefault="00E93FD4" w:rsidP="00BA6961">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E313C93" w14:textId="77777777" w:rsidR="002D47F0" w:rsidRPr="00E93FD4" w:rsidRDefault="00E93FD4" w:rsidP="00BA6961">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Sniegts skaidrojums.</w:t>
            </w:r>
          </w:p>
          <w:p w14:paraId="5DDB5C09" w14:textId="77777777" w:rsidR="00E93FD4" w:rsidRDefault="00E93FD4" w:rsidP="00BA6961">
            <w:pPr>
              <w:spacing w:after="0" w:line="240" w:lineRule="auto"/>
              <w:rPr>
                <w:rFonts w:ascii="Times New Roman" w:eastAsia="Times New Roman" w:hAnsi="Times New Roman" w:cs="Times New Roman"/>
                <w:sz w:val="20"/>
                <w:szCs w:val="20"/>
                <w:lang w:eastAsia="lv-LV"/>
              </w:rPr>
            </w:pPr>
          </w:p>
          <w:p w14:paraId="7CB00753" w14:textId="0AC0E7C2" w:rsidR="00E93FD4" w:rsidRPr="00C31E0D" w:rsidRDefault="00E93FD4" w:rsidP="00E93FD4">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Šādu atbalsta kritēriju, ko izmantotu vērtējot visus projektus Programmas prioritāšu ietvaros būtu ļoti grūti izveidot. Tas daļēji tiks izvērtēts vispārējā līmenī izmantojot horizontālo principu “ilgtspējīga attīstība”.</w:t>
            </w:r>
          </w:p>
        </w:tc>
      </w:tr>
      <w:tr w:rsidR="00E31A66" w:rsidRPr="00C31E0D" w14:paraId="332B107C"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0A08E49" w14:textId="0DE578F7" w:rsidR="006D55E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700" w:type="pct"/>
            <w:tcBorders>
              <w:top w:val="outset" w:sz="6" w:space="0" w:color="414142"/>
              <w:left w:val="outset" w:sz="6" w:space="0" w:color="414142"/>
              <w:bottom w:val="outset" w:sz="6" w:space="0" w:color="414142"/>
              <w:right w:val="outset" w:sz="6" w:space="0" w:color="414142"/>
            </w:tcBorders>
          </w:tcPr>
          <w:p w14:paraId="1A7F507A"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213F1683" w14:textId="38EA176E"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 (Attiecīgi tekstā)</w:t>
            </w:r>
          </w:p>
        </w:tc>
        <w:tc>
          <w:tcPr>
            <w:tcW w:w="2369" w:type="pct"/>
            <w:tcBorders>
              <w:top w:val="outset" w:sz="6" w:space="0" w:color="414142"/>
              <w:left w:val="outset" w:sz="6" w:space="0" w:color="414142"/>
              <w:bottom w:val="outset" w:sz="6" w:space="0" w:color="414142"/>
              <w:right w:val="outset" w:sz="6" w:space="0" w:color="414142"/>
            </w:tcBorders>
          </w:tcPr>
          <w:p w14:paraId="0C4F704B"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Programmas projektā ir izvirzīta prioritāte “Centrālā Baltijas jūras reģiona MVU eksporta apjomu palielināšana”. Norādām, ka būtu ļoti svarīgi domāt ne tikai par eksporta apjomu, bet tieši par pievienoto vērtību, ko eksportējam, lai mēs pārstātu eksportēt zemas PV preces, par ko saņemam niecīgu labumu – tikai izvedam savus resursus. Tāpēc aicinām izteikt šo prioritāti šāda redakcijā “Centrālā Baltijas jūras reģiona MVU augstas pievienotās vērtības eksporta apjomu palielināšana”.</w:t>
            </w:r>
          </w:p>
          <w:p w14:paraId="5E939269"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E64A394" w14:textId="4EB94431" w:rsidR="006D55E0" w:rsidRPr="00C31E0D" w:rsidRDefault="00153BD6" w:rsidP="00BA6961">
            <w:pPr>
              <w:spacing w:after="0" w:line="240" w:lineRule="auto"/>
              <w:rPr>
                <w:rFonts w:ascii="Times New Roman" w:eastAsia="Times New Roman" w:hAnsi="Times New Roman" w:cs="Times New Roman"/>
                <w:sz w:val="20"/>
                <w:szCs w:val="20"/>
                <w:lang w:eastAsia="lv-LV"/>
              </w:rPr>
            </w:pPr>
            <w:r w:rsidRPr="00E93FD4">
              <w:rPr>
                <w:rFonts w:ascii="Times New Roman" w:eastAsia="Times New Roman" w:hAnsi="Times New Roman" w:cs="Times New Roman"/>
                <w:b/>
                <w:sz w:val="20"/>
                <w:szCs w:val="20"/>
                <w:lang w:eastAsia="lv-LV"/>
              </w:rPr>
              <w:t>Nav ņemts vērā</w:t>
            </w:r>
            <w:r>
              <w:rPr>
                <w:rFonts w:ascii="Times New Roman" w:eastAsia="Times New Roman" w:hAnsi="Times New Roman" w:cs="Times New Roman"/>
                <w:b/>
                <w:sz w:val="20"/>
                <w:szCs w:val="20"/>
                <w:lang w:eastAsia="lv-LV"/>
              </w:rPr>
              <w:t>.</w:t>
            </w:r>
          </w:p>
        </w:tc>
        <w:tc>
          <w:tcPr>
            <w:tcW w:w="754" w:type="pct"/>
            <w:tcBorders>
              <w:top w:val="outset" w:sz="6" w:space="0" w:color="414142"/>
              <w:left w:val="outset" w:sz="6" w:space="0" w:color="414142"/>
              <w:bottom w:val="outset" w:sz="6" w:space="0" w:color="414142"/>
              <w:right w:val="outset" w:sz="6" w:space="0" w:color="414142"/>
            </w:tcBorders>
          </w:tcPr>
          <w:p w14:paraId="6010F470" w14:textId="77777777" w:rsidR="00153BD6" w:rsidRPr="00E93FD4" w:rsidRDefault="00153BD6" w:rsidP="00153BD6">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Sniegts skaidrojums.</w:t>
            </w:r>
          </w:p>
          <w:p w14:paraId="36825BD1" w14:textId="77777777" w:rsidR="006D55E0" w:rsidRDefault="006D55E0" w:rsidP="00BA6961">
            <w:pPr>
              <w:spacing w:after="0" w:line="240" w:lineRule="auto"/>
              <w:rPr>
                <w:rFonts w:ascii="Times New Roman" w:eastAsia="Times New Roman" w:hAnsi="Times New Roman" w:cs="Times New Roman"/>
                <w:sz w:val="20"/>
                <w:szCs w:val="20"/>
                <w:lang w:eastAsia="lv-LV"/>
              </w:rPr>
            </w:pPr>
          </w:p>
          <w:p w14:paraId="55E45203" w14:textId="03D9A12B" w:rsidR="00153BD6" w:rsidRPr="00C31E0D" w:rsidRDefault="00153BD6" w:rsidP="00153BD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Norādām, ka maz ticams, </w:t>
            </w:r>
            <w:proofErr w:type="spellStart"/>
            <w:r>
              <w:rPr>
                <w:rFonts w:ascii="Times New Roman" w:eastAsia="Times New Roman" w:hAnsi="Times New Roman" w:cs="Times New Roman"/>
                <w:sz w:val="20"/>
                <w:szCs w:val="20"/>
                <w:lang w:eastAsia="lv-LV"/>
              </w:rPr>
              <w:t>la</w:t>
            </w:r>
            <w:proofErr w:type="spellEnd"/>
            <w:r>
              <w:rPr>
                <w:rFonts w:ascii="Times New Roman" w:eastAsia="Times New Roman" w:hAnsi="Times New Roman" w:cs="Times New Roman"/>
                <w:sz w:val="20"/>
                <w:szCs w:val="20"/>
                <w:lang w:eastAsia="lv-LV"/>
              </w:rPr>
              <w:t xml:space="preserve"> mazvērtīgus produktus un pakalpojumus ražojoši uzņēmumi ir ieinteresēti pārrobežu sadarbībā, iekļūstot tirgos ārpus ES/EBTA. Programmā </w:t>
            </w:r>
            <w:r>
              <w:rPr>
                <w:rFonts w:ascii="Times New Roman" w:eastAsia="Times New Roman" w:hAnsi="Times New Roman" w:cs="Times New Roman"/>
                <w:sz w:val="20"/>
                <w:szCs w:val="20"/>
                <w:lang w:eastAsia="lv-LV"/>
              </w:rPr>
              <w:lastRenderedPageBreak/>
              <w:t>iekļauts uzsvars uz “inovatīvām kompānijām”, pamatojoties uz to iekļauts šāds teikums: “Inovatīvi uzņēmumi ir definēti kā uzņēmumi, kas vērsti uz augstākās pievienotās vērtības radīšanu nekā vidēji nozarē un reģionā”.</w:t>
            </w:r>
          </w:p>
        </w:tc>
      </w:tr>
      <w:tr w:rsidR="00E31A66" w:rsidRPr="00C31E0D" w14:paraId="16521DB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6244542" w14:textId="375E5CB2" w:rsidR="006D55E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6.</w:t>
            </w:r>
          </w:p>
        </w:tc>
        <w:tc>
          <w:tcPr>
            <w:tcW w:w="700" w:type="pct"/>
            <w:tcBorders>
              <w:top w:val="outset" w:sz="6" w:space="0" w:color="414142"/>
              <w:left w:val="outset" w:sz="6" w:space="0" w:color="414142"/>
              <w:bottom w:val="outset" w:sz="6" w:space="0" w:color="414142"/>
              <w:right w:val="outset" w:sz="6" w:space="0" w:color="414142"/>
            </w:tcBorders>
          </w:tcPr>
          <w:p w14:paraId="0881B126"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7275ACCF" w14:textId="72689F5C"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 (Attiecīgi tekstā)</w:t>
            </w:r>
          </w:p>
        </w:tc>
        <w:tc>
          <w:tcPr>
            <w:tcW w:w="2369" w:type="pct"/>
            <w:tcBorders>
              <w:top w:val="outset" w:sz="6" w:space="0" w:color="414142"/>
              <w:left w:val="outset" w:sz="6" w:space="0" w:color="414142"/>
              <w:bottom w:val="outset" w:sz="6" w:space="0" w:color="414142"/>
              <w:right w:val="outset" w:sz="6" w:space="0" w:color="414142"/>
            </w:tcBorders>
          </w:tcPr>
          <w:p w14:paraId="27736F45"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Programmas projektā ir izvirzīta prioritāte “Centrālā Baltijas jūras reģiona centieni stiprināt un uzlabot nodarbinātības iespējas darba tirgū”. Norādām, ka vārds “centieni” paredz ļoti nekonkrētas, diezgan neizmērāmas darbības, tāpēc piedāvājam izteikt šo prioritāti kā “Stiprinātas un uzlabotas nodarbinātības iespējas darba tirgū Centrālā Baltijas jūras reģionā”.</w:t>
            </w:r>
          </w:p>
          <w:p w14:paraId="12807D77"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659F813" w14:textId="2CF491B3" w:rsidR="006D55E0" w:rsidRPr="00153BD6" w:rsidRDefault="00153BD6" w:rsidP="00BA6961">
            <w:pPr>
              <w:spacing w:after="0" w:line="240" w:lineRule="auto"/>
              <w:rPr>
                <w:rFonts w:ascii="Times New Roman" w:eastAsia="Times New Roman" w:hAnsi="Times New Roman" w:cs="Times New Roman"/>
                <w:b/>
                <w:sz w:val="20"/>
                <w:szCs w:val="20"/>
                <w:lang w:eastAsia="lv-LV"/>
              </w:rPr>
            </w:pPr>
            <w:r w:rsidRPr="00153BD6">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4C12447D" w14:textId="77777777" w:rsidR="006D55E0" w:rsidRPr="00153BD6" w:rsidRDefault="00153BD6" w:rsidP="00BA6961">
            <w:pPr>
              <w:spacing w:after="0" w:line="240" w:lineRule="auto"/>
              <w:rPr>
                <w:rFonts w:ascii="Times New Roman" w:eastAsia="Times New Roman" w:hAnsi="Times New Roman" w:cs="Times New Roman"/>
                <w:b/>
                <w:sz w:val="20"/>
                <w:szCs w:val="20"/>
                <w:lang w:eastAsia="lv-LV"/>
              </w:rPr>
            </w:pPr>
            <w:r w:rsidRPr="00153BD6">
              <w:rPr>
                <w:rFonts w:ascii="Times New Roman" w:eastAsia="Times New Roman" w:hAnsi="Times New Roman" w:cs="Times New Roman"/>
                <w:b/>
                <w:sz w:val="20"/>
                <w:szCs w:val="20"/>
                <w:lang w:eastAsia="lv-LV"/>
              </w:rPr>
              <w:t>Sniegts skaidrojums.</w:t>
            </w:r>
          </w:p>
          <w:p w14:paraId="17EB516B" w14:textId="77777777" w:rsidR="00153BD6" w:rsidRDefault="00153BD6" w:rsidP="00BA6961">
            <w:pPr>
              <w:spacing w:after="0" w:line="240" w:lineRule="auto"/>
              <w:rPr>
                <w:rFonts w:ascii="Times New Roman" w:eastAsia="Times New Roman" w:hAnsi="Times New Roman" w:cs="Times New Roman"/>
                <w:sz w:val="20"/>
                <w:szCs w:val="20"/>
                <w:lang w:eastAsia="lv-LV"/>
              </w:rPr>
            </w:pPr>
          </w:p>
          <w:p w14:paraId="08CEA6E2" w14:textId="5FFD3F88" w:rsidR="00153BD6" w:rsidRDefault="00153BD6"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Ar “kopīgiem centieniem” Programma saprot “kopīgas darbības”.</w:t>
            </w:r>
          </w:p>
          <w:p w14:paraId="248ED36F" w14:textId="68958B6A" w:rsidR="00153BD6" w:rsidRPr="00153BD6" w:rsidRDefault="00153BD6" w:rsidP="00BA6961">
            <w:pPr>
              <w:spacing w:after="0" w:line="240" w:lineRule="auto"/>
              <w:rPr>
                <w:rFonts w:ascii="Times New Roman" w:eastAsia="Times New Roman" w:hAnsi="Times New Roman" w:cs="Times New Roman"/>
                <w:b/>
                <w:sz w:val="20"/>
                <w:szCs w:val="20"/>
                <w:lang w:eastAsia="lv-LV"/>
              </w:rPr>
            </w:pPr>
          </w:p>
        </w:tc>
      </w:tr>
      <w:tr w:rsidR="00E31A66" w:rsidRPr="00C31E0D" w14:paraId="333E89CB"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8BF33F3" w14:textId="3A16DEA6" w:rsidR="006404DD"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700" w:type="pct"/>
            <w:tcBorders>
              <w:top w:val="outset" w:sz="6" w:space="0" w:color="414142"/>
              <w:left w:val="outset" w:sz="6" w:space="0" w:color="414142"/>
              <w:bottom w:val="outset" w:sz="6" w:space="0" w:color="414142"/>
              <w:right w:val="outset" w:sz="6" w:space="0" w:color="414142"/>
            </w:tcBorders>
          </w:tcPr>
          <w:p w14:paraId="7A38BD8D"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6DCCC6FA" w14:textId="2F87F6B4"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 (Attiecīgi tekstā)</w:t>
            </w:r>
          </w:p>
        </w:tc>
        <w:tc>
          <w:tcPr>
            <w:tcW w:w="2369" w:type="pct"/>
            <w:tcBorders>
              <w:top w:val="outset" w:sz="6" w:space="0" w:color="414142"/>
              <w:left w:val="outset" w:sz="6" w:space="0" w:color="414142"/>
              <w:bottom w:val="outset" w:sz="6" w:space="0" w:color="414142"/>
              <w:right w:val="outset" w:sz="6" w:space="0" w:color="414142"/>
            </w:tcBorders>
          </w:tcPr>
          <w:p w14:paraId="63FA4F4B"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Satiksmes ministrija izsaka priekšlikumu no sadaļas “Konkrētais mērķis (viii): Ilgtspējīgas un multimodālas pilsētas mobilitātes veicināšana” pārcelt pie izaicinājumiem un šķēršļiem minēto izaicinājumu “Transporta sistēmu radīto CO2 emisiju daudzuma samazināšana”, iekļaujot to sadaļā “Konkrētais mērķis (vii): Dabas aizsardzības, bioloģiskās daudzveidības un zaļās infrastruktūras veicināšana, sevišķi pilsētvidē, un piesārņojuma samazināšana”, kā arī attiecīgi veikt nepieciešamās izmaiņas abu sadaļu aprakstošajos tekstos.</w:t>
            </w:r>
          </w:p>
          <w:p w14:paraId="14C0CE6F"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3BC382A" w14:textId="7A7296FC" w:rsidR="006404DD" w:rsidRPr="00C31E0D" w:rsidRDefault="004F4770" w:rsidP="00BA6961">
            <w:pPr>
              <w:spacing w:after="0" w:line="240" w:lineRule="auto"/>
              <w:rPr>
                <w:rFonts w:ascii="Times New Roman" w:eastAsia="Times New Roman" w:hAnsi="Times New Roman" w:cs="Times New Roman"/>
                <w:sz w:val="20"/>
                <w:szCs w:val="20"/>
                <w:lang w:eastAsia="lv-LV"/>
              </w:rPr>
            </w:pPr>
            <w:r w:rsidRPr="00153BD6">
              <w:rPr>
                <w:rFonts w:ascii="Times New Roman" w:eastAsia="Times New Roman" w:hAnsi="Times New Roman" w:cs="Times New Roman"/>
                <w:b/>
                <w:sz w:val="20"/>
                <w:szCs w:val="20"/>
                <w:lang w:eastAsia="lv-LV"/>
              </w:rPr>
              <w:t>Nav ņemts vērā</w:t>
            </w:r>
            <w:r>
              <w:rPr>
                <w:rFonts w:ascii="Times New Roman" w:eastAsia="Times New Roman" w:hAnsi="Times New Roman" w:cs="Times New Roman"/>
                <w:b/>
                <w:sz w:val="20"/>
                <w:szCs w:val="20"/>
                <w:lang w:eastAsia="lv-LV"/>
              </w:rPr>
              <w:t>.</w:t>
            </w:r>
          </w:p>
        </w:tc>
        <w:tc>
          <w:tcPr>
            <w:tcW w:w="754" w:type="pct"/>
            <w:tcBorders>
              <w:top w:val="outset" w:sz="6" w:space="0" w:color="414142"/>
              <w:left w:val="outset" w:sz="6" w:space="0" w:color="414142"/>
              <w:bottom w:val="outset" w:sz="6" w:space="0" w:color="414142"/>
              <w:right w:val="outset" w:sz="6" w:space="0" w:color="414142"/>
            </w:tcBorders>
          </w:tcPr>
          <w:p w14:paraId="2A39EBFB" w14:textId="77777777" w:rsidR="006404DD" w:rsidRPr="004F4770" w:rsidRDefault="004F4770" w:rsidP="00BA6961">
            <w:pPr>
              <w:spacing w:after="0" w:line="240" w:lineRule="auto"/>
              <w:rPr>
                <w:rFonts w:ascii="Times New Roman" w:eastAsia="Times New Roman" w:hAnsi="Times New Roman" w:cs="Times New Roman"/>
                <w:b/>
                <w:sz w:val="20"/>
                <w:szCs w:val="20"/>
                <w:lang w:eastAsia="lv-LV"/>
              </w:rPr>
            </w:pPr>
            <w:r w:rsidRPr="004F4770">
              <w:rPr>
                <w:rFonts w:ascii="Times New Roman" w:eastAsia="Times New Roman" w:hAnsi="Times New Roman" w:cs="Times New Roman"/>
                <w:b/>
                <w:sz w:val="20"/>
                <w:szCs w:val="20"/>
                <w:lang w:eastAsia="lv-LV"/>
              </w:rPr>
              <w:t>Sniegts skaidrojums.</w:t>
            </w:r>
          </w:p>
          <w:p w14:paraId="37D7A36E" w14:textId="77777777" w:rsidR="004F4770" w:rsidRDefault="004F4770" w:rsidP="00BA6961">
            <w:pPr>
              <w:spacing w:after="0" w:line="240" w:lineRule="auto"/>
              <w:rPr>
                <w:rFonts w:ascii="Times New Roman" w:eastAsia="Times New Roman" w:hAnsi="Times New Roman" w:cs="Times New Roman"/>
                <w:sz w:val="20"/>
                <w:szCs w:val="20"/>
                <w:lang w:eastAsia="lv-LV"/>
              </w:rPr>
            </w:pPr>
          </w:p>
          <w:p w14:paraId="26C373CF" w14:textId="5254BC44" w:rsidR="004F4770" w:rsidRPr="00C31E0D" w:rsidRDefault="004F4770" w:rsidP="004F477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Izstrādājot Programmu, sākotnēji tika identificēti kopīgi izaicinājumi un tikai pēc tam tika noteikts atbilstošākais konkrētais mērķis un Programmas mērķis.</w:t>
            </w:r>
          </w:p>
        </w:tc>
      </w:tr>
      <w:tr w:rsidR="00E31A66" w:rsidRPr="00C31E0D" w14:paraId="74F966E6"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38C27DC" w14:textId="0B1ECE29" w:rsidR="007A337A" w:rsidRPr="00C31E0D" w:rsidRDefault="007A337A" w:rsidP="007A337A">
            <w:pPr>
              <w:pStyle w:val="Heading1"/>
              <w:numPr>
                <w:ilvl w:val="0"/>
                <w:numId w:val="4"/>
              </w:numPr>
              <w:tabs>
                <w:tab w:val="left" w:pos="534"/>
              </w:tabs>
              <w:spacing w:before="107"/>
              <w:ind w:hanging="263"/>
              <w:jc w:val="center"/>
              <w:rPr>
                <w:rFonts w:ascii="Times New Roman" w:hAnsi="Times New Roman" w:cs="Times New Roman"/>
              </w:rPr>
            </w:pPr>
            <w:bookmarkStart w:id="2" w:name="_Hlk69278521"/>
            <w:r w:rsidRPr="00C31E0D">
              <w:rPr>
                <w:rFonts w:ascii="Times New Roman" w:hAnsi="Times New Roman" w:cs="Times New Roman"/>
              </w:rPr>
              <w:t>Programmas stratēģija. Galvenie attīstības izaicinājumi un politikas atbildes pasākumi</w:t>
            </w:r>
          </w:p>
          <w:p w14:paraId="03EEA33F" w14:textId="6074C2A8" w:rsidR="00EC066B" w:rsidRPr="00C31E0D" w:rsidRDefault="00EC066B" w:rsidP="00EC066B">
            <w:pPr>
              <w:spacing w:after="0" w:line="240" w:lineRule="auto"/>
              <w:jc w:val="center"/>
              <w:rPr>
                <w:rFonts w:ascii="Times New Roman" w:eastAsia="Times New Roman" w:hAnsi="Times New Roman" w:cs="Times New Roman"/>
                <w:b/>
                <w:bCs/>
                <w:sz w:val="20"/>
                <w:szCs w:val="20"/>
                <w:lang w:eastAsia="lv-LV"/>
              </w:rPr>
            </w:pPr>
          </w:p>
        </w:tc>
      </w:tr>
      <w:tr w:rsidR="00E31A66" w:rsidRPr="00C31E0D" w14:paraId="034C8A12"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vAlign w:val="center"/>
          </w:tcPr>
          <w:p w14:paraId="0ABC824D" w14:textId="77777777" w:rsidR="007A337A" w:rsidRPr="00C31E0D" w:rsidRDefault="007A337A" w:rsidP="007A337A">
            <w:pPr>
              <w:pStyle w:val="Heading1"/>
              <w:tabs>
                <w:tab w:val="left" w:pos="657"/>
              </w:tabs>
              <w:ind w:left="0"/>
              <w:jc w:val="center"/>
              <w:rPr>
                <w:rFonts w:ascii="Times New Roman" w:hAnsi="Times New Roman" w:cs="Times New Roman"/>
              </w:rPr>
            </w:pPr>
            <w:bookmarkStart w:id="3" w:name="_Hlk69279871"/>
            <w:bookmarkEnd w:id="2"/>
          </w:p>
          <w:p w14:paraId="7416CE28" w14:textId="670F7398" w:rsidR="007A337A" w:rsidRPr="00C31E0D" w:rsidRDefault="007A337A" w:rsidP="007A337A">
            <w:pPr>
              <w:pStyle w:val="Heading1"/>
              <w:tabs>
                <w:tab w:val="left" w:pos="657"/>
              </w:tabs>
              <w:ind w:left="0"/>
              <w:jc w:val="center"/>
              <w:rPr>
                <w:rFonts w:ascii="Times New Roman" w:hAnsi="Times New Roman" w:cs="Times New Roman"/>
              </w:rPr>
            </w:pPr>
            <w:r w:rsidRPr="00C31E0D">
              <w:rPr>
                <w:rFonts w:ascii="Times New Roman" w:hAnsi="Times New Roman" w:cs="Times New Roman"/>
              </w:rPr>
              <w:t>1.2.Galveno kopējo izaicinājumu kopsavilkums</w:t>
            </w:r>
          </w:p>
          <w:p w14:paraId="20B2B814" w14:textId="6C898DEE" w:rsidR="00C91BB5" w:rsidRPr="00C31E0D" w:rsidRDefault="00C91BB5" w:rsidP="00BA6961">
            <w:pPr>
              <w:spacing w:after="0" w:line="240" w:lineRule="auto"/>
              <w:jc w:val="center"/>
              <w:rPr>
                <w:rFonts w:ascii="Times New Roman" w:eastAsia="Times New Roman" w:hAnsi="Times New Roman" w:cs="Times New Roman"/>
                <w:b/>
                <w:bCs/>
                <w:sz w:val="20"/>
                <w:szCs w:val="20"/>
                <w:lang w:eastAsia="lv-LV"/>
              </w:rPr>
            </w:pPr>
          </w:p>
        </w:tc>
      </w:tr>
      <w:bookmarkEnd w:id="3"/>
      <w:tr w:rsidR="00E31A66" w:rsidRPr="00C31E0D" w14:paraId="5ECFD0F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C3601F4" w14:textId="1A6852CF" w:rsidR="006D55E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p>
        </w:tc>
        <w:tc>
          <w:tcPr>
            <w:tcW w:w="700" w:type="pct"/>
            <w:tcBorders>
              <w:top w:val="outset" w:sz="6" w:space="0" w:color="414142"/>
              <w:left w:val="outset" w:sz="6" w:space="0" w:color="414142"/>
              <w:bottom w:val="outset" w:sz="6" w:space="0" w:color="414142"/>
              <w:right w:val="outset" w:sz="6" w:space="0" w:color="414142"/>
            </w:tcBorders>
          </w:tcPr>
          <w:p w14:paraId="2EF5B6D9"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bdr w:val="none" w:sz="0" w:space="0" w:color="auto" w:frame="1"/>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23746811" w14:textId="7853B056" w:rsidR="006D55E0" w:rsidRPr="00C31E0D" w:rsidRDefault="006D55E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 </w:t>
            </w:r>
          </w:p>
        </w:tc>
        <w:tc>
          <w:tcPr>
            <w:tcW w:w="2369" w:type="pct"/>
            <w:tcBorders>
              <w:top w:val="outset" w:sz="6" w:space="0" w:color="414142"/>
              <w:left w:val="outset" w:sz="6" w:space="0" w:color="414142"/>
              <w:bottom w:val="outset" w:sz="6" w:space="0" w:color="414142"/>
              <w:right w:val="outset" w:sz="6" w:space="0" w:color="414142"/>
            </w:tcBorders>
          </w:tcPr>
          <w:p w14:paraId="43C927B9"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 xml:space="preserve">Programmas projekta 1.2. sadaļas nosaukums ir “Galveno kopējo izaicinājumu kopsavilkums”, kas paredz, ka šajā sadaļā tiks runāts par būtiskākajiem izaicinājumiem. Taču apakšnodaļu nosaukumi, sākot ar 1.2.2., nav formulēti atbilstoši 1.2. sadaļas nosaukumam, piemēram, 1.2.2. “Centrālā Baltijas jūras reģiona programmā uzmanība pievērsta uzņēmējdarbībai un tirgiem (Politikas mērķis 1)”, kas nozīmē, ka izaicinājums ir tas, ka uzmanība tiek pievērsta </w:t>
            </w:r>
            <w:r w:rsidRPr="00C31E0D">
              <w:rPr>
                <w:rFonts w:ascii="Times New Roman" w:eastAsia="Times New Roman" w:hAnsi="Times New Roman" w:cs="Times New Roman"/>
                <w:sz w:val="20"/>
                <w:szCs w:val="20"/>
                <w:bdr w:val="none" w:sz="0" w:space="0" w:color="auto" w:frame="1"/>
                <w:lang w:eastAsia="lv-LV"/>
              </w:rPr>
              <w:lastRenderedPageBreak/>
              <w:t>uzņēmējdarbībai un tirgiem. Apakš sadaļās vēlāk tiek pievērta uzmanība izaicinājumiem šai jomā, taču apakš sadaļu nosaukumu formulējumus būtu nepieciešamas koriģēt, vai arī mainīt visas 1.2 sadaļas nosaukumu atbilstoši apakš sadaļām.</w:t>
            </w:r>
          </w:p>
          <w:p w14:paraId="1705ABFE"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D65BD28" w14:textId="77777777" w:rsidR="00A01BBB" w:rsidRDefault="00E958BF" w:rsidP="00BA6961">
            <w:pPr>
              <w:spacing w:after="0" w:line="240" w:lineRule="auto"/>
              <w:rPr>
                <w:rFonts w:ascii="Times New Roman" w:eastAsia="Times New Roman" w:hAnsi="Times New Roman" w:cs="Times New Roman"/>
                <w:b/>
                <w:sz w:val="20"/>
                <w:szCs w:val="20"/>
                <w:lang w:eastAsia="lv-LV"/>
              </w:rPr>
            </w:pPr>
            <w:r w:rsidRPr="00E958BF">
              <w:rPr>
                <w:rFonts w:ascii="Times New Roman" w:eastAsia="Times New Roman" w:hAnsi="Times New Roman" w:cs="Times New Roman"/>
                <w:b/>
                <w:sz w:val="20"/>
                <w:szCs w:val="20"/>
                <w:lang w:eastAsia="lv-LV"/>
              </w:rPr>
              <w:lastRenderedPageBreak/>
              <w:t>Ņemts vērā.</w:t>
            </w:r>
            <w:r w:rsidR="00A01BBB">
              <w:rPr>
                <w:rFonts w:ascii="Times New Roman" w:eastAsia="Times New Roman" w:hAnsi="Times New Roman" w:cs="Times New Roman"/>
                <w:b/>
                <w:sz w:val="20"/>
                <w:szCs w:val="20"/>
                <w:lang w:eastAsia="lv-LV"/>
              </w:rPr>
              <w:t xml:space="preserve"> Sniegts skaidrojums. </w:t>
            </w:r>
          </w:p>
          <w:p w14:paraId="44BDE52F" w14:textId="77777777" w:rsidR="00A01BBB" w:rsidRDefault="00A01BBB" w:rsidP="00BA6961">
            <w:pPr>
              <w:spacing w:after="0" w:line="240" w:lineRule="auto"/>
              <w:rPr>
                <w:rFonts w:ascii="Times New Roman" w:eastAsia="Times New Roman" w:hAnsi="Times New Roman" w:cs="Times New Roman"/>
                <w:b/>
                <w:sz w:val="20"/>
                <w:szCs w:val="20"/>
                <w:lang w:eastAsia="lv-LV"/>
              </w:rPr>
            </w:pPr>
          </w:p>
          <w:p w14:paraId="4FA3E333" w14:textId="73169779" w:rsidR="006D55E0" w:rsidRPr="00A01BBB" w:rsidRDefault="00A01BBB" w:rsidP="00BA6961">
            <w:pPr>
              <w:spacing w:after="0" w:line="240" w:lineRule="auto"/>
              <w:rPr>
                <w:rFonts w:ascii="Times New Roman" w:eastAsia="Times New Roman" w:hAnsi="Times New Roman" w:cs="Times New Roman"/>
                <w:sz w:val="20"/>
                <w:szCs w:val="20"/>
                <w:lang w:eastAsia="lv-LV"/>
              </w:rPr>
            </w:pPr>
            <w:r w:rsidRPr="00A01BBB">
              <w:rPr>
                <w:rFonts w:ascii="Times New Roman" w:eastAsia="Times New Roman" w:hAnsi="Times New Roman" w:cs="Times New Roman"/>
                <w:sz w:val="20"/>
                <w:szCs w:val="20"/>
                <w:lang w:eastAsia="lv-LV"/>
              </w:rPr>
              <w:t xml:space="preserve">Precizēti Programmas </w:t>
            </w:r>
            <w:r w:rsidRPr="00A01BBB">
              <w:rPr>
                <w:rFonts w:ascii="Times New Roman" w:eastAsia="Times New Roman" w:hAnsi="Times New Roman" w:cs="Times New Roman"/>
                <w:sz w:val="20"/>
                <w:szCs w:val="20"/>
                <w:lang w:eastAsia="lv-LV"/>
              </w:rPr>
              <w:lastRenderedPageBreak/>
              <w:t>prioritāšu nosaukumi.</w:t>
            </w:r>
          </w:p>
        </w:tc>
        <w:tc>
          <w:tcPr>
            <w:tcW w:w="754" w:type="pct"/>
            <w:tcBorders>
              <w:top w:val="outset" w:sz="6" w:space="0" w:color="414142"/>
              <w:left w:val="outset" w:sz="6" w:space="0" w:color="414142"/>
              <w:bottom w:val="outset" w:sz="6" w:space="0" w:color="414142"/>
              <w:right w:val="outset" w:sz="6" w:space="0" w:color="414142"/>
            </w:tcBorders>
          </w:tcPr>
          <w:p w14:paraId="5D4FF0A5"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r>
      <w:tr w:rsidR="00E31A66" w:rsidRPr="00C31E0D" w14:paraId="7D389E8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5EB4166" w14:textId="0306A6E9" w:rsidR="00C91BB5" w:rsidRPr="00C31E0D" w:rsidRDefault="00C91BB5" w:rsidP="00BA6961">
            <w:pPr>
              <w:spacing w:after="0" w:line="240" w:lineRule="auto"/>
              <w:jc w:val="center"/>
              <w:rPr>
                <w:rFonts w:ascii="Times New Roman" w:eastAsia="Times New Roman" w:hAnsi="Times New Roman" w:cs="Times New Roman"/>
                <w:b/>
                <w:bCs/>
                <w:sz w:val="20"/>
                <w:szCs w:val="20"/>
                <w:lang w:eastAsia="lv-LV"/>
              </w:rPr>
            </w:pPr>
            <w:bookmarkStart w:id="4" w:name="_Hlk69279904"/>
            <w:r w:rsidRPr="00C31E0D">
              <w:rPr>
                <w:rFonts w:ascii="Times New Roman" w:eastAsia="Times New Roman" w:hAnsi="Times New Roman" w:cs="Times New Roman"/>
                <w:b/>
                <w:bCs/>
                <w:sz w:val="20"/>
                <w:szCs w:val="20"/>
                <w:lang w:eastAsia="lv-LV"/>
              </w:rPr>
              <w:t>1.2.1.</w:t>
            </w:r>
            <w:r w:rsidR="007A337A" w:rsidRPr="00C31E0D">
              <w:rPr>
                <w:rFonts w:ascii="Times New Roman" w:eastAsia="Times New Roman" w:hAnsi="Times New Roman" w:cs="Times New Roman"/>
                <w:b/>
                <w:bCs/>
                <w:sz w:val="20"/>
                <w:szCs w:val="20"/>
                <w:lang w:eastAsia="lv-LV"/>
              </w:rPr>
              <w:t xml:space="preserve"> Ievads</w:t>
            </w:r>
          </w:p>
        </w:tc>
      </w:tr>
      <w:bookmarkEnd w:id="4"/>
      <w:tr w:rsidR="00E31A66" w:rsidRPr="00C31E0D" w14:paraId="61BB603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C2E6C01" w14:textId="2F3D9422"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700" w:type="pct"/>
            <w:tcBorders>
              <w:top w:val="outset" w:sz="6" w:space="0" w:color="414142"/>
              <w:left w:val="outset" w:sz="6" w:space="0" w:color="414142"/>
              <w:bottom w:val="outset" w:sz="6" w:space="0" w:color="414142"/>
              <w:right w:val="outset" w:sz="6" w:space="0" w:color="414142"/>
            </w:tcBorders>
          </w:tcPr>
          <w:p w14:paraId="0BF2373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663BD13A" w14:textId="3DA0DAA3" w:rsidR="002D47F0" w:rsidRPr="00C31E0D" w:rsidRDefault="002D47F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1.2.1. </w:t>
            </w:r>
          </w:p>
        </w:tc>
        <w:tc>
          <w:tcPr>
            <w:tcW w:w="2369" w:type="pct"/>
            <w:tcBorders>
              <w:top w:val="outset" w:sz="6" w:space="0" w:color="414142"/>
              <w:left w:val="outset" w:sz="6" w:space="0" w:color="414142"/>
              <w:bottom w:val="outset" w:sz="6" w:space="0" w:color="414142"/>
              <w:right w:val="outset" w:sz="6" w:space="0" w:color="414142"/>
            </w:tcBorders>
          </w:tcPr>
          <w:p w14:paraId="1FD67F08"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Lūdzam papildināt CBJR programmas projekta 1.2.nodaļas “Galveno kopējo izaicinājumu kopsavilkums” 1.2.1.apakšnodaļu “Ievads” 1.rindkopas pēdējo teikumu, precizējot, ka </w:t>
            </w:r>
            <w:proofErr w:type="spellStart"/>
            <w:r w:rsidRPr="00C31E0D">
              <w:rPr>
                <w:rFonts w:ascii="Times New Roman" w:eastAsia="Times New Roman" w:hAnsi="Times New Roman" w:cs="Times New Roman"/>
                <w:sz w:val="20"/>
                <w:szCs w:val="20"/>
                <w:lang w:eastAsia="lv-LV"/>
              </w:rPr>
              <w:t>Interreg</w:t>
            </w:r>
            <w:proofErr w:type="spellEnd"/>
            <w:r w:rsidRPr="00C31E0D">
              <w:rPr>
                <w:rFonts w:ascii="Times New Roman" w:eastAsia="Times New Roman" w:hAnsi="Times New Roman" w:cs="Times New Roman"/>
                <w:sz w:val="20"/>
                <w:szCs w:val="20"/>
                <w:lang w:eastAsia="lv-LV"/>
              </w:rPr>
              <w:t xml:space="preserve"> uzsākta 1990.gadā [4].</w:t>
            </w:r>
          </w:p>
          <w:p w14:paraId="02D40B09"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[4] </w:t>
            </w:r>
            <w:hyperlink r:id="rId7" w:history="1">
              <w:r w:rsidRPr="00C31E0D">
                <w:rPr>
                  <w:rStyle w:val="Hyperlink"/>
                  <w:rFonts w:ascii="Times New Roman" w:eastAsia="Times New Roman" w:hAnsi="Times New Roman" w:cs="Times New Roman"/>
                  <w:color w:val="auto"/>
                  <w:sz w:val="20"/>
                  <w:szCs w:val="20"/>
                  <w:lang w:eastAsia="lv-LV"/>
                </w:rPr>
                <w:t>https://ec.europa.eu/commission/presscorner/detail/en/STATEMENT_20_207</w:t>
              </w:r>
            </w:hyperlink>
          </w:p>
          <w:p w14:paraId="1BB8036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D685E6A" w14:textId="5B001B15" w:rsidR="002D47F0" w:rsidRPr="00C31E0D" w:rsidRDefault="00F753AF"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27FAF5FB"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r>
      <w:tr w:rsidR="00C91BB5" w:rsidRPr="00D73B87" w14:paraId="69468850"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6352E96" w14:textId="6148F773" w:rsidR="007A337A" w:rsidRPr="007A337A" w:rsidRDefault="00C91BB5" w:rsidP="007A337A">
            <w:pPr>
              <w:pStyle w:val="Heading1"/>
              <w:tabs>
                <w:tab w:val="left" w:pos="929"/>
              </w:tabs>
              <w:spacing w:before="194"/>
              <w:ind w:left="0"/>
              <w:jc w:val="center"/>
              <w:rPr>
                <w:rFonts w:ascii="Times New Roman" w:hAnsi="Times New Roman" w:cs="Times New Roman"/>
              </w:rPr>
            </w:pPr>
            <w:r w:rsidRPr="007A337A">
              <w:rPr>
                <w:rFonts w:ascii="Times New Roman" w:eastAsia="Times New Roman" w:hAnsi="Times New Roman" w:cs="Times New Roman"/>
                <w:bCs w:val="0"/>
                <w:color w:val="414142"/>
                <w:lang w:eastAsia="lv-LV"/>
              </w:rPr>
              <w:t>1.2.2.</w:t>
            </w:r>
            <w:r w:rsidR="007A337A" w:rsidRPr="007A337A">
              <w:rPr>
                <w:rFonts w:ascii="Times New Roman" w:hAnsi="Times New Roman" w:cs="Times New Roman"/>
              </w:rPr>
              <w:t xml:space="preserve"> Centrālā Baltijas jūras reģiona programmā uzmanība pievērsta uzņēmējdarbībai un tirgiem (Politikas mērķis 1)</w:t>
            </w:r>
          </w:p>
          <w:p w14:paraId="5AB83E9A" w14:textId="58F530BB"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6D55E0" w:rsidRPr="00D73B87" w14:paraId="1947FC3F"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E482FC0" w14:textId="0F5C1D3A" w:rsidR="006D55E0" w:rsidRPr="00D73B87" w:rsidRDefault="00C00E55" w:rsidP="00BA6961">
            <w:pPr>
              <w:spacing w:after="0" w:line="240" w:lineRule="auto"/>
              <w:rPr>
                <w:rFonts w:ascii="Times New Roman" w:eastAsia="Times New Roman" w:hAnsi="Times New Roman" w:cs="Times New Roman"/>
                <w:color w:val="414142"/>
                <w:sz w:val="20"/>
                <w:szCs w:val="20"/>
                <w:lang w:eastAsia="lv-LV"/>
              </w:rPr>
            </w:pPr>
            <w:r w:rsidRPr="00C00E55">
              <w:rPr>
                <w:rFonts w:ascii="Times New Roman" w:eastAsia="Times New Roman" w:hAnsi="Times New Roman" w:cs="Times New Roman"/>
                <w:sz w:val="20"/>
                <w:szCs w:val="20"/>
                <w:lang w:eastAsia="lv-LV"/>
              </w:rPr>
              <w:t>10</w:t>
            </w:r>
            <w:r>
              <w:rPr>
                <w:rFonts w:ascii="Times New Roman" w:eastAsia="Times New Roman" w:hAnsi="Times New Roman" w:cs="Times New Roman"/>
                <w:color w:val="414142"/>
                <w:sz w:val="20"/>
                <w:szCs w:val="20"/>
                <w:lang w:eastAsia="lv-LV"/>
              </w:rPr>
              <w:t>.</w:t>
            </w:r>
          </w:p>
        </w:tc>
        <w:tc>
          <w:tcPr>
            <w:tcW w:w="700" w:type="pct"/>
            <w:tcBorders>
              <w:top w:val="outset" w:sz="6" w:space="0" w:color="414142"/>
              <w:left w:val="outset" w:sz="6" w:space="0" w:color="414142"/>
              <w:bottom w:val="outset" w:sz="6" w:space="0" w:color="414142"/>
              <w:right w:val="outset" w:sz="6" w:space="0" w:color="414142"/>
            </w:tcBorders>
          </w:tcPr>
          <w:p w14:paraId="625CB91B"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1A36316E" w14:textId="5EF081BE" w:rsidR="006D55E0" w:rsidRPr="00C31E0D" w:rsidRDefault="006D55E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1.2.2.</w:t>
            </w:r>
          </w:p>
        </w:tc>
        <w:tc>
          <w:tcPr>
            <w:tcW w:w="2369" w:type="pct"/>
            <w:tcBorders>
              <w:top w:val="outset" w:sz="6" w:space="0" w:color="414142"/>
              <w:left w:val="outset" w:sz="6" w:space="0" w:color="414142"/>
              <w:bottom w:val="outset" w:sz="6" w:space="0" w:color="414142"/>
              <w:right w:val="outset" w:sz="6" w:space="0" w:color="414142"/>
            </w:tcBorders>
          </w:tcPr>
          <w:p w14:paraId="2C12FCAA" w14:textId="0EF2663C"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 xml:space="preserve">1.2.2. apakš sadaļā kā viens no izaicinājumiem un šķēršļiem ir norādīts “Neizmantots potenciāls attīstības stadijā esošajos, bet aizvien vājajos reģionālajos dažādu ekonomikas sektoru klasteros”, taču zem šī uzskaitītie apakšpunkti ir vairāk kā potenciāls nevis izaicinājumi. Aicinām šeit ievērot konsekventu </w:t>
            </w:r>
            <w:proofErr w:type="spellStart"/>
            <w:r w:rsidRPr="00C31E0D">
              <w:rPr>
                <w:rFonts w:ascii="Times New Roman" w:eastAsia="Times New Roman" w:hAnsi="Times New Roman" w:cs="Times New Roman"/>
                <w:sz w:val="20"/>
                <w:szCs w:val="20"/>
                <w:bdr w:val="none" w:sz="0" w:space="0" w:color="auto" w:frame="1"/>
                <w:lang w:eastAsia="lv-LV"/>
              </w:rPr>
              <w:t>pieeju</w:t>
            </w:r>
            <w:r w:rsidR="006B4051" w:rsidRPr="00C31E0D">
              <w:rPr>
                <w:rFonts w:ascii="Times New Roman" w:eastAsia="Times New Roman" w:hAnsi="Times New Roman" w:cs="Times New Roman"/>
                <w:sz w:val="20"/>
                <w:szCs w:val="20"/>
                <w:bdr w:val="none" w:sz="0" w:space="0" w:color="auto" w:frame="1"/>
                <w:lang w:eastAsia="lv-LV"/>
              </w:rPr>
              <w:t>c</w:t>
            </w:r>
            <w:proofErr w:type="spellEnd"/>
            <w:r w:rsidRPr="00C31E0D">
              <w:rPr>
                <w:rFonts w:ascii="Times New Roman" w:eastAsia="Times New Roman" w:hAnsi="Times New Roman" w:cs="Times New Roman"/>
                <w:sz w:val="20"/>
                <w:szCs w:val="20"/>
                <w:bdr w:val="none" w:sz="0" w:space="0" w:color="auto" w:frame="1"/>
                <w:lang w:eastAsia="lv-LV"/>
              </w:rPr>
              <w:t xml:space="preserve"> izaicinājumu nevis potenciālu uzskatīšanā.</w:t>
            </w:r>
          </w:p>
          <w:p w14:paraId="6F73C5F8"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77EAE7C" w14:textId="564807EC" w:rsidR="006D55E0" w:rsidRPr="00C31E0D" w:rsidRDefault="00F753AF"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1F89A65"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r>
      <w:tr w:rsidR="00C91BB5" w:rsidRPr="00D73B87" w14:paraId="13AD8661"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2A38FFE" w14:textId="77777777" w:rsidR="007A337A" w:rsidRPr="00C31E0D" w:rsidRDefault="007A337A" w:rsidP="007A337A">
            <w:pPr>
              <w:pStyle w:val="Heading1"/>
              <w:tabs>
                <w:tab w:val="left" w:pos="929"/>
              </w:tabs>
              <w:ind w:left="0" w:right="1848"/>
              <w:jc w:val="center"/>
              <w:rPr>
                <w:rFonts w:ascii="Times New Roman" w:eastAsia="Times New Roman" w:hAnsi="Times New Roman" w:cs="Times New Roman"/>
                <w:bCs w:val="0"/>
                <w:lang w:eastAsia="lv-LV"/>
              </w:rPr>
            </w:pPr>
          </w:p>
          <w:p w14:paraId="37D7E56E" w14:textId="77777777" w:rsidR="00C91BB5" w:rsidRPr="00C31E0D" w:rsidRDefault="00C91BB5" w:rsidP="007A337A">
            <w:pPr>
              <w:pStyle w:val="Heading1"/>
              <w:tabs>
                <w:tab w:val="left" w:pos="929"/>
              </w:tabs>
              <w:ind w:left="0" w:right="1848"/>
              <w:jc w:val="center"/>
              <w:rPr>
                <w:rFonts w:ascii="Times New Roman" w:hAnsi="Times New Roman" w:cs="Times New Roman"/>
              </w:rPr>
            </w:pPr>
            <w:r w:rsidRPr="00C31E0D">
              <w:rPr>
                <w:rFonts w:ascii="Times New Roman" w:eastAsia="Times New Roman" w:hAnsi="Times New Roman" w:cs="Times New Roman"/>
                <w:bCs w:val="0"/>
                <w:lang w:eastAsia="lv-LV"/>
              </w:rPr>
              <w:t>1.2.3.</w:t>
            </w:r>
            <w:r w:rsidR="007A337A" w:rsidRPr="00C31E0D">
              <w:rPr>
                <w:rFonts w:ascii="Times New Roman" w:hAnsi="Times New Roman" w:cs="Times New Roman"/>
              </w:rPr>
              <w:t xml:space="preserve"> Centrālā Baltijas jūras reģiona programmā uzmanība pievērsta videi (Politikas mērķis 2)</w:t>
            </w:r>
          </w:p>
          <w:p w14:paraId="7960DA8F" w14:textId="492F8DD3" w:rsidR="007A337A" w:rsidRPr="00C31E0D" w:rsidRDefault="007A337A" w:rsidP="007A337A">
            <w:pPr>
              <w:pStyle w:val="Heading1"/>
              <w:tabs>
                <w:tab w:val="left" w:pos="929"/>
              </w:tabs>
              <w:ind w:left="0" w:right="1848"/>
              <w:jc w:val="center"/>
              <w:rPr>
                <w:rFonts w:ascii="Times New Roman" w:eastAsia="Times New Roman" w:hAnsi="Times New Roman" w:cs="Times New Roman"/>
                <w:b w:val="0"/>
                <w:bCs w:val="0"/>
                <w:lang w:eastAsia="lv-LV"/>
              </w:rPr>
            </w:pPr>
          </w:p>
        </w:tc>
      </w:tr>
      <w:tr w:rsidR="006404DD" w:rsidRPr="00D73B87" w14:paraId="527304B8"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1199877" w14:textId="5BDA0047"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sidRPr="00C00E55">
              <w:rPr>
                <w:rFonts w:ascii="Times New Roman" w:eastAsia="Times New Roman" w:hAnsi="Times New Roman" w:cs="Times New Roman"/>
                <w:sz w:val="20"/>
                <w:szCs w:val="20"/>
                <w:lang w:eastAsia="lv-LV"/>
              </w:rPr>
              <w:t>11</w:t>
            </w:r>
            <w:r>
              <w:rPr>
                <w:rFonts w:ascii="Times New Roman" w:eastAsia="Times New Roman" w:hAnsi="Times New Roman" w:cs="Times New Roman"/>
                <w:color w:val="414142"/>
                <w:sz w:val="20"/>
                <w:szCs w:val="20"/>
                <w:lang w:eastAsia="lv-LV"/>
              </w:rPr>
              <w:t>.</w:t>
            </w:r>
          </w:p>
        </w:tc>
        <w:tc>
          <w:tcPr>
            <w:tcW w:w="700" w:type="pct"/>
            <w:tcBorders>
              <w:top w:val="outset" w:sz="6" w:space="0" w:color="414142"/>
              <w:left w:val="outset" w:sz="6" w:space="0" w:color="414142"/>
              <w:bottom w:val="outset" w:sz="6" w:space="0" w:color="414142"/>
              <w:right w:val="outset" w:sz="6" w:space="0" w:color="414142"/>
            </w:tcBorders>
          </w:tcPr>
          <w:p w14:paraId="5DFAF77A"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Dabas aizsardzības pārvalde</w:t>
            </w:r>
          </w:p>
        </w:tc>
        <w:tc>
          <w:tcPr>
            <w:tcW w:w="519" w:type="pct"/>
            <w:tcBorders>
              <w:top w:val="outset" w:sz="6" w:space="0" w:color="414142"/>
              <w:left w:val="outset" w:sz="6" w:space="0" w:color="414142"/>
              <w:bottom w:val="outset" w:sz="6" w:space="0" w:color="414142"/>
              <w:right w:val="outset" w:sz="6" w:space="0" w:color="414142"/>
            </w:tcBorders>
          </w:tcPr>
          <w:p w14:paraId="7FF4F2E3" w14:textId="4BAE50C1" w:rsidR="006404DD" w:rsidRPr="00C31E0D" w:rsidRDefault="006404DD"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1.2.3. </w:t>
            </w:r>
          </w:p>
        </w:tc>
        <w:tc>
          <w:tcPr>
            <w:tcW w:w="2369" w:type="pct"/>
            <w:tcBorders>
              <w:top w:val="outset" w:sz="6" w:space="0" w:color="414142"/>
              <w:left w:val="outset" w:sz="6" w:space="0" w:color="414142"/>
              <w:bottom w:val="outset" w:sz="6" w:space="0" w:color="414142"/>
              <w:right w:val="outset" w:sz="6" w:space="0" w:color="414142"/>
            </w:tcBorders>
          </w:tcPr>
          <w:p w14:paraId="7316DA0F"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Ņemot vērā Programmas definētā konkrētā mērķa (vii) “Dabas aizsardzības, bioloģiskās daudzveidības un zaļās infrastruktūras veicināšana, sevišķi pilsētvidē, un piesārņojuma samazināšana” mērogu, Pārvaldes ieskatā Programmas ietvaros būtu atbalstāmi ne tikai tādi projekti, kas sniedz ieguldījumu Baltijas jūras eitrofikācijas un piesārņojuma mazināšanā, bet arī projekti, kas risina jautājumus saistībā Baltijas jūras bioloģiskās daudzveidības samazināšanos, veicina labvēlīga dabas aizsardzības stāvokļa nodrošināšanu apdraudētām jūras un piekrastes sugām un biotopiem un ilgtspējīgu jūras NATURA 2000 tīkla pārvaldību.</w:t>
            </w:r>
          </w:p>
          <w:p w14:paraId="4EB86B5B"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1BAE5EF" w14:textId="77777777" w:rsidR="006404DD" w:rsidRDefault="00F753AF"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 Sniegts skaidrojums.</w:t>
            </w:r>
          </w:p>
          <w:p w14:paraId="1F0F020F" w14:textId="77777777" w:rsidR="00C31E0D" w:rsidRPr="00C31E0D" w:rsidRDefault="00C31E0D" w:rsidP="00BA6961">
            <w:pPr>
              <w:spacing w:after="0" w:line="240" w:lineRule="auto"/>
              <w:rPr>
                <w:rFonts w:ascii="Times New Roman" w:eastAsia="Times New Roman" w:hAnsi="Times New Roman" w:cs="Times New Roman"/>
                <w:b/>
                <w:sz w:val="20"/>
                <w:szCs w:val="20"/>
                <w:lang w:eastAsia="lv-LV"/>
              </w:rPr>
            </w:pPr>
          </w:p>
          <w:p w14:paraId="13FB7048" w14:textId="3DE78ED8" w:rsidR="00F753AF" w:rsidRPr="00C31E0D" w:rsidRDefault="00F753AF"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Programma ir fokusēta konkrētā mērķa ietvaros rīcībai Baltijas jūras reģionā, kas ļautu sasniegt izmērāmus un sasniedzamus rezultātus. Prioritātes piedāvātās tēmas </w:t>
            </w:r>
            <w:r w:rsidRPr="00C31E0D">
              <w:rPr>
                <w:rFonts w:ascii="Times New Roman" w:eastAsia="Times New Roman" w:hAnsi="Times New Roman" w:cs="Times New Roman"/>
                <w:sz w:val="20"/>
                <w:szCs w:val="20"/>
                <w:lang w:eastAsia="lv-LV"/>
              </w:rPr>
              <w:lastRenderedPageBreak/>
              <w:t>netieši veicina</w:t>
            </w:r>
            <w:r w:rsidR="000B7349" w:rsidRPr="00C31E0D">
              <w:rPr>
                <w:rFonts w:ascii="Times New Roman" w:eastAsia="Times New Roman" w:hAnsi="Times New Roman" w:cs="Times New Roman"/>
                <w:sz w:val="20"/>
                <w:szCs w:val="20"/>
                <w:lang w:eastAsia="lv-LV"/>
              </w:rPr>
              <w:t xml:space="preserve"> dabas un bioloģiskās daudzveidības saglabāšanā. Tāpat Programmas mērķis “Uzlabota Baltijas jūras piekraste un jūras vide”</w:t>
            </w:r>
            <w:r w:rsidRPr="00C31E0D">
              <w:rPr>
                <w:rFonts w:ascii="Times New Roman" w:eastAsia="Times New Roman" w:hAnsi="Times New Roman" w:cs="Times New Roman"/>
                <w:sz w:val="20"/>
                <w:szCs w:val="20"/>
                <w:lang w:eastAsia="lv-LV"/>
              </w:rPr>
              <w:t xml:space="preserve"> </w:t>
            </w:r>
            <w:r w:rsidR="000B7349" w:rsidRPr="00C31E0D">
              <w:rPr>
                <w:rFonts w:ascii="Times New Roman" w:eastAsia="Times New Roman" w:hAnsi="Times New Roman" w:cs="Times New Roman"/>
                <w:sz w:val="20"/>
                <w:szCs w:val="20"/>
                <w:lang w:eastAsia="lv-LV"/>
              </w:rPr>
              <w:t>ir tieši vērsta uz barības vielu, toksīnu, plastmasas un bīstamu vielu slodzes mazināšanu. Vēršam uzmanību, ka Programmas mērķa “Uzlaboti sabiedriskie pakalpojumi un risinājumi iedzīvotājiem” ietvaros var tikt atbalstītas darbības, kas vērstas uz kopīgām plānošanas aktivitātēm un tiesiskā ietvara sakārtošanai.</w:t>
            </w:r>
          </w:p>
        </w:tc>
        <w:tc>
          <w:tcPr>
            <w:tcW w:w="754" w:type="pct"/>
            <w:tcBorders>
              <w:top w:val="outset" w:sz="6" w:space="0" w:color="414142"/>
              <w:left w:val="outset" w:sz="6" w:space="0" w:color="414142"/>
              <w:bottom w:val="outset" w:sz="6" w:space="0" w:color="414142"/>
              <w:right w:val="outset" w:sz="6" w:space="0" w:color="414142"/>
            </w:tcBorders>
          </w:tcPr>
          <w:p w14:paraId="300F350D"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p>
        </w:tc>
      </w:tr>
      <w:tr w:rsidR="006D55E0" w:rsidRPr="00D73B87" w14:paraId="645EC8C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8C30E07" w14:textId="75EE9206" w:rsidR="006D55E0"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12.</w:t>
            </w:r>
          </w:p>
        </w:tc>
        <w:tc>
          <w:tcPr>
            <w:tcW w:w="700" w:type="pct"/>
            <w:tcBorders>
              <w:top w:val="outset" w:sz="6" w:space="0" w:color="414142"/>
              <w:left w:val="outset" w:sz="6" w:space="0" w:color="414142"/>
              <w:bottom w:val="outset" w:sz="6" w:space="0" w:color="414142"/>
              <w:right w:val="outset" w:sz="6" w:space="0" w:color="414142"/>
            </w:tcBorders>
          </w:tcPr>
          <w:p w14:paraId="3DFDDAE4"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4EC32715" w14:textId="795CEA2E" w:rsidR="006D55E0" w:rsidRPr="00C31E0D" w:rsidRDefault="006D55E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1.2.3. </w:t>
            </w:r>
          </w:p>
        </w:tc>
        <w:tc>
          <w:tcPr>
            <w:tcW w:w="2369" w:type="pct"/>
            <w:tcBorders>
              <w:top w:val="outset" w:sz="6" w:space="0" w:color="414142"/>
              <w:left w:val="outset" w:sz="6" w:space="0" w:color="414142"/>
              <w:bottom w:val="outset" w:sz="6" w:space="0" w:color="414142"/>
              <w:right w:val="outset" w:sz="6" w:space="0" w:color="414142"/>
            </w:tcBorders>
          </w:tcPr>
          <w:p w14:paraId="2FBF2AB2"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1.2.3 apakš sadaļā zem konkrētā mērķa “Ilgtspējīgas un multimodālas pilsētas mobilitātes veicināšana” pie otrā uzskaitītā izaicinājuma “Videi draudzīga piekļuves uzlabošana salām un arhipelāgiem un starp tiem” aicinām pievienot vārdus “un citām attālajām teritorijām”.</w:t>
            </w:r>
          </w:p>
          <w:p w14:paraId="53D5AEE0"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7A2BAC4" w14:textId="1F2C337D" w:rsidR="006D55E0" w:rsidRPr="00C31E0D" w:rsidRDefault="003165F2"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b/>
                <w:sz w:val="20"/>
                <w:szCs w:val="20"/>
                <w:lang w:eastAsia="lv-LV"/>
              </w:rPr>
              <w:t>Nav ņemts vērā</w:t>
            </w:r>
            <w:r w:rsidRPr="00C31E0D">
              <w:rPr>
                <w:rFonts w:ascii="Times New Roman" w:eastAsia="Times New Roman" w:hAnsi="Times New Roman" w:cs="Times New Roman"/>
                <w:sz w:val="20"/>
                <w:szCs w:val="20"/>
                <w:lang w:eastAsia="lv-LV"/>
              </w:rPr>
              <w:t xml:space="preserve">. </w:t>
            </w:r>
          </w:p>
        </w:tc>
        <w:tc>
          <w:tcPr>
            <w:tcW w:w="754" w:type="pct"/>
            <w:tcBorders>
              <w:top w:val="outset" w:sz="6" w:space="0" w:color="414142"/>
              <w:left w:val="outset" w:sz="6" w:space="0" w:color="414142"/>
              <w:bottom w:val="outset" w:sz="6" w:space="0" w:color="414142"/>
              <w:right w:val="outset" w:sz="6" w:space="0" w:color="414142"/>
            </w:tcBorders>
          </w:tcPr>
          <w:p w14:paraId="49376C67" w14:textId="77777777" w:rsidR="006D55E0" w:rsidRDefault="003165F2"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Sniegts skaidrojums.</w:t>
            </w:r>
          </w:p>
          <w:p w14:paraId="032BAF0F" w14:textId="77777777" w:rsidR="00C04F43" w:rsidRPr="00C31E0D" w:rsidRDefault="00C04F43" w:rsidP="00BA6961">
            <w:pPr>
              <w:spacing w:after="0" w:line="240" w:lineRule="auto"/>
              <w:rPr>
                <w:rFonts w:ascii="Times New Roman" w:eastAsia="Times New Roman" w:hAnsi="Times New Roman" w:cs="Times New Roman"/>
                <w:b/>
                <w:sz w:val="20"/>
                <w:szCs w:val="20"/>
                <w:lang w:eastAsia="lv-LV"/>
              </w:rPr>
            </w:pPr>
          </w:p>
          <w:p w14:paraId="48E3C08D" w14:textId="675BAF4D" w:rsidR="003165F2" w:rsidRPr="00C31E0D" w:rsidRDefault="003165F2"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Minētā izaicinājuma nodoms ir iezīmēt attālāko reģionu, tādu kā </w:t>
            </w:r>
            <w:r w:rsidRPr="00C31E0D">
              <w:rPr>
                <w:rFonts w:ascii="Times New Roman" w:eastAsia="Times New Roman" w:hAnsi="Times New Roman" w:cs="Times New Roman"/>
                <w:sz w:val="20"/>
                <w:szCs w:val="20"/>
                <w:lang w:eastAsia="lv-LV"/>
              </w:rPr>
              <w:lastRenderedPageBreak/>
              <w:t>salas un arhipelāgi izaicinājumu</w:t>
            </w:r>
            <w:r w:rsidR="00EA2090" w:rsidRPr="00C31E0D">
              <w:rPr>
                <w:rFonts w:ascii="Times New Roman" w:eastAsia="Times New Roman" w:hAnsi="Times New Roman" w:cs="Times New Roman"/>
                <w:sz w:val="20"/>
                <w:szCs w:val="20"/>
                <w:lang w:eastAsia="lv-LV"/>
              </w:rPr>
              <w:t xml:space="preserve"> videi draudzīgas piekļuves uzlabošanai</w:t>
            </w:r>
            <w:r w:rsidRPr="00C31E0D">
              <w:rPr>
                <w:rFonts w:ascii="Times New Roman" w:eastAsia="Times New Roman" w:hAnsi="Times New Roman" w:cs="Times New Roman"/>
                <w:sz w:val="20"/>
                <w:szCs w:val="20"/>
                <w:lang w:eastAsia="lv-LV"/>
              </w:rPr>
              <w:t>. Sav</w:t>
            </w:r>
            <w:r w:rsidR="00EA2090" w:rsidRPr="00C31E0D">
              <w:rPr>
                <w:rFonts w:ascii="Times New Roman" w:eastAsia="Times New Roman" w:hAnsi="Times New Roman" w:cs="Times New Roman"/>
                <w:sz w:val="20"/>
                <w:szCs w:val="20"/>
                <w:lang w:eastAsia="lv-LV"/>
              </w:rPr>
              <w:t>ukārt, uz mobilitātes veicināšanu citās attālajās teritorijās attiecas nākamais Programmas dokumentā minētais izaicinājums:  “Zems mobilitātes risinājumu izmantošanas līmenis ar ievērojami zemāku CO2 emisiju daudzumu saistībā ar izaicinājumiem daudzās  Centrālā Baltijas jūras reģiona daļās zema iedzīvotāju blīvuma un atšķirīgas ģeogrāfijas dēļ”.</w:t>
            </w:r>
          </w:p>
        </w:tc>
      </w:tr>
      <w:tr w:rsidR="00C91BB5" w:rsidRPr="00D73B87" w14:paraId="680EBFC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0D5AC89" w14:textId="6E46881A" w:rsidR="007A337A" w:rsidRDefault="007A337A" w:rsidP="007A337A">
            <w:pPr>
              <w:pStyle w:val="Heading1"/>
              <w:tabs>
                <w:tab w:val="center" w:pos="929"/>
              </w:tabs>
              <w:ind w:left="930"/>
              <w:jc w:val="center"/>
              <w:rPr>
                <w:rFonts w:ascii="Times New Roman" w:eastAsia="Times New Roman" w:hAnsi="Times New Roman" w:cs="Times New Roman"/>
                <w:bCs w:val="0"/>
                <w:color w:val="414142"/>
                <w:lang w:eastAsia="lv-LV"/>
              </w:rPr>
            </w:pPr>
          </w:p>
          <w:p w14:paraId="4177D86E" w14:textId="2DB6D0B9" w:rsidR="007A337A" w:rsidRPr="007A337A" w:rsidRDefault="00C91BB5" w:rsidP="007A337A">
            <w:pPr>
              <w:pStyle w:val="Heading1"/>
              <w:tabs>
                <w:tab w:val="center" w:pos="929"/>
              </w:tabs>
              <w:ind w:left="930"/>
              <w:jc w:val="center"/>
              <w:rPr>
                <w:rFonts w:ascii="Times New Roman" w:hAnsi="Times New Roman" w:cs="Times New Roman"/>
              </w:rPr>
            </w:pPr>
            <w:r w:rsidRPr="007A337A">
              <w:rPr>
                <w:rFonts w:ascii="Times New Roman" w:eastAsia="Times New Roman" w:hAnsi="Times New Roman" w:cs="Times New Roman"/>
                <w:bCs w:val="0"/>
                <w:color w:val="414142"/>
                <w:lang w:eastAsia="lv-LV"/>
              </w:rPr>
              <w:t>1.2.4.</w:t>
            </w:r>
            <w:r w:rsidR="007A337A" w:rsidRPr="007A337A">
              <w:rPr>
                <w:rFonts w:ascii="Times New Roman" w:hAnsi="Times New Roman" w:cs="Times New Roman"/>
              </w:rPr>
              <w:t xml:space="preserve"> Centrālā Baltijas jūras reģiona programmā uzmanība pievērsta darba tirgum (Politikas mērķis 4)</w:t>
            </w:r>
          </w:p>
          <w:p w14:paraId="318F7881" w14:textId="0756F50D"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2D47F0" w:rsidRPr="00D73B87" w14:paraId="0B4D1F6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C6638FA" w14:textId="5C64E43E" w:rsidR="002D47F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13.</w:t>
            </w:r>
          </w:p>
        </w:tc>
        <w:tc>
          <w:tcPr>
            <w:tcW w:w="700" w:type="pct"/>
            <w:tcBorders>
              <w:top w:val="outset" w:sz="6" w:space="0" w:color="414142"/>
              <w:left w:val="outset" w:sz="6" w:space="0" w:color="414142"/>
              <w:bottom w:val="outset" w:sz="6" w:space="0" w:color="414142"/>
              <w:right w:val="outset" w:sz="6" w:space="0" w:color="414142"/>
            </w:tcBorders>
          </w:tcPr>
          <w:p w14:paraId="28A4AE5B"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50C1A350" w14:textId="7C90E064" w:rsidR="002D47F0" w:rsidRPr="00C31E0D" w:rsidRDefault="002D47F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2FA30E21"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precizēt CBJR programmas projekta 1.2.4.apakšnodaļas “Centrālā Baltijas jūras reģiona programmā uzmanība pievērsta darba tirgum (Politikas mērķis 4)” 4.rindkopu, norādot zemsvītras atsaucē informācijas avotu statistikai par attālinātā darba veicēju % sadalījumu.</w:t>
            </w:r>
          </w:p>
          <w:p w14:paraId="1D61C834"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DCEBFE2" w14:textId="77777777" w:rsidR="00C31E0D" w:rsidRDefault="00C31E0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b/>
                <w:sz w:val="20"/>
                <w:szCs w:val="20"/>
                <w:lang w:eastAsia="lv-LV"/>
              </w:rPr>
              <w:t>Ņemts vērā. Sniegts skaidrojums.</w:t>
            </w:r>
            <w:r w:rsidRPr="00C31E0D">
              <w:rPr>
                <w:rFonts w:ascii="Times New Roman" w:eastAsia="Times New Roman" w:hAnsi="Times New Roman" w:cs="Times New Roman"/>
                <w:sz w:val="20"/>
                <w:szCs w:val="20"/>
                <w:lang w:eastAsia="lv-LV"/>
              </w:rPr>
              <w:t xml:space="preserve"> </w:t>
            </w:r>
          </w:p>
          <w:p w14:paraId="742EF24A" w14:textId="77777777" w:rsidR="00C31E0D" w:rsidRDefault="00C31E0D" w:rsidP="00BA6961">
            <w:pPr>
              <w:spacing w:after="0" w:line="240" w:lineRule="auto"/>
              <w:rPr>
                <w:rFonts w:ascii="Times New Roman" w:eastAsia="Times New Roman" w:hAnsi="Times New Roman" w:cs="Times New Roman"/>
                <w:sz w:val="20"/>
                <w:szCs w:val="20"/>
                <w:lang w:eastAsia="lv-LV"/>
              </w:rPr>
            </w:pPr>
          </w:p>
          <w:p w14:paraId="4B4A3FEB" w14:textId="48120787" w:rsidR="002D47F0" w:rsidRPr="00C31E0D" w:rsidRDefault="00C31E0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Programmas dokuments preci</w:t>
            </w:r>
            <w:r>
              <w:rPr>
                <w:rFonts w:ascii="Times New Roman" w:eastAsia="Times New Roman" w:hAnsi="Times New Roman" w:cs="Times New Roman"/>
                <w:sz w:val="20"/>
                <w:szCs w:val="20"/>
                <w:lang w:eastAsia="lv-LV"/>
              </w:rPr>
              <w:t>z</w:t>
            </w:r>
            <w:r w:rsidRPr="00C31E0D">
              <w:rPr>
                <w:rFonts w:ascii="Times New Roman" w:eastAsia="Times New Roman" w:hAnsi="Times New Roman" w:cs="Times New Roman"/>
                <w:sz w:val="20"/>
                <w:szCs w:val="20"/>
                <w:lang w:eastAsia="lv-LV"/>
              </w:rPr>
              <w:t>ēts, izņemot visas atsauces uz statistiku. Statistika tiks atstāta Reģionālajā analīzes dokumentā.</w:t>
            </w:r>
          </w:p>
        </w:tc>
        <w:tc>
          <w:tcPr>
            <w:tcW w:w="754" w:type="pct"/>
            <w:tcBorders>
              <w:top w:val="outset" w:sz="6" w:space="0" w:color="414142"/>
              <w:left w:val="outset" w:sz="6" w:space="0" w:color="414142"/>
              <w:bottom w:val="outset" w:sz="6" w:space="0" w:color="414142"/>
              <w:right w:val="outset" w:sz="6" w:space="0" w:color="414142"/>
            </w:tcBorders>
          </w:tcPr>
          <w:p w14:paraId="7A82E9B8" w14:textId="77777777" w:rsidR="002D47F0" w:rsidRPr="00D73B87" w:rsidRDefault="002D47F0"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2746CD49"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D1AB537" w14:textId="259511D7"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14.</w:t>
            </w:r>
          </w:p>
        </w:tc>
        <w:tc>
          <w:tcPr>
            <w:tcW w:w="700" w:type="pct"/>
            <w:tcBorders>
              <w:top w:val="outset" w:sz="6" w:space="0" w:color="414142"/>
              <w:left w:val="outset" w:sz="6" w:space="0" w:color="414142"/>
              <w:bottom w:val="outset" w:sz="6" w:space="0" w:color="414142"/>
              <w:right w:val="outset" w:sz="6" w:space="0" w:color="414142"/>
            </w:tcBorders>
          </w:tcPr>
          <w:p w14:paraId="24A6C497"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2CD0A4E1" w14:textId="5CFD5BEE"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5B522547"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 xml:space="preserve">Visās valstīs samazinās darba samaksas atšķirības starp sievietēm un </w:t>
            </w:r>
            <w:r w:rsidRPr="0003355D">
              <w:rPr>
                <w:rFonts w:ascii="Times New Roman" w:eastAsia="Times New Roman" w:hAnsi="Times New Roman" w:cs="Times New Roman"/>
                <w:color w:val="414142"/>
                <w:sz w:val="20"/>
                <w:szCs w:val="20"/>
                <w:lang w:eastAsia="lv-LV"/>
              </w:rPr>
              <w:lastRenderedPageBreak/>
              <w:t>vīriešiem</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strike/>
                <w:color w:val="FF0000"/>
                <w:sz w:val="20"/>
                <w:szCs w:val="20"/>
                <w:lang w:eastAsia="lv-LV"/>
              </w:rPr>
              <w:t>dzimumu atalgojuma atšķirība</w:t>
            </w:r>
            <w:r w:rsidRPr="0003355D">
              <w:rPr>
                <w:rFonts w:ascii="Times New Roman" w:eastAsia="Times New Roman" w:hAnsi="Times New Roman" w:cs="Times New Roman"/>
                <w:color w:val="414142"/>
                <w:sz w:val="20"/>
                <w:szCs w:val="20"/>
                <w:lang w:eastAsia="lv-LV"/>
              </w:rPr>
              <w:t>.</w:t>
            </w:r>
          </w:p>
          <w:p w14:paraId="796CF0F4"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 xml:space="preserve">Šeit nevar teikt, ka visās valstīs samazinās, lai arī vidējais rādītājs ES ir nedaudz samazinājies.  Kā liecina aktuālākie statistikas dati </w:t>
            </w:r>
            <w:hyperlink r:id="rId8" w:history="1">
              <w:r w:rsidRPr="0003355D">
                <w:rPr>
                  <w:rStyle w:val="Hyperlink"/>
                  <w:rFonts w:ascii="Times New Roman" w:eastAsia="Times New Roman" w:hAnsi="Times New Roman" w:cs="Times New Roman"/>
                  <w:sz w:val="20"/>
                  <w:szCs w:val="20"/>
                  <w:lang w:eastAsia="lv-LV"/>
                </w:rPr>
                <w:t>https://ec.europa.eu/eurostat/statistics-explained/index.php/Gender_pay_gap_statistics</w:t>
              </w:r>
            </w:hyperlink>
            <w:r w:rsidRPr="0003355D">
              <w:rPr>
                <w:rFonts w:ascii="Times New Roman" w:eastAsia="Times New Roman" w:hAnsi="Times New Roman" w:cs="Times New Roman"/>
                <w:color w:val="414142"/>
                <w:sz w:val="20"/>
                <w:szCs w:val="20"/>
                <w:lang w:eastAsia="lv-LV"/>
              </w:rPr>
              <w:t xml:space="preserve">  tad Latvijā šī atšķirība tieši ir pieaugusi. Aicinām precizēt teksta redakciju atbilstoši aktuālajiem datiem.</w:t>
            </w:r>
          </w:p>
          <w:p w14:paraId="6364AA83"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7EE56C2" w14:textId="0AD1F0FD" w:rsidR="006404DD" w:rsidRPr="002929A3" w:rsidRDefault="002929A3" w:rsidP="00BA6961">
            <w:pPr>
              <w:spacing w:after="0" w:line="240" w:lineRule="auto"/>
              <w:rPr>
                <w:rFonts w:ascii="Times New Roman" w:eastAsia="Times New Roman" w:hAnsi="Times New Roman" w:cs="Times New Roman"/>
                <w:b/>
                <w:color w:val="414142"/>
                <w:sz w:val="20"/>
                <w:szCs w:val="20"/>
                <w:lang w:eastAsia="lv-LV"/>
              </w:rPr>
            </w:pPr>
            <w:r w:rsidRPr="002929A3">
              <w:rPr>
                <w:rFonts w:ascii="Times New Roman" w:eastAsia="Times New Roman" w:hAnsi="Times New Roman" w:cs="Times New Roman"/>
                <w:b/>
                <w:sz w:val="20"/>
                <w:szCs w:val="20"/>
                <w:lang w:eastAsia="lv-LV"/>
              </w:rPr>
              <w:lastRenderedPageBreak/>
              <w:t>Ņemts vērā.</w:t>
            </w:r>
          </w:p>
        </w:tc>
        <w:tc>
          <w:tcPr>
            <w:tcW w:w="754" w:type="pct"/>
            <w:tcBorders>
              <w:top w:val="outset" w:sz="6" w:space="0" w:color="414142"/>
              <w:left w:val="outset" w:sz="6" w:space="0" w:color="414142"/>
              <w:bottom w:val="outset" w:sz="6" w:space="0" w:color="414142"/>
              <w:right w:val="outset" w:sz="6" w:space="0" w:color="414142"/>
            </w:tcBorders>
          </w:tcPr>
          <w:p w14:paraId="7D830AEB"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0477D89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9AAF219" w14:textId="62DA2D7C"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15.</w:t>
            </w:r>
          </w:p>
        </w:tc>
        <w:tc>
          <w:tcPr>
            <w:tcW w:w="700" w:type="pct"/>
            <w:tcBorders>
              <w:top w:val="outset" w:sz="6" w:space="0" w:color="414142"/>
              <w:left w:val="outset" w:sz="6" w:space="0" w:color="414142"/>
              <w:bottom w:val="outset" w:sz="6" w:space="0" w:color="414142"/>
              <w:right w:val="outset" w:sz="6" w:space="0" w:color="414142"/>
            </w:tcBorders>
          </w:tcPr>
          <w:p w14:paraId="7E165C1B"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3AD86C66" w14:textId="7EBCA02F"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1BC350CF"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 xml:space="preserve">Labvēlīgo situācijas attīstību nodarbinātības jomā pārtrauca COVID-19 pandēmija. Noteikto ierobežojumu dēļ bezdarbs visās Centrālā Baltijas jūras reģiona programmas valstīs ir </w:t>
            </w:r>
            <w:r w:rsidRPr="0003355D">
              <w:rPr>
                <w:rFonts w:ascii="Times New Roman" w:eastAsia="Times New Roman" w:hAnsi="Times New Roman" w:cs="Times New Roman"/>
                <w:color w:val="7030A0"/>
                <w:sz w:val="20"/>
                <w:szCs w:val="20"/>
                <w:lang w:eastAsia="lv-LV"/>
              </w:rPr>
              <w:t>dramatiski palielinājies</w:t>
            </w:r>
            <w:r w:rsidRPr="0003355D">
              <w:rPr>
                <w:rFonts w:ascii="Times New Roman" w:eastAsia="Times New Roman" w:hAnsi="Times New Roman" w:cs="Times New Roman"/>
                <w:color w:val="414142"/>
                <w:sz w:val="20"/>
                <w:szCs w:val="20"/>
                <w:lang w:eastAsia="lv-LV"/>
              </w:rPr>
              <w:t xml:space="preserve">.  </w:t>
            </w:r>
          </w:p>
          <w:p w14:paraId="2EFFE12E"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 xml:space="preserve">Skatoties pēc </w:t>
            </w:r>
            <w:proofErr w:type="spellStart"/>
            <w:r w:rsidRPr="0003355D">
              <w:rPr>
                <w:rFonts w:ascii="Times New Roman" w:eastAsia="Times New Roman" w:hAnsi="Times New Roman" w:cs="Times New Roman"/>
                <w:color w:val="414142"/>
                <w:sz w:val="20"/>
                <w:szCs w:val="20"/>
                <w:lang w:eastAsia="lv-LV"/>
              </w:rPr>
              <w:t>Eurostat</w:t>
            </w:r>
            <w:proofErr w:type="spellEnd"/>
            <w:r w:rsidRPr="0003355D">
              <w:rPr>
                <w:rFonts w:ascii="Times New Roman" w:eastAsia="Times New Roman" w:hAnsi="Times New Roman" w:cs="Times New Roman"/>
                <w:color w:val="414142"/>
                <w:sz w:val="20"/>
                <w:szCs w:val="20"/>
                <w:lang w:eastAsia="lv-LV"/>
              </w:rPr>
              <w:t xml:space="preserve"> bezdarba rādītājiem, par </w:t>
            </w:r>
            <w:r w:rsidRPr="0003355D">
              <w:rPr>
                <w:rFonts w:ascii="Times New Roman" w:eastAsia="Times New Roman" w:hAnsi="Times New Roman" w:cs="Times New Roman"/>
                <w:b/>
                <w:color w:val="414142"/>
                <w:sz w:val="20"/>
                <w:szCs w:val="20"/>
                <w:lang w:eastAsia="lv-LV"/>
              </w:rPr>
              <w:t>dramatisku</w:t>
            </w:r>
            <w:r w:rsidRPr="0003355D">
              <w:rPr>
                <w:rFonts w:ascii="Times New Roman" w:eastAsia="Times New Roman" w:hAnsi="Times New Roman" w:cs="Times New Roman"/>
                <w:color w:val="414142"/>
                <w:sz w:val="20"/>
                <w:szCs w:val="20"/>
                <w:lang w:eastAsia="lv-LV"/>
              </w:rPr>
              <w:t xml:space="preserve"> palielinājumu nebūtu jārunā. Drīzāk par rādītājiem, kam ir tendence pieaugt. Dati uz 2021.gada janvāri nav mainījušies, ES vidēji vispār nav mainījušies, atbilstošajās dalībvalstīs par 2 -4 procentpunktiem pieaudzis. Aicinām precizēt redakciju.</w:t>
            </w:r>
          </w:p>
          <w:p w14:paraId="296E5C3B"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9D517F5" w14:textId="4EA9736C" w:rsidR="006404DD" w:rsidRPr="00D73B87" w:rsidRDefault="006B3949" w:rsidP="00BA6961">
            <w:pPr>
              <w:spacing w:after="0" w:line="240" w:lineRule="auto"/>
              <w:rPr>
                <w:rFonts w:ascii="Times New Roman" w:eastAsia="Times New Roman" w:hAnsi="Times New Roman" w:cs="Times New Roman"/>
                <w:color w:val="414142"/>
                <w:sz w:val="20"/>
                <w:szCs w:val="20"/>
                <w:lang w:eastAsia="lv-LV"/>
              </w:rPr>
            </w:pPr>
            <w:r w:rsidRPr="002929A3">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4F04C148"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1E853FBE"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4BD3F93" w14:textId="670FD9B7"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16.</w:t>
            </w:r>
          </w:p>
        </w:tc>
        <w:tc>
          <w:tcPr>
            <w:tcW w:w="700" w:type="pct"/>
            <w:tcBorders>
              <w:top w:val="outset" w:sz="6" w:space="0" w:color="414142"/>
              <w:left w:val="outset" w:sz="6" w:space="0" w:color="414142"/>
              <w:bottom w:val="outset" w:sz="6" w:space="0" w:color="414142"/>
              <w:right w:val="outset" w:sz="6" w:space="0" w:color="414142"/>
            </w:tcBorders>
          </w:tcPr>
          <w:p w14:paraId="6B3CA3A5"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105EE875" w14:textId="255A2C67"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24087931"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1468E0">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1468E0">
              <w:rPr>
                <w:rFonts w:ascii="Times New Roman" w:eastAsia="Times New Roman" w:hAnsi="Times New Roman" w:cs="Times New Roman"/>
                <w:color w:val="414142"/>
                <w:sz w:val="20"/>
                <w:szCs w:val="20"/>
                <w:lang w:eastAsia="lv-LV"/>
              </w:rPr>
              <w:t xml:space="preserve">Pieaugoša tendence vērojama visneaizsargātākajās sabiedrības grupās (jaunieši, </w:t>
            </w:r>
            <w:proofErr w:type="spellStart"/>
            <w:r w:rsidRPr="001468E0">
              <w:rPr>
                <w:rFonts w:ascii="Times New Roman" w:eastAsia="Times New Roman" w:hAnsi="Times New Roman" w:cs="Times New Roman"/>
                <w:color w:val="414142"/>
                <w:sz w:val="20"/>
                <w:szCs w:val="20"/>
                <w:lang w:eastAsia="lv-LV"/>
              </w:rPr>
              <w:t>pirmspensijas</w:t>
            </w:r>
            <w:proofErr w:type="spellEnd"/>
            <w:r w:rsidRPr="001468E0">
              <w:rPr>
                <w:rFonts w:ascii="Times New Roman" w:eastAsia="Times New Roman" w:hAnsi="Times New Roman" w:cs="Times New Roman"/>
                <w:color w:val="414142"/>
                <w:sz w:val="20"/>
                <w:szCs w:val="20"/>
                <w:lang w:eastAsia="lv-LV"/>
              </w:rPr>
              <w:t xml:space="preserve"> vecuma iedzīvotāji, pensijas vecuma iedzīvotāji, cilvēki ar īpašām vajadzībām</w:t>
            </w:r>
            <w:r w:rsidRPr="001468E0">
              <w:rPr>
                <w:rFonts w:ascii="Times New Roman" w:eastAsia="Times New Roman" w:hAnsi="Times New Roman" w:cs="Times New Roman"/>
                <w:color w:val="7030A0"/>
                <w:sz w:val="20"/>
                <w:szCs w:val="20"/>
                <w:lang w:eastAsia="lv-LV"/>
              </w:rPr>
              <w:t xml:space="preserve">, minoritātes </w:t>
            </w:r>
            <w:r w:rsidRPr="001468E0">
              <w:rPr>
                <w:rFonts w:ascii="Times New Roman" w:eastAsia="Times New Roman" w:hAnsi="Times New Roman" w:cs="Times New Roman"/>
                <w:color w:val="414142"/>
                <w:sz w:val="20"/>
                <w:szCs w:val="20"/>
                <w:lang w:eastAsia="lv-LV"/>
              </w:rPr>
              <w:t xml:space="preserve">). Krīze sevišķi spēcīgi ietekmē tādas nozares kā starptautisko tūrismu, </w:t>
            </w:r>
            <w:r w:rsidRPr="001468E0">
              <w:rPr>
                <w:rFonts w:ascii="Times New Roman" w:eastAsia="Times New Roman" w:hAnsi="Times New Roman" w:cs="Times New Roman"/>
                <w:color w:val="7030A0"/>
                <w:sz w:val="20"/>
                <w:szCs w:val="20"/>
                <w:lang w:eastAsia="lv-LV"/>
              </w:rPr>
              <w:t>ēdināšanas un viesmīlības nozari</w:t>
            </w:r>
            <w:r w:rsidRPr="001468E0">
              <w:rPr>
                <w:rFonts w:ascii="Times New Roman" w:eastAsia="Times New Roman" w:hAnsi="Times New Roman" w:cs="Times New Roman"/>
                <w:color w:val="414142"/>
                <w:sz w:val="20"/>
                <w:szCs w:val="20"/>
                <w:lang w:eastAsia="lv-LV"/>
              </w:rPr>
              <w:t>, izklaidi, radošās jomas, pasākumus un pasākumu organizāciju.</w:t>
            </w:r>
          </w:p>
          <w:p w14:paraId="741E187A"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1468E0">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1468E0">
              <w:rPr>
                <w:rFonts w:ascii="Times New Roman" w:eastAsia="Times New Roman" w:hAnsi="Times New Roman" w:cs="Times New Roman"/>
                <w:color w:val="414142"/>
                <w:sz w:val="20"/>
                <w:szCs w:val="20"/>
                <w:lang w:eastAsia="lv-LV"/>
              </w:rPr>
              <w:t xml:space="preserve">Lūdzam precizēt – vai etniskās minoritātes, vai visas/daudzas, vai visās valstīs, vai piem. </w:t>
            </w:r>
            <w:proofErr w:type="spellStart"/>
            <w:r w:rsidRPr="001468E0">
              <w:rPr>
                <w:rFonts w:ascii="Times New Roman" w:eastAsia="Times New Roman" w:hAnsi="Times New Roman" w:cs="Times New Roman"/>
                <w:color w:val="414142"/>
                <w:sz w:val="20"/>
                <w:szCs w:val="20"/>
                <w:lang w:eastAsia="lv-LV"/>
              </w:rPr>
              <w:t>romi</w:t>
            </w:r>
            <w:proofErr w:type="spellEnd"/>
            <w:r w:rsidRPr="001468E0">
              <w:rPr>
                <w:rFonts w:ascii="Times New Roman" w:eastAsia="Times New Roman" w:hAnsi="Times New Roman" w:cs="Times New Roman"/>
                <w:color w:val="414142"/>
                <w:sz w:val="20"/>
                <w:szCs w:val="20"/>
                <w:lang w:eastAsia="lv-LV"/>
              </w:rPr>
              <w:t>, migranti, utt.</w:t>
            </w:r>
          </w:p>
          <w:p w14:paraId="419DEBB1"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267CA61" w14:textId="7853725F" w:rsidR="006404DD" w:rsidRPr="00C04F43" w:rsidRDefault="006B3949" w:rsidP="00BA6961">
            <w:pPr>
              <w:spacing w:after="0" w:line="240" w:lineRule="auto"/>
              <w:rPr>
                <w:rFonts w:ascii="Times New Roman" w:eastAsia="Times New Roman" w:hAnsi="Times New Roman" w:cs="Times New Roman"/>
                <w:b/>
                <w:sz w:val="20"/>
                <w:szCs w:val="20"/>
                <w:lang w:eastAsia="lv-LV"/>
              </w:rPr>
            </w:pPr>
            <w:r w:rsidRPr="00C04F43">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75FB761" w14:textId="77777777" w:rsidR="00C04F43" w:rsidRDefault="006B3949" w:rsidP="006B394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b/>
                <w:sz w:val="20"/>
                <w:szCs w:val="20"/>
                <w:lang w:eastAsia="lv-LV"/>
              </w:rPr>
              <w:t>Sniegts skaidrojums.</w:t>
            </w:r>
            <w:r w:rsidRPr="00C04F43">
              <w:rPr>
                <w:rFonts w:ascii="Times New Roman" w:eastAsia="Times New Roman" w:hAnsi="Times New Roman" w:cs="Times New Roman"/>
                <w:sz w:val="20"/>
                <w:szCs w:val="20"/>
                <w:lang w:eastAsia="lv-LV"/>
              </w:rPr>
              <w:t xml:space="preserve"> </w:t>
            </w:r>
          </w:p>
          <w:p w14:paraId="7696C1BA" w14:textId="77777777" w:rsidR="00C04F43" w:rsidRDefault="00C04F43" w:rsidP="006B3949">
            <w:pPr>
              <w:spacing w:after="0" w:line="240" w:lineRule="auto"/>
              <w:rPr>
                <w:rFonts w:ascii="Times New Roman" w:eastAsia="Times New Roman" w:hAnsi="Times New Roman" w:cs="Times New Roman"/>
                <w:sz w:val="20"/>
                <w:szCs w:val="20"/>
                <w:lang w:eastAsia="lv-LV"/>
              </w:rPr>
            </w:pPr>
          </w:p>
          <w:p w14:paraId="42CBC65A" w14:textId="2E0AFCF3" w:rsidR="006404DD" w:rsidRPr="00C04F43" w:rsidRDefault="006B3949" w:rsidP="006B394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sz w:val="20"/>
                <w:szCs w:val="20"/>
                <w:lang w:eastAsia="lv-LV"/>
              </w:rPr>
              <w:t>Ņemot vērā vispārīgo aprakstu Programmas dokumentā, dalībvalstis ierosina nenorādīt specifiskas minoritāšu grupas.</w:t>
            </w:r>
          </w:p>
        </w:tc>
      </w:tr>
      <w:tr w:rsidR="006404DD" w:rsidRPr="00D73B87" w14:paraId="5C0D084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8EB15B7" w14:textId="6620425B"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17.</w:t>
            </w:r>
          </w:p>
        </w:tc>
        <w:tc>
          <w:tcPr>
            <w:tcW w:w="700" w:type="pct"/>
            <w:tcBorders>
              <w:top w:val="outset" w:sz="6" w:space="0" w:color="414142"/>
              <w:left w:val="outset" w:sz="6" w:space="0" w:color="414142"/>
              <w:bottom w:val="outset" w:sz="6" w:space="0" w:color="414142"/>
              <w:right w:val="outset" w:sz="6" w:space="0" w:color="414142"/>
            </w:tcBorders>
          </w:tcPr>
          <w:p w14:paraId="6DAD086F"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22298D60" w14:textId="0F6632AE"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2F2169E0" w14:textId="77777777" w:rsidR="006404DD" w:rsidRDefault="006404DD" w:rsidP="00BA6961">
            <w:pPr>
              <w:tabs>
                <w:tab w:val="left" w:pos="2190"/>
              </w:tabs>
              <w:spacing w:after="0" w:line="240" w:lineRule="auto"/>
              <w:rPr>
                <w:rFonts w:ascii="Times New Roman" w:eastAsia="Times New Roman" w:hAnsi="Times New Roman" w:cs="Times New Roman"/>
                <w:color w:val="414142"/>
                <w:sz w:val="20"/>
                <w:szCs w:val="20"/>
                <w:lang w:eastAsia="lv-LV"/>
              </w:rPr>
            </w:pPr>
            <w:r w:rsidRPr="00B83027">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B83027">
              <w:rPr>
                <w:rFonts w:ascii="Times New Roman" w:eastAsia="Times New Roman" w:hAnsi="Times New Roman" w:cs="Times New Roman"/>
                <w:color w:val="414142"/>
                <w:sz w:val="20"/>
                <w:szCs w:val="20"/>
                <w:lang w:eastAsia="lv-LV"/>
              </w:rPr>
              <w:t xml:space="preserve">Pandēmijas laikā ievērojami palielinājies attālinātā darba veicēju skaits. To darbinieku īpatsvars, kuri Covid-19 dēļ sākuši strādāt attālināti, Somijā sasniedza 59%, Zviedrijā – 42%, Igaunijā – 36%, bet Latvijā – 32%.  </w:t>
            </w:r>
          </w:p>
          <w:p w14:paraId="2FE79396" w14:textId="77777777" w:rsidR="006404DD" w:rsidRDefault="006404DD" w:rsidP="00BA6961">
            <w:pPr>
              <w:tabs>
                <w:tab w:val="left" w:pos="1740"/>
              </w:tabs>
              <w:spacing w:after="0" w:line="240" w:lineRule="auto"/>
              <w:rPr>
                <w:rFonts w:ascii="Times New Roman" w:eastAsia="Times New Roman" w:hAnsi="Times New Roman" w:cs="Times New Roman"/>
                <w:color w:val="414142"/>
                <w:sz w:val="20"/>
                <w:szCs w:val="20"/>
                <w:lang w:eastAsia="lv-LV"/>
              </w:rPr>
            </w:pPr>
            <w:r w:rsidRPr="00B83027">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B83027">
              <w:rPr>
                <w:rFonts w:ascii="Times New Roman" w:eastAsia="Times New Roman" w:hAnsi="Times New Roman" w:cs="Times New Roman"/>
                <w:color w:val="414142"/>
                <w:sz w:val="20"/>
                <w:szCs w:val="20"/>
                <w:lang w:eastAsia="lv-LV"/>
              </w:rPr>
              <w:t>Lūdzam precizēt, kas ir datu avots.</w:t>
            </w:r>
          </w:p>
          <w:p w14:paraId="6215B9D5" w14:textId="77777777" w:rsidR="006404DD" w:rsidRPr="00126AE7" w:rsidRDefault="006404DD" w:rsidP="00BA6961">
            <w:pPr>
              <w:tabs>
                <w:tab w:val="left" w:pos="1740"/>
              </w:tabs>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E7AE5CB" w14:textId="77777777" w:rsidR="006B3949" w:rsidRDefault="006B3949" w:rsidP="006B3949">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b/>
                <w:sz w:val="20"/>
                <w:szCs w:val="20"/>
                <w:lang w:eastAsia="lv-LV"/>
              </w:rPr>
              <w:t>Ņemts vērā. Sniegts skaidrojums.</w:t>
            </w:r>
            <w:r w:rsidRPr="00C31E0D">
              <w:rPr>
                <w:rFonts w:ascii="Times New Roman" w:eastAsia="Times New Roman" w:hAnsi="Times New Roman" w:cs="Times New Roman"/>
                <w:sz w:val="20"/>
                <w:szCs w:val="20"/>
                <w:lang w:eastAsia="lv-LV"/>
              </w:rPr>
              <w:t xml:space="preserve"> </w:t>
            </w:r>
          </w:p>
          <w:p w14:paraId="5BCE887E" w14:textId="77777777" w:rsidR="006B3949" w:rsidRDefault="006B3949" w:rsidP="006B3949">
            <w:pPr>
              <w:spacing w:after="0" w:line="240" w:lineRule="auto"/>
              <w:rPr>
                <w:rFonts w:ascii="Times New Roman" w:eastAsia="Times New Roman" w:hAnsi="Times New Roman" w:cs="Times New Roman"/>
                <w:sz w:val="20"/>
                <w:szCs w:val="20"/>
                <w:lang w:eastAsia="lv-LV"/>
              </w:rPr>
            </w:pPr>
          </w:p>
          <w:p w14:paraId="76870022" w14:textId="1D572B42" w:rsidR="006404DD" w:rsidRPr="00D73B87" w:rsidRDefault="006B3949" w:rsidP="006B3949">
            <w:pPr>
              <w:spacing w:after="0" w:line="240" w:lineRule="auto"/>
              <w:rPr>
                <w:rFonts w:ascii="Times New Roman" w:eastAsia="Times New Roman" w:hAnsi="Times New Roman" w:cs="Times New Roman"/>
                <w:color w:val="414142"/>
                <w:sz w:val="20"/>
                <w:szCs w:val="20"/>
                <w:lang w:eastAsia="lv-LV"/>
              </w:rPr>
            </w:pPr>
            <w:r w:rsidRPr="00C31E0D">
              <w:rPr>
                <w:rFonts w:ascii="Times New Roman" w:eastAsia="Times New Roman" w:hAnsi="Times New Roman" w:cs="Times New Roman"/>
                <w:sz w:val="20"/>
                <w:szCs w:val="20"/>
                <w:lang w:eastAsia="lv-LV"/>
              </w:rPr>
              <w:t>Programmas dokuments preci</w:t>
            </w:r>
            <w:r>
              <w:rPr>
                <w:rFonts w:ascii="Times New Roman" w:eastAsia="Times New Roman" w:hAnsi="Times New Roman" w:cs="Times New Roman"/>
                <w:sz w:val="20"/>
                <w:szCs w:val="20"/>
                <w:lang w:eastAsia="lv-LV"/>
              </w:rPr>
              <w:t>z</w:t>
            </w:r>
            <w:r w:rsidRPr="00C31E0D">
              <w:rPr>
                <w:rFonts w:ascii="Times New Roman" w:eastAsia="Times New Roman" w:hAnsi="Times New Roman" w:cs="Times New Roman"/>
                <w:sz w:val="20"/>
                <w:szCs w:val="20"/>
                <w:lang w:eastAsia="lv-LV"/>
              </w:rPr>
              <w:t>ēts, izņemot visas atsauces uz statistiku. Statistika tiks atstāta Reģionālajā analīzes dokumentā.</w:t>
            </w:r>
          </w:p>
        </w:tc>
        <w:tc>
          <w:tcPr>
            <w:tcW w:w="754" w:type="pct"/>
            <w:tcBorders>
              <w:top w:val="outset" w:sz="6" w:space="0" w:color="414142"/>
              <w:left w:val="outset" w:sz="6" w:space="0" w:color="414142"/>
              <w:bottom w:val="outset" w:sz="6" w:space="0" w:color="414142"/>
              <w:right w:val="outset" w:sz="6" w:space="0" w:color="414142"/>
            </w:tcBorders>
          </w:tcPr>
          <w:p w14:paraId="341D1DCD"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482C0A4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B037E94" w14:textId="7E9E8714"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18.</w:t>
            </w:r>
          </w:p>
        </w:tc>
        <w:tc>
          <w:tcPr>
            <w:tcW w:w="700" w:type="pct"/>
            <w:tcBorders>
              <w:top w:val="outset" w:sz="6" w:space="0" w:color="414142"/>
              <w:left w:val="outset" w:sz="6" w:space="0" w:color="414142"/>
              <w:bottom w:val="outset" w:sz="6" w:space="0" w:color="414142"/>
              <w:right w:val="outset" w:sz="6" w:space="0" w:color="414142"/>
            </w:tcBorders>
          </w:tcPr>
          <w:p w14:paraId="501BFE75"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5CFDB0BC" w14:textId="5EB2E6B8"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0B71FB29" w14:textId="77777777" w:rsidR="006404DD" w:rsidRDefault="006404DD" w:rsidP="00BA6961">
            <w:pPr>
              <w:spacing w:after="0" w:line="240" w:lineRule="auto"/>
              <w:rPr>
                <w:rFonts w:ascii="Times New Roman" w:eastAsia="Times New Roman" w:hAnsi="Times New Roman" w:cs="Times New Roman"/>
                <w:strike/>
                <w:color w:val="FF0000"/>
                <w:sz w:val="20"/>
                <w:szCs w:val="20"/>
                <w:lang w:eastAsia="lv-LV"/>
              </w:rPr>
            </w:pPr>
            <w:r>
              <w:rPr>
                <w:rFonts w:ascii="Times New Roman" w:eastAsia="Times New Roman" w:hAnsi="Times New Roman" w:cs="Times New Roman"/>
                <w:color w:val="414142"/>
                <w:sz w:val="20"/>
                <w:szCs w:val="20"/>
                <w:lang w:eastAsia="lv-LV"/>
              </w:rPr>
              <w:t xml:space="preserve">Saturs: </w:t>
            </w:r>
            <w:r w:rsidRPr="00B83027">
              <w:rPr>
                <w:rFonts w:ascii="Times New Roman" w:eastAsia="Times New Roman" w:hAnsi="Times New Roman" w:cs="Times New Roman"/>
                <w:color w:val="414142"/>
                <w:sz w:val="20"/>
                <w:szCs w:val="20"/>
                <w:lang w:eastAsia="lv-LV"/>
              </w:rPr>
              <w:t xml:space="preserve">Neskatoties uz to, </w:t>
            </w:r>
            <w:r w:rsidRPr="00B83027">
              <w:rPr>
                <w:rFonts w:ascii="Times New Roman" w:eastAsia="Times New Roman" w:hAnsi="Times New Roman" w:cs="Times New Roman"/>
                <w:color w:val="7030A0"/>
                <w:sz w:val="20"/>
                <w:szCs w:val="20"/>
                <w:lang w:eastAsia="lv-LV"/>
              </w:rPr>
              <w:t xml:space="preserve">elastīgas darba formas joprojām  </w:t>
            </w:r>
            <w:r w:rsidRPr="00B83027">
              <w:rPr>
                <w:rFonts w:ascii="Times New Roman" w:eastAsia="Times New Roman" w:hAnsi="Times New Roman" w:cs="Times New Roman"/>
                <w:color w:val="414142"/>
                <w:sz w:val="20"/>
                <w:szCs w:val="20"/>
                <w:lang w:eastAsia="lv-LV"/>
              </w:rPr>
              <w:t xml:space="preserve">tiek izmantotas nepietiekami. Bērnu aprūpes un citu ģimenes locekļu aprūpes pienākumu slogs, īpaši ietekmē sieviešu vienlīdzīgas iespējas iekļauties darba tirgū. </w:t>
            </w:r>
            <w:r w:rsidRPr="00B83027">
              <w:rPr>
                <w:rFonts w:ascii="Times New Roman" w:eastAsia="Times New Roman" w:hAnsi="Times New Roman" w:cs="Times New Roman"/>
                <w:strike/>
                <w:color w:val="FF0000"/>
                <w:sz w:val="20"/>
                <w:szCs w:val="20"/>
                <w:lang w:eastAsia="lv-LV"/>
              </w:rPr>
              <w:t>Noteiktā mērā sociālās aprūpes pienākumi kavē sieviešu piekļuvi darba tirgum.</w:t>
            </w:r>
          </w:p>
          <w:p w14:paraId="2EBD05B9" w14:textId="77777777" w:rsidR="006404DD" w:rsidRDefault="006404DD" w:rsidP="00BA6961">
            <w:pPr>
              <w:spacing w:after="0" w:line="240" w:lineRule="auto"/>
              <w:rPr>
                <w:rFonts w:ascii="Times New Roman" w:eastAsia="Times New Roman" w:hAnsi="Times New Roman" w:cs="Times New Roman"/>
                <w:sz w:val="20"/>
                <w:szCs w:val="20"/>
                <w:lang w:eastAsia="lv-LV"/>
              </w:rPr>
            </w:pPr>
            <w:r w:rsidRPr="00B83027">
              <w:rPr>
                <w:rFonts w:ascii="Times New Roman" w:eastAsia="Times New Roman" w:hAnsi="Times New Roman" w:cs="Times New Roman"/>
                <w:b/>
                <w:bCs/>
                <w:sz w:val="20"/>
                <w:szCs w:val="20"/>
                <w:lang w:eastAsia="lv-LV"/>
              </w:rPr>
              <w:t xml:space="preserve">Komentārs: </w:t>
            </w:r>
            <w:r w:rsidRPr="00B83027">
              <w:rPr>
                <w:rFonts w:ascii="Times New Roman" w:eastAsia="Times New Roman" w:hAnsi="Times New Roman" w:cs="Times New Roman"/>
                <w:sz w:val="20"/>
                <w:szCs w:val="20"/>
                <w:lang w:eastAsia="lv-LV"/>
              </w:rPr>
              <w:t>Lūgums minēt kādas no elastīgā darba formām ir domātas, ja iespējams.</w:t>
            </w:r>
          </w:p>
          <w:p w14:paraId="24915C08" w14:textId="77777777" w:rsidR="006404DD" w:rsidRPr="00B8302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7845FDE" w14:textId="4332109D" w:rsidR="006404DD" w:rsidRPr="00E31A66" w:rsidRDefault="00E31A66" w:rsidP="00BA6961">
            <w:pPr>
              <w:spacing w:after="0" w:line="240" w:lineRule="auto"/>
              <w:rPr>
                <w:rFonts w:ascii="Times New Roman" w:eastAsia="Times New Roman" w:hAnsi="Times New Roman" w:cs="Times New Roman"/>
                <w:b/>
                <w:color w:val="414142"/>
                <w:sz w:val="20"/>
                <w:szCs w:val="20"/>
                <w:lang w:eastAsia="lv-LV"/>
              </w:rPr>
            </w:pPr>
            <w:r w:rsidRPr="00E31A66">
              <w:rPr>
                <w:rFonts w:ascii="Times New Roman" w:eastAsia="Times New Roman" w:hAnsi="Times New Roman" w:cs="Times New Roman"/>
                <w:b/>
                <w:color w:val="414142"/>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2C5EB3FF"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40D87EF1"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C938BC1" w14:textId="22B10B4B" w:rsidR="006404DD" w:rsidRPr="00E31A66"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w:t>
            </w:r>
          </w:p>
        </w:tc>
        <w:tc>
          <w:tcPr>
            <w:tcW w:w="700" w:type="pct"/>
            <w:tcBorders>
              <w:top w:val="outset" w:sz="6" w:space="0" w:color="414142"/>
              <w:left w:val="outset" w:sz="6" w:space="0" w:color="414142"/>
              <w:bottom w:val="outset" w:sz="6" w:space="0" w:color="414142"/>
              <w:right w:val="outset" w:sz="6" w:space="0" w:color="414142"/>
            </w:tcBorders>
          </w:tcPr>
          <w:p w14:paraId="236540E9"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E77DD4B" w14:textId="104A12D0" w:rsidR="006404DD" w:rsidRPr="00E31A66" w:rsidRDefault="006404DD" w:rsidP="00C00E55">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57717E5B"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bCs/>
                <w:sz w:val="20"/>
                <w:szCs w:val="20"/>
                <w:lang w:eastAsia="lv-LV"/>
              </w:rPr>
              <w:t>Saturs:</w:t>
            </w:r>
            <w:r w:rsidRPr="00E31A66">
              <w:rPr>
                <w:rFonts w:ascii="Times New Roman" w:eastAsia="Times New Roman" w:hAnsi="Times New Roman" w:cs="Times New Roman"/>
                <w:sz w:val="20"/>
                <w:szCs w:val="20"/>
                <w:lang w:eastAsia="lv-LV"/>
              </w:rPr>
              <w:t xml:space="preserve"> Notiek vērā ņemama darbaspēka pārrobežu pārvietošanās, sevišķi maršrutos SOMIJA-IGAUNIJA, LATVIJA-IGAUNIJA un SOMIJA-ZVIEDRIJA. Šī darbaspēka kustība varētu iegūt no saskaņotāku kopējā darba tirgus pakalpojumu nodrošināšanas. Patlaban šādu pakalpojumu nav .</w:t>
            </w:r>
          </w:p>
          <w:p w14:paraId="3809497E"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bCs/>
                <w:sz w:val="20"/>
                <w:szCs w:val="20"/>
                <w:lang w:eastAsia="lv-LV"/>
              </w:rPr>
              <w:t>Komentārs</w:t>
            </w:r>
            <w:r w:rsidRPr="00E31A66">
              <w:rPr>
                <w:rFonts w:ascii="Times New Roman" w:eastAsia="Times New Roman" w:hAnsi="Times New Roman" w:cs="Times New Roman"/>
                <w:sz w:val="20"/>
                <w:szCs w:val="20"/>
                <w:lang w:eastAsia="lv-LV"/>
              </w:rPr>
              <w:t>: Lūdzam precizēt, kas ar to tiek domāts.</w:t>
            </w:r>
          </w:p>
          <w:p w14:paraId="575537D8"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B4C47D6" w14:textId="64CA8F85" w:rsidR="006404DD" w:rsidRPr="00E31A66" w:rsidRDefault="00E31A66" w:rsidP="00BA6961">
            <w:pPr>
              <w:spacing w:after="0" w:line="240" w:lineRule="auto"/>
              <w:rPr>
                <w:rFonts w:ascii="Times New Roman" w:eastAsia="Times New Roman" w:hAnsi="Times New Roman" w:cs="Times New Roman"/>
                <w:b/>
                <w:sz w:val="20"/>
                <w:szCs w:val="20"/>
                <w:lang w:eastAsia="lv-LV"/>
              </w:rPr>
            </w:pPr>
            <w:r w:rsidRPr="00E31A66">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1092F967" w14:textId="77777777" w:rsidR="00C04F43" w:rsidRDefault="00E31A66" w:rsidP="00E31A66">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sz w:val="20"/>
                <w:szCs w:val="20"/>
                <w:lang w:eastAsia="lv-LV"/>
              </w:rPr>
              <w:t>Sniegts skaidrojums.</w:t>
            </w:r>
            <w:r w:rsidRPr="00E31A66">
              <w:rPr>
                <w:rFonts w:ascii="Times New Roman" w:eastAsia="Times New Roman" w:hAnsi="Times New Roman" w:cs="Times New Roman"/>
                <w:sz w:val="20"/>
                <w:szCs w:val="20"/>
                <w:lang w:eastAsia="lv-LV"/>
              </w:rPr>
              <w:t xml:space="preserve"> </w:t>
            </w:r>
          </w:p>
          <w:p w14:paraId="713A54FE" w14:textId="77777777" w:rsidR="00C04F43" w:rsidRDefault="00C04F43" w:rsidP="00E31A66">
            <w:pPr>
              <w:spacing w:after="0" w:line="240" w:lineRule="auto"/>
              <w:rPr>
                <w:rFonts w:ascii="Times New Roman" w:eastAsia="Times New Roman" w:hAnsi="Times New Roman" w:cs="Times New Roman"/>
                <w:sz w:val="20"/>
                <w:szCs w:val="20"/>
                <w:lang w:eastAsia="lv-LV"/>
              </w:rPr>
            </w:pPr>
          </w:p>
          <w:p w14:paraId="386CCBF0" w14:textId="7176AF91" w:rsidR="006404DD" w:rsidRPr="00E31A66" w:rsidRDefault="00E31A66" w:rsidP="00E31A66">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Ar darba tirgus pakalpojumiem domāts, piemēram, informācijas nodrošināšana, apmācības, pabalsti.</w:t>
            </w:r>
          </w:p>
        </w:tc>
      </w:tr>
      <w:tr w:rsidR="006404DD" w:rsidRPr="00D73B87" w14:paraId="48B5E441"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C8ACBB3" w14:textId="7D0B0DFD"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20.</w:t>
            </w:r>
          </w:p>
        </w:tc>
        <w:tc>
          <w:tcPr>
            <w:tcW w:w="700" w:type="pct"/>
            <w:tcBorders>
              <w:top w:val="outset" w:sz="6" w:space="0" w:color="414142"/>
              <w:left w:val="outset" w:sz="6" w:space="0" w:color="414142"/>
              <w:bottom w:val="outset" w:sz="6" w:space="0" w:color="414142"/>
              <w:right w:val="outset" w:sz="6" w:space="0" w:color="414142"/>
            </w:tcBorders>
          </w:tcPr>
          <w:p w14:paraId="03B57E4D"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64BB1581" w14:textId="04C0739B" w:rsidR="006404DD" w:rsidRPr="00E31A66" w:rsidRDefault="006404DD" w:rsidP="00C00E55">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7834E547"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bCs/>
                <w:sz w:val="20"/>
                <w:szCs w:val="20"/>
                <w:lang w:eastAsia="lv-LV"/>
              </w:rPr>
              <w:t>Saturs:</w:t>
            </w:r>
            <w:r w:rsidRPr="00E31A66">
              <w:rPr>
                <w:rFonts w:ascii="Times New Roman" w:eastAsia="Times New Roman" w:hAnsi="Times New Roman" w:cs="Times New Roman"/>
                <w:sz w:val="20"/>
                <w:szCs w:val="20"/>
                <w:lang w:eastAsia="lv-LV"/>
              </w:rPr>
              <w:t xml:space="preserve"> Ņemot vērā demogrāfiskās tendences, nākotnē atbilstoši kvalificētu </w:t>
            </w:r>
            <w:r w:rsidRPr="00E31A66">
              <w:rPr>
                <w:rFonts w:ascii="Times New Roman" w:eastAsia="Times New Roman" w:hAnsi="Times New Roman" w:cs="Times New Roman"/>
                <w:strike/>
                <w:color w:val="FF0000"/>
                <w:sz w:val="20"/>
                <w:szCs w:val="20"/>
                <w:lang w:eastAsia="lv-LV"/>
              </w:rPr>
              <w:t>strādnieku</w:t>
            </w:r>
            <w:r w:rsidRPr="00E31A66">
              <w:rPr>
                <w:rFonts w:ascii="Times New Roman" w:eastAsia="Times New Roman" w:hAnsi="Times New Roman" w:cs="Times New Roman"/>
                <w:color w:val="FF0000"/>
                <w:sz w:val="20"/>
                <w:szCs w:val="20"/>
                <w:lang w:eastAsia="lv-LV"/>
              </w:rPr>
              <w:t xml:space="preserve"> </w:t>
            </w:r>
            <w:r w:rsidRPr="00E31A66">
              <w:rPr>
                <w:rFonts w:ascii="Times New Roman" w:eastAsia="Times New Roman" w:hAnsi="Times New Roman" w:cs="Times New Roman"/>
                <w:sz w:val="20"/>
                <w:szCs w:val="20"/>
                <w:lang w:eastAsia="lv-LV"/>
              </w:rPr>
              <w:t>darbinieku piedāvājums.</w:t>
            </w:r>
          </w:p>
        </w:tc>
        <w:tc>
          <w:tcPr>
            <w:tcW w:w="539" w:type="pct"/>
            <w:tcBorders>
              <w:top w:val="outset" w:sz="6" w:space="0" w:color="414142"/>
              <w:left w:val="outset" w:sz="6" w:space="0" w:color="414142"/>
              <w:bottom w:val="outset" w:sz="6" w:space="0" w:color="414142"/>
              <w:right w:val="outset" w:sz="6" w:space="0" w:color="414142"/>
            </w:tcBorders>
          </w:tcPr>
          <w:p w14:paraId="204CD8D2" w14:textId="55B090A6" w:rsidR="006404DD" w:rsidRPr="00E31A66" w:rsidRDefault="00EF2258" w:rsidP="00BA6961">
            <w:pPr>
              <w:spacing w:after="0" w:line="240" w:lineRule="auto"/>
              <w:rPr>
                <w:rFonts w:ascii="Times New Roman" w:eastAsia="Times New Roman" w:hAnsi="Times New Roman" w:cs="Times New Roman"/>
                <w:b/>
                <w:sz w:val="20"/>
                <w:szCs w:val="20"/>
                <w:lang w:eastAsia="lv-LV"/>
              </w:rPr>
            </w:pPr>
            <w:r w:rsidRPr="00E31A66">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3F26A5DD"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20C61975"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5026AB5" w14:textId="2C24A9A2"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21.</w:t>
            </w:r>
          </w:p>
        </w:tc>
        <w:tc>
          <w:tcPr>
            <w:tcW w:w="700" w:type="pct"/>
            <w:tcBorders>
              <w:top w:val="outset" w:sz="6" w:space="0" w:color="414142"/>
              <w:left w:val="outset" w:sz="6" w:space="0" w:color="414142"/>
              <w:bottom w:val="outset" w:sz="6" w:space="0" w:color="414142"/>
              <w:right w:val="outset" w:sz="6" w:space="0" w:color="414142"/>
            </w:tcBorders>
          </w:tcPr>
          <w:p w14:paraId="48C4541B"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2EDB6C0C" w14:textId="661FC411" w:rsidR="006404DD" w:rsidRPr="001562CD" w:rsidRDefault="006404DD" w:rsidP="00C00E55">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32CCD2D7" w14:textId="77777777" w:rsidR="006404DD" w:rsidRPr="001562CD" w:rsidRDefault="006404DD" w:rsidP="00BA6961">
            <w:pPr>
              <w:spacing w:after="0" w:line="240" w:lineRule="auto"/>
              <w:rPr>
                <w:rFonts w:ascii="Times New Roman" w:eastAsia="Times New Roman" w:hAnsi="Times New Roman" w:cs="Times New Roman"/>
                <w:strike/>
                <w:color w:val="FF0000"/>
                <w:sz w:val="20"/>
                <w:szCs w:val="20"/>
                <w:lang w:eastAsia="lv-LV"/>
              </w:rPr>
            </w:pPr>
            <w:r w:rsidRPr="001562CD">
              <w:rPr>
                <w:rFonts w:ascii="Times New Roman" w:eastAsia="Times New Roman" w:hAnsi="Times New Roman" w:cs="Times New Roman"/>
                <w:b/>
                <w:bCs/>
                <w:sz w:val="20"/>
                <w:szCs w:val="20"/>
                <w:lang w:eastAsia="lv-LV"/>
              </w:rPr>
              <w:t>Saturs</w:t>
            </w:r>
            <w:r w:rsidRPr="001562CD">
              <w:rPr>
                <w:rFonts w:ascii="Times New Roman" w:eastAsia="Times New Roman" w:hAnsi="Times New Roman" w:cs="Times New Roman"/>
                <w:sz w:val="20"/>
                <w:szCs w:val="20"/>
                <w:lang w:eastAsia="lv-LV"/>
              </w:rPr>
              <w:t xml:space="preserve">: •Darba samaksas atšķirības starp dzimumiem </w:t>
            </w:r>
            <w:r w:rsidRPr="001562CD">
              <w:rPr>
                <w:rFonts w:ascii="Times New Roman" w:eastAsia="Times New Roman" w:hAnsi="Times New Roman" w:cs="Times New Roman"/>
                <w:strike/>
                <w:color w:val="FF0000"/>
                <w:sz w:val="20"/>
                <w:szCs w:val="20"/>
                <w:lang w:eastAsia="lv-LV"/>
              </w:rPr>
              <w:t>Dzimumu atalgojuma atšķirība</w:t>
            </w:r>
          </w:p>
          <w:p w14:paraId="76C14AB5"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•Viesstrādnieku skaita palielinājums potenciāli rada spriedzi sabiedrībā</w:t>
            </w:r>
          </w:p>
          <w:p w14:paraId="705C0254"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bCs/>
                <w:sz w:val="20"/>
                <w:szCs w:val="20"/>
                <w:lang w:eastAsia="lv-LV"/>
              </w:rPr>
              <w:t>Komentārs</w:t>
            </w:r>
            <w:r w:rsidRPr="001562CD">
              <w:rPr>
                <w:rFonts w:ascii="Times New Roman" w:eastAsia="Times New Roman" w:hAnsi="Times New Roman" w:cs="Times New Roman"/>
                <w:sz w:val="20"/>
                <w:szCs w:val="20"/>
                <w:lang w:eastAsia="lv-LV"/>
              </w:rPr>
              <w:t>:</w:t>
            </w:r>
            <w:r w:rsidRPr="001562CD">
              <w:rPr>
                <w:rFonts w:ascii="Trebuchet MS" w:eastAsia="Trebuchet MS" w:hAnsi="Trebuchet MS" w:cs="Trebuchet MS"/>
                <w:lang w:bidi="en-US"/>
              </w:rPr>
              <w:t xml:space="preserve"> </w:t>
            </w:r>
            <w:r w:rsidRPr="001562CD">
              <w:rPr>
                <w:rFonts w:ascii="Times New Roman" w:eastAsia="Times New Roman" w:hAnsi="Times New Roman" w:cs="Times New Roman"/>
                <w:sz w:val="20"/>
                <w:szCs w:val="20"/>
                <w:lang w:eastAsia="lv-LV"/>
              </w:rPr>
              <w:t>Aicinām skaidrot, ko nozīmē “spriedze”, jo nav pabeigta doma.</w:t>
            </w:r>
          </w:p>
          <w:p w14:paraId="14D24508"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1AF08C3" w14:textId="1E9B863F" w:rsidR="006404DD" w:rsidRPr="001562CD" w:rsidRDefault="001562C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65DB9646" w14:textId="77777777" w:rsidR="00C04F43" w:rsidRDefault="001562CD" w:rsidP="001562CD">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Sniegts skaidrojums.</w:t>
            </w:r>
            <w:r w:rsidRPr="001562CD">
              <w:rPr>
                <w:rFonts w:ascii="Times New Roman" w:eastAsia="Times New Roman" w:hAnsi="Times New Roman" w:cs="Times New Roman"/>
                <w:sz w:val="20"/>
                <w:szCs w:val="20"/>
                <w:lang w:eastAsia="lv-LV"/>
              </w:rPr>
              <w:t xml:space="preserve"> </w:t>
            </w:r>
          </w:p>
          <w:p w14:paraId="6B7CFFE8" w14:textId="77777777" w:rsidR="00C04F43" w:rsidRDefault="00C04F43" w:rsidP="001562CD">
            <w:pPr>
              <w:spacing w:after="0" w:line="240" w:lineRule="auto"/>
              <w:rPr>
                <w:rFonts w:ascii="Times New Roman" w:eastAsia="Times New Roman" w:hAnsi="Times New Roman" w:cs="Times New Roman"/>
                <w:sz w:val="20"/>
                <w:szCs w:val="20"/>
                <w:lang w:eastAsia="lv-LV"/>
              </w:rPr>
            </w:pPr>
          </w:p>
          <w:p w14:paraId="12F01E46" w14:textId="7A07B158" w:rsidR="006404DD" w:rsidRPr="001562CD" w:rsidRDefault="001562CD" w:rsidP="00C04F43">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Spriedze var būt atšķirīga, </w:t>
            </w:r>
            <w:r w:rsidR="00C04F43">
              <w:rPr>
                <w:rFonts w:ascii="Times New Roman" w:eastAsia="Times New Roman" w:hAnsi="Times New Roman" w:cs="Times New Roman"/>
                <w:sz w:val="20"/>
                <w:szCs w:val="20"/>
                <w:lang w:eastAsia="lv-LV"/>
              </w:rPr>
              <w:t>taču, definējot izaicinājumu,</w:t>
            </w:r>
            <w:r w:rsidRPr="001562CD">
              <w:rPr>
                <w:rFonts w:ascii="Times New Roman" w:eastAsia="Times New Roman" w:hAnsi="Times New Roman" w:cs="Times New Roman"/>
                <w:sz w:val="20"/>
                <w:szCs w:val="20"/>
                <w:lang w:eastAsia="lv-LV"/>
              </w:rPr>
              <w:t xml:space="preserve"> tiek izmantota vispārinātā izteiksme.</w:t>
            </w:r>
          </w:p>
        </w:tc>
      </w:tr>
      <w:tr w:rsidR="00E31A66" w:rsidRPr="00D73B87" w14:paraId="69F3BAE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ACB4F8E" w14:textId="158C761C" w:rsidR="00E31A66"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22.</w:t>
            </w:r>
          </w:p>
        </w:tc>
        <w:tc>
          <w:tcPr>
            <w:tcW w:w="700" w:type="pct"/>
            <w:tcBorders>
              <w:top w:val="outset" w:sz="6" w:space="0" w:color="414142"/>
              <w:left w:val="outset" w:sz="6" w:space="0" w:color="414142"/>
              <w:bottom w:val="outset" w:sz="6" w:space="0" w:color="414142"/>
              <w:right w:val="outset" w:sz="6" w:space="0" w:color="414142"/>
            </w:tcBorders>
          </w:tcPr>
          <w:p w14:paraId="14B7E151"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6D4B9519" w14:textId="6BB1BA4E" w:rsidR="00E31A66" w:rsidRPr="001562CD" w:rsidRDefault="00E31A66" w:rsidP="00C00E55">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07A3D486"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bCs/>
                <w:sz w:val="20"/>
                <w:szCs w:val="20"/>
                <w:lang w:eastAsia="lv-LV"/>
              </w:rPr>
              <w:t>Saturs:</w:t>
            </w:r>
            <w:r w:rsidRPr="001562CD">
              <w:rPr>
                <w:rFonts w:ascii="Times New Roman" w:eastAsia="Times New Roman" w:hAnsi="Times New Roman" w:cs="Times New Roman"/>
                <w:sz w:val="20"/>
                <w:szCs w:val="20"/>
                <w:lang w:eastAsia="lv-LV"/>
              </w:rPr>
              <w:t xml:space="preserve"> •Izaicinājumi saistībā ar darba tirgus pakalpojumu saskaņošanu vienota darba tirgus vajadzībām (sevišķi maršrutos SOMIJA-IGAUNIJA, LATVIJA-IGAUNIJA un SOMIJA-ZVIEDRIJA )</w:t>
            </w:r>
          </w:p>
          <w:p w14:paraId="331CD6A6"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bCs/>
                <w:sz w:val="20"/>
                <w:szCs w:val="20"/>
                <w:lang w:eastAsia="lv-LV"/>
              </w:rPr>
              <w:t>Komentārs</w:t>
            </w:r>
            <w:r w:rsidRPr="001562CD">
              <w:rPr>
                <w:rFonts w:ascii="Times New Roman" w:eastAsia="Times New Roman" w:hAnsi="Times New Roman" w:cs="Times New Roman"/>
                <w:sz w:val="20"/>
                <w:szCs w:val="20"/>
                <w:lang w:eastAsia="lv-LV"/>
              </w:rPr>
              <w:t>: Lūdzam precizēt, kas ar to tiek domāts.</w:t>
            </w:r>
          </w:p>
          <w:p w14:paraId="74635A18"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28448FA" w14:textId="4AFC8E62"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357260BE" w14:textId="77777777" w:rsidR="00C04F43"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Sniegts skaidrojums.</w:t>
            </w:r>
            <w:r w:rsidRPr="001562CD">
              <w:rPr>
                <w:rFonts w:ascii="Times New Roman" w:eastAsia="Times New Roman" w:hAnsi="Times New Roman" w:cs="Times New Roman"/>
                <w:sz w:val="20"/>
                <w:szCs w:val="20"/>
                <w:lang w:eastAsia="lv-LV"/>
              </w:rPr>
              <w:t xml:space="preserve"> </w:t>
            </w:r>
          </w:p>
          <w:p w14:paraId="1FD3FEF2" w14:textId="77777777" w:rsidR="00C04F43" w:rsidRDefault="00C04F43" w:rsidP="00BA6961">
            <w:pPr>
              <w:spacing w:after="0" w:line="240" w:lineRule="auto"/>
              <w:rPr>
                <w:rFonts w:ascii="Times New Roman" w:eastAsia="Times New Roman" w:hAnsi="Times New Roman" w:cs="Times New Roman"/>
                <w:sz w:val="20"/>
                <w:szCs w:val="20"/>
                <w:lang w:eastAsia="lv-LV"/>
              </w:rPr>
            </w:pPr>
          </w:p>
          <w:p w14:paraId="47F054D8" w14:textId="7FF61D6E"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Ar darba tirgus pakalpojumiem domāts, piemēram, informācijas nodrošināšana, apmācības, pabalsti.</w:t>
            </w:r>
          </w:p>
        </w:tc>
      </w:tr>
      <w:tr w:rsidR="006404DD" w:rsidRPr="00D73B87" w14:paraId="70C8CBF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65556D4" w14:textId="489BC3DF"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23.</w:t>
            </w:r>
          </w:p>
        </w:tc>
        <w:tc>
          <w:tcPr>
            <w:tcW w:w="700" w:type="pct"/>
            <w:tcBorders>
              <w:top w:val="outset" w:sz="6" w:space="0" w:color="414142"/>
              <w:left w:val="outset" w:sz="6" w:space="0" w:color="414142"/>
              <w:bottom w:val="outset" w:sz="6" w:space="0" w:color="414142"/>
              <w:right w:val="outset" w:sz="6" w:space="0" w:color="414142"/>
            </w:tcBorders>
          </w:tcPr>
          <w:p w14:paraId="52F0DDFA"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D80AD4A" w14:textId="1C454563" w:rsidR="006404DD" w:rsidRPr="001562CD" w:rsidRDefault="006404DD" w:rsidP="00C00E55">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4C84D82F" w14:textId="77777777" w:rsidR="006404DD" w:rsidRPr="00001BD5" w:rsidRDefault="006404DD" w:rsidP="00BA6961">
            <w:pPr>
              <w:spacing w:after="0" w:line="240" w:lineRule="auto"/>
              <w:rPr>
                <w:rFonts w:ascii="Times New Roman" w:eastAsia="Times New Roman" w:hAnsi="Times New Roman" w:cs="Times New Roman"/>
                <w:color w:val="7030A0"/>
                <w:sz w:val="20"/>
                <w:szCs w:val="20"/>
                <w:lang w:eastAsia="lv-LV"/>
              </w:rPr>
            </w:pPr>
            <w:r w:rsidRPr="001562CD">
              <w:rPr>
                <w:rFonts w:ascii="Times New Roman" w:eastAsia="Times New Roman" w:hAnsi="Times New Roman" w:cs="Times New Roman"/>
                <w:b/>
                <w:bCs/>
                <w:sz w:val="20"/>
                <w:szCs w:val="20"/>
                <w:lang w:eastAsia="lv-LV"/>
              </w:rPr>
              <w:t>Saturs:</w:t>
            </w:r>
            <w:r w:rsidRPr="001562CD">
              <w:rPr>
                <w:rFonts w:ascii="Times New Roman" w:eastAsia="Times New Roman" w:hAnsi="Times New Roman" w:cs="Times New Roman"/>
                <w:sz w:val="20"/>
                <w:szCs w:val="20"/>
                <w:lang w:eastAsia="lv-LV"/>
              </w:rPr>
              <w:t xml:space="preserve"> •Elastīgas darba formas tiek izmantotas nepietiekami, </w:t>
            </w:r>
            <w:r w:rsidRPr="00001BD5">
              <w:rPr>
                <w:rFonts w:ascii="Times New Roman" w:eastAsia="Times New Roman" w:hAnsi="Times New Roman" w:cs="Times New Roman"/>
                <w:color w:val="7030A0"/>
                <w:sz w:val="20"/>
                <w:szCs w:val="20"/>
                <w:lang w:eastAsia="lv-LV"/>
              </w:rPr>
              <w:t>vienlaikus elastīgās darba formas jāattīsta tādā veidā, lai tās pielietotu ilgtermiņā, neatstājot negatīvu ietekmi uz darbinieku drošību un veselību, sociālo aizsardzību, nākotnes pensijas ienākumiem un nākotnes karjeras iespējām, īpaši sievietēm, kā arī  neraisītu negatīvu ietekmi uz darba un privātās dzīves līdzsvaru.</w:t>
            </w:r>
          </w:p>
          <w:p w14:paraId="1F6656EC" w14:textId="77777777" w:rsidR="006404DD" w:rsidRPr="00126AE7" w:rsidRDefault="006404DD" w:rsidP="00BA6961">
            <w:pPr>
              <w:rPr>
                <w:rFonts w:ascii="Times New Roman" w:eastAsia="Times New Roman" w:hAnsi="Times New Roman" w:cs="Times New Roman"/>
                <w:color w:val="414142"/>
                <w:sz w:val="20"/>
                <w:szCs w:val="20"/>
                <w:lang w:eastAsia="lv-LV"/>
              </w:rPr>
            </w:pPr>
            <w:r w:rsidRPr="001562CD">
              <w:rPr>
                <w:rFonts w:ascii="Times New Roman" w:eastAsia="Times New Roman" w:hAnsi="Times New Roman" w:cs="Times New Roman"/>
                <w:b/>
                <w:bCs/>
                <w:sz w:val="20"/>
                <w:szCs w:val="20"/>
                <w:lang w:eastAsia="lv-LV"/>
              </w:rPr>
              <w:t>Komentārs:</w:t>
            </w:r>
            <w:r w:rsidRPr="001562CD">
              <w:rPr>
                <w:rFonts w:ascii="Trebuchet MS" w:eastAsia="Trebuchet MS" w:hAnsi="Trebuchet MS" w:cs="Trebuchet MS"/>
                <w:sz w:val="20"/>
                <w:szCs w:val="20"/>
                <w:lang w:bidi="en-US"/>
              </w:rPr>
              <w:t xml:space="preserve"> </w:t>
            </w:r>
            <w:r w:rsidRPr="001562CD">
              <w:rPr>
                <w:rFonts w:ascii="Times New Roman" w:eastAsia="Times New Roman" w:hAnsi="Times New Roman" w:cs="Times New Roman"/>
                <w:sz w:val="20"/>
                <w:szCs w:val="20"/>
                <w:lang w:eastAsia="lv-LV"/>
              </w:rPr>
              <w:t xml:space="preserve">Skat. VPP “Covid-19 seku mazināšanai” ietvaros veiktā pētījuma “Ziņojums par dažādu sociāli demogrāfisko grupu darba un privātās dzīves saskaņošanas iespējām Covid-19 izplatības mazināšanai noteikto ierobežojumu </w:t>
            </w:r>
            <w:r w:rsidRPr="001562CD">
              <w:rPr>
                <w:rFonts w:ascii="Times New Roman" w:eastAsia="Times New Roman" w:hAnsi="Times New Roman" w:cs="Times New Roman"/>
                <w:sz w:val="20"/>
                <w:szCs w:val="20"/>
                <w:lang w:eastAsia="lv-LV"/>
              </w:rPr>
              <w:lastRenderedPageBreak/>
              <w:t xml:space="preserve">periodā”- </w:t>
            </w:r>
            <w:hyperlink r:id="rId9" w:history="1">
              <w:r w:rsidRPr="00001BD5">
                <w:rPr>
                  <w:rStyle w:val="Hyperlink"/>
                  <w:rFonts w:ascii="Times New Roman" w:eastAsia="Times New Roman" w:hAnsi="Times New Roman" w:cs="Times New Roman"/>
                  <w:sz w:val="20"/>
                  <w:szCs w:val="20"/>
                  <w:lang w:eastAsia="lv-LV"/>
                </w:rPr>
                <w:t>https://lzp.gov.lv/wp-content/uploads/2021/03/29_zinojums_21022021_FINAL_c.pdf</w:t>
              </w:r>
            </w:hyperlink>
          </w:p>
        </w:tc>
        <w:tc>
          <w:tcPr>
            <w:tcW w:w="539" w:type="pct"/>
            <w:tcBorders>
              <w:top w:val="outset" w:sz="6" w:space="0" w:color="414142"/>
              <w:left w:val="outset" w:sz="6" w:space="0" w:color="414142"/>
              <w:bottom w:val="outset" w:sz="6" w:space="0" w:color="414142"/>
              <w:right w:val="outset" w:sz="6" w:space="0" w:color="414142"/>
            </w:tcBorders>
          </w:tcPr>
          <w:p w14:paraId="34215907" w14:textId="645B1AC5" w:rsidR="006404DD" w:rsidRPr="001562CD" w:rsidRDefault="001562CD" w:rsidP="00BA6961">
            <w:pPr>
              <w:spacing w:after="0" w:line="240" w:lineRule="auto"/>
              <w:rPr>
                <w:rFonts w:ascii="Times New Roman" w:eastAsia="Times New Roman" w:hAnsi="Times New Roman" w:cs="Times New Roman"/>
                <w:b/>
                <w:sz w:val="20"/>
                <w:szCs w:val="20"/>
                <w:lang w:eastAsia="lv-LV"/>
              </w:rPr>
            </w:pPr>
            <w:r w:rsidRPr="001562CD">
              <w:rPr>
                <w:rFonts w:ascii="Times New Roman" w:eastAsia="Times New Roman" w:hAnsi="Times New Roman" w:cs="Times New Roman"/>
                <w:b/>
                <w:sz w:val="20"/>
                <w:szCs w:val="20"/>
                <w:lang w:eastAsia="lv-LV"/>
              </w:rPr>
              <w:lastRenderedPageBreak/>
              <w:t>Nav ņemts vērā.</w:t>
            </w:r>
          </w:p>
        </w:tc>
        <w:tc>
          <w:tcPr>
            <w:tcW w:w="754" w:type="pct"/>
            <w:tcBorders>
              <w:top w:val="outset" w:sz="6" w:space="0" w:color="414142"/>
              <w:left w:val="outset" w:sz="6" w:space="0" w:color="414142"/>
              <w:bottom w:val="outset" w:sz="6" w:space="0" w:color="414142"/>
              <w:right w:val="outset" w:sz="6" w:space="0" w:color="414142"/>
            </w:tcBorders>
          </w:tcPr>
          <w:p w14:paraId="142B7B27" w14:textId="77777777" w:rsidR="00C04F43" w:rsidRDefault="001562CD" w:rsidP="001562CD">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Sniegts skaidrojums.</w:t>
            </w:r>
            <w:r w:rsidRPr="001562CD">
              <w:rPr>
                <w:rFonts w:ascii="Times New Roman" w:eastAsia="Times New Roman" w:hAnsi="Times New Roman" w:cs="Times New Roman"/>
                <w:sz w:val="20"/>
                <w:szCs w:val="20"/>
                <w:lang w:eastAsia="lv-LV"/>
              </w:rPr>
              <w:t xml:space="preserve"> </w:t>
            </w:r>
          </w:p>
          <w:p w14:paraId="65CA255F" w14:textId="77777777" w:rsidR="00C04F43" w:rsidRDefault="00C04F43" w:rsidP="001562CD">
            <w:pPr>
              <w:spacing w:after="0" w:line="240" w:lineRule="auto"/>
              <w:rPr>
                <w:rFonts w:ascii="Times New Roman" w:eastAsia="Times New Roman" w:hAnsi="Times New Roman" w:cs="Times New Roman"/>
                <w:sz w:val="20"/>
                <w:szCs w:val="20"/>
                <w:lang w:eastAsia="lv-LV"/>
              </w:rPr>
            </w:pPr>
          </w:p>
          <w:p w14:paraId="7E612B58" w14:textId="63203625" w:rsidR="006404DD" w:rsidRPr="001562CD" w:rsidRDefault="001562CD" w:rsidP="001562CD">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Ierosinājums ir Programmas dokumenta tekstā saglabāt vispārējo aprakstu, savukārt detalizētu aprakstu  iekļaut Reģionālās </w:t>
            </w:r>
            <w:r w:rsidRPr="001562CD">
              <w:rPr>
                <w:rFonts w:ascii="Times New Roman" w:eastAsia="Times New Roman" w:hAnsi="Times New Roman" w:cs="Times New Roman"/>
                <w:sz w:val="20"/>
                <w:szCs w:val="20"/>
                <w:lang w:eastAsia="lv-LV"/>
              </w:rPr>
              <w:lastRenderedPageBreak/>
              <w:t>analīzes dokumentā.</w:t>
            </w:r>
          </w:p>
        </w:tc>
      </w:tr>
      <w:tr w:rsidR="00C91BB5" w:rsidRPr="00D73B87" w14:paraId="23C03DA5"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A535D5B" w14:textId="77777777" w:rsidR="007A337A" w:rsidRDefault="007A337A" w:rsidP="007A337A">
            <w:pPr>
              <w:pStyle w:val="BodyText"/>
              <w:rPr>
                <w:sz w:val="22"/>
              </w:rPr>
            </w:pPr>
          </w:p>
          <w:p w14:paraId="6B31637E" w14:textId="121A2DC6" w:rsidR="007A337A" w:rsidRPr="007A337A" w:rsidRDefault="007A337A" w:rsidP="007A337A">
            <w:pPr>
              <w:pStyle w:val="Heading1"/>
              <w:tabs>
                <w:tab w:val="left" w:pos="929"/>
              </w:tabs>
              <w:spacing w:line="244" w:lineRule="auto"/>
              <w:ind w:left="990" w:right="239"/>
              <w:rPr>
                <w:rFonts w:ascii="Times New Roman" w:hAnsi="Times New Roman" w:cs="Times New Roman"/>
              </w:rPr>
            </w:pPr>
            <w:r>
              <w:rPr>
                <w:rFonts w:ascii="Times New Roman" w:hAnsi="Times New Roman" w:cs="Times New Roman"/>
              </w:rPr>
              <w:t>1.2.5.</w:t>
            </w:r>
            <w:r w:rsidRPr="007A337A">
              <w:rPr>
                <w:rFonts w:ascii="Times New Roman" w:hAnsi="Times New Roman" w:cs="Times New Roman"/>
              </w:rPr>
              <w:t>Centrālā Baltijas jūras reģiona programmā uzmanība pievērsta publiskajiem pakalpojumiem un risinājumiem (</w:t>
            </w:r>
            <w:proofErr w:type="spellStart"/>
            <w:r w:rsidRPr="007A337A">
              <w:rPr>
                <w:rFonts w:ascii="Times New Roman" w:hAnsi="Times New Roman" w:cs="Times New Roman"/>
              </w:rPr>
              <w:t>Interreg</w:t>
            </w:r>
            <w:proofErr w:type="spellEnd"/>
            <w:r w:rsidRPr="007A337A">
              <w:rPr>
                <w:rFonts w:ascii="Times New Roman" w:hAnsi="Times New Roman" w:cs="Times New Roman"/>
              </w:rPr>
              <w:t xml:space="preserve"> Konkrētais mērķis 1)</w:t>
            </w:r>
          </w:p>
          <w:p w14:paraId="43FB88E9" w14:textId="2B9B27D2"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2D47F0" w:rsidRPr="00D73B87" w14:paraId="1C438420"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C0BFAE0" w14:textId="1AB62897" w:rsidR="002D47F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24.</w:t>
            </w:r>
          </w:p>
        </w:tc>
        <w:tc>
          <w:tcPr>
            <w:tcW w:w="700" w:type="pct"/>
            <w:tcBorders>
              <w:top w:val="outset" w:sz="6" w:space="0" w:color="414142"/>
              <w:left w:val="outset" w:sz="6" w:space="0" w:color="414142"/>
              <w:bottom w:val="outset" w:sz="6" w:space="0" w:color="414142"/>
              <w:right w:val="outset" w:sz="6" w:space="0" w:color="414142"/>
            </w:tcBorders>
            <w:hideMark/>
          </w:tcPr>
          <w:p w14:paraId="22A445FC"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r w:rsidRPr="008A0E57">
              <w:rPr>
                <w:rFonts w:ascii="Times New Roman" w:eastAsia="Times New Roman" w:hAnsi="Times New Roman" w:cs="Times New Roman"/>
                <w:sz w:val="20"/>
                <w:szCs w:val="20"/>
                <w:lang w:eastAsia="lv-LV"/>
              </w:rPr>
              <w:t> Finanšu ministrija</w:t>
            </w:r>
          </w:p>
        </w:tc>
        <w:tc>
          <w:tcPr>
            <w:tcW w:w="519" w:type="pct"/>
            <w:tcBorders>
              <w:top w:val="outset" w:sz="6" w:space="0" w:color="414142"/>
              <w:left w:val="outset" w:sz="6" w:space="0" w:color="414142"/>
              <w:bottom w:val="outset" w:sz="6" w:space="0" w:color="414142"/>
              <w:right w:val="outset" w:sz="6" w:space="0" w:color="414142"/>
            </w:tcBorders>
          </w:tcPr>
          <w:p w14:paraId="131D8986" w14:textId="2883B4F8" w:rsidR="002D47F0" w:rsidRPr="008A0E57" w:rsidRDefault="002D47F0" w:rsidP="00C00E55">
            <w:pPr>
              <w:spacing w:after="0" w:line="240" w:lineRule="auto"/>
              <w:rPr>
                <w:rFonts w:ascii="Times New Roman" w:eastAsia="Times New Roman" w:hAnsi="Times New Roman" w:cs="Times New Roman"/>
                <w:sz w:val="20"/>
                <w:szCs w:val="20"/>
                <w:lang w:eastAsia="lv-LV"/>
              </w:rPr>
            </w:pPr>
            <w:r w:rsidRPr="008A0E57">
              <w:rPr>
                <w:rFonts w:ascii="Times New Roman" w:eastAsia="Times New Roman" w:hAnsi="Times New Roman" w:cs="Times New Roman"/>
                <w:sz w:val="20"/>
                <w:szCs w:val="20"/>
                <w:lang w:eastAsia="lv-LV"/>
              </w:rPr>
              <w:t xml:space="preserve">1.2.5. </w:t>
            </w:r>
          </w:p>
        </w:tc>
        <w:tc>
          <w:tcPr>
            <w:tcW w:w="2369" w:type="pct"/>
            <w:tcBorders>
              <w:top w:val="outset" w:sz="6" w:space="0" w:color="414142"/>
              <w:left w:val="outset" w:sz="6" w:space="0" w:color="414142"/>
              <w:bottom w:val="outset" w:sz="6" w:space="0" w:color="414142"/>
              <w:right w:val="outset" w:sz="6" w:space="0" w:color="414142"/>
            </w:tcBorders>
            <w:hideMark/>
          </w:tcPr>
          <w:p w14:paraId="6F319D43"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r w:rsidRPr="008A0E57">
              <w:rPr>
                <w:rFonts w:ascii="Times New Roman" w:eastAsia="Times New Roman" w:hAnsi="Times New Roman" w:cs="Times New Roman"/>
                <w:sz w:val="20"/>
                <w:szCs w:val="20"/>
                <w:lang w:eastAsia="lv-LV"/>
              </w:rPr>
              <w:t>Lūdzam papildināt CBJR programmas projekta 1.2.5.apakšnodaļā “Centrālā Baltijas jūras reģiona programmā uzmanība pievērsta publiskajiem pakalpojumiem un risinājumiem (</w:t>
            </w:r>
            <w:proofErr w:type="spellStart"/>
            <w:r w:rsidRPr="008A0E57">
              <w:rPr>
                <w:rFonts w:ascii="Times New Roman" w:eastAsia="Times New Roman" w:hAnsi="Times New Roman" w:cs="Times New Roman"/>
                <w:sz w:val="20"/>
                <w:szCs w:val="20"/>
                <w:lang w:eastAsia="lv-LV"/>
              </w:rPr>
              <w:t>Interreg</w:t>
            </w:r>
            <w:proofErr w:type="spellEnd"/>
            <w:r w:rsidRPr="008A0E57">
              <w:rPr>
                <w:rFonts w:ascii="Times New Roman" w:eastAsia="Times New Roman" w:hAnsi="Times New Roman" w:cs="Times New Roman"/>
                <w:sz w:val="20"/>
                <w:szCs w:val="20"/>
                <w:lang w:eastAsia="lv-LV"/>
              </w:rPr>
              <w:t xml:space="preserve"> Konkrētais mērķis 1)” atspoguļoto informāciju ar situāciju par prasmēm digitālajā jomā un IKT Latvijā un Igaunijā. Šobrīd CBJR programmas projektā ietverta informācija, ka Centrālā Baltijas jūras reģiona valstu sabiedrības ir augstā līmenī </w:t>
            </w:r>
            <w:proofErr w:type="spellStart"/>
            <w:r w:rsidRPr="008A0E57">
              <w:rPr>
                <w:rFonts w:ascii="Times New Roman" w:eastAsia="Times New Roman" w:hAnsi="Times New Roman" w:cs="Times New Roman"/>
                <w:sz w:val="20"/>
                <w:szCs w:val="20"/>
                <w:lang w:eastAsia="lv-LV"/>
              </w:rPr>
              <w:t>digitalizētas</w:t>
            </w:r>
            <w:proofErr w:type="spellEnd"/>
            <w:r w:rsidRPr="008A0E57">
              <w:rPr>
                <w:rFonts w:ascii="Times New Roman" w:eastAsia="Times New Roman" w:hAnsi="Times New Roman" w:cs="Times New Roman"/>
                <w:sz w:val="20"/>
                <w:szCs w:val="20"/>
                <w:lang w:eastAsia="lv-LV"/>
              </w:rPr>
              <w:t xml:space="preserve">, sevišķi Zviedrija un Somija. Vēršam uzmanību, ka Latvijā ir salīdzinoši laba digitālā infrastruktūra, tomēr problēmas ir ar sabiedrības digitālajām prasmēm, un tās nepieciešams uzlabot. Par to ziņojusi Ekonomiskās sadarbības un attīstības organizācija (OECD), balstoties uz savu veikto </w:t>
            </w:r>
            <w:proofErr w:type="spellStart"/>
            <w:r w:rsidRPr="008A0E57">
              <w:rPr>
                <w:rFonts w:ascii="Times New Roman" w:eastAsia="Times New Roman" w:hAnsi="Times New Roman" w:cs="Times New Roman"/>
                <w:sz w:val="20"/>
                <w:szCs w:val="20"/>
                <w:lang w:eastAsia="lv-LV"/>
              </w:rPr>
              <w:t>izvērtējumu</w:t>
            </w:r>
            <w:proofErr w:type="spellEnd"/>
            <w:r w:rsidRPr="008A0E57">
              <w:rPr>
                <w:rFonts w:ascii="Times New Roman" w:eastAsia="Times New Roman" w:hAnsi="Times New Roman" w:cs="Times New Roman"/>
                <w:sz w:val="20"/>
                <w:szCs w:val="20"/>
                <w:lang w:eastAsia="lv-LV"/>
              </w:rPr>
              <w:t>. [1] </w:t>
            </w:r>
            <w:hyperlink r:id="rId10" w:history="1">
              <w:r w:rsidRPr="008A0E57">
                <w:rPr>
                  <w:rStyle w:val="Hyperlink"/>
                  <w:rFonts w:ascii="Times New Roman" w:eastAsia="Times New Roman" w:hAnsi="Times New Roman" w:cs="Times New Roman"/>
                  <w:color w:val="auto"/>
                  <w:sz w:val="20"/>
                  <w:szCs w:val="20"/>
                  <w:lang w:eastAsia="lv-LV"/>
                </w:rPr>
                <w:t>https://www.oecd.org/latvia/going-digital-in-latvia-8eec1828-en.htm</w:t>
              </w:r>
            </w:hyperlink>
          </w:p>
          <w:p w14:paraId="5D6B0D66"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p>
          <w:p w14:paraId="6EEDD7D8"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hideMark/>
          </w:tcPr>
          <w:p w14:paraId="357E78D9" w14:textId="378F1434" w:rsidR="002D47F0" w:rsidRPr="008A0E57" w:rsidRDefault="008A0E57" w:rsidP="00C04F43">
            <w:pPr>
              <w:spacing w:after="0" w:line="240" w:lineRule="auto"/>
              <w:rPr>
                <w:rFonts w:ascii="Times New Roman" w:eastAsia="Times New Roman" w:hAnsi="Times New Roman" w:cs="Times New Roman"/>
                <w:b/>
                <w:sz w:val="20"/>
                <w:szCs w:val="20"/>
                <w:lang w:eastAsia="lv-LV"/>
              </w:rPr>
            </w:pPr>
            <w:r w:rsidRPr="008A0E57">
              <w:rPr>
                <w:rFonts w:ascii="Times New Roman" w:eastAsia="Times New Roman" w:hAnsi="Times New Roman" w:cs="Times New Roman"/>
                <w:b/>
                <w:sz w:val="20"/>
                <w:szCs w:val="20"/>
                <w:lang w:eastAsia="lv-LV"/>
              </w:rPr>
              <w:t>Ņemts vērā.</w:t>
            </w:r>
            <w:r w:rsidR="00F072B9">
              <w:rPr>
                <w:rFonts w:ascii="Times New Roman" w:eastAsia="Times New Roman" w:hAnsi="Times New Roman" w:cs="Times New Roman"/>
                <w:b/>
                <w:sz w:val="20"/>
                <w:szCs w:val="20"/>
                <w:lang w:eastAsia="lv-LV"/>
              </w:rPr>
              <w:t xml:space="preserve"> </w:t>
            </w:r>
            <w:r w:rsidR="00C04F43" w:rsidRPr="00C04F43">
              <w:rPr>
                <w:rFonts w:ascii="Times New Roman" w:eastAsia="Times New Roman" w:hAnsi="Times New Roman" w:cs="Times New Roman"/>
                <w:sz w:val="20"/>
                <w:szCs w:val="20"/>
                <w:lang w:eastAsia="lv-LV"/>
              </w:rPr>
              <w:t>Programmas dokumentā atstāts vispārīgs apraksts, statistisko informāciju iekļaujot Reģionālajā analīzē.</w:t>
            </w:r>
          </w:p>
        </w:tc>
        <w:tc>
          <w:tcPr>
            <w:tcW w:w="754" w:type="pct"/>
            <w:tcBorders>
              <w:top w:val="outset" w:sz="6" w:space="0" w:color="414142"/>
              <w:left w:val="outset" w:sz="6" w:space="0" w:color="414142"/>
              <w:bottom w:val="outset" w:sz="6" w:space="0" w:color="414142"/>
              <w:right w:val="outset" w:sz="6" w:space="0" w:color="414142"/>
            </w:tcBorders>
            <w:hideMark/>
          </w:tcPr>
          <w:p w14:paraId="4FEEEE94" w14:textId="77777777" w:rsidR="002D47F0" w:rsidRPr="00D73B87" w:rsidRDefault="002D47F0" w:rsidP="00BA6961">
            <w:pPr>
              <w:spacing w:after="0" w:line="240" w:lineRule="auto"/>
              <w:rPr>
                <w:rFonts w:ascii="Times New Roman" w:eastAsia="Times New Roman" w:hAnsi="Times New Roman" w:cs="Times New Roman"/>
                <w:color w:val="414142"/>
                <w:sz w:val="20"/>
                <w:szCs w:val="20"/>
                <w:lang w:eastAsia="lv-LV"/>
              </w:rPr>
            </w:pPr>
            <w:r w:rsidRPr="00D73B87">
              <w:rPr>
                <w:rFonts w:ascii="Times New Roman" w:eastAsia="Times New Roman" w:hAnsi="Times New Roman" w:cs="Times New Roman"/>
                <w:color w:val="414142"/>
                <w:sz w:val="20"/>
                <w:szCs w:val="20"/>
                <w:lang w:eastAsia="lv-LV"/>
              </w:rPr>
              <w:t> </w:t>
            </w:r>
          </w:p>
        </w:tc>
      </w:tr>
      <w:tr w:rsidR="006404DD" w:rsidRPr="00D73B87" w14:paraId="6DD4E2A5"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0AC8BE0" w14:textId="593FF5E1"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25.</w:t>
            </w:r>
          </w:p>
        </w:tc>
        <w:tc>
          <w:tcPr>
            <w:tcW w:w="700" w:type="pct"/>
            <w:tcBorders>
              <w:top w:val="outset" w:sz="6" w:space="0" w:color="414142"/>
              <w:left w:val="outset" w:sz="6" w:space="0" w:color="414142"/>
              <w:bottom w:val="outset" w:sz="6" w:space="0" w:color="414142"/>
              <w:right w:val="outset" w:sz="6" w:space="0" w:color="414142"/>
            </w:tcBorders>
          </w:tcPr>
          <w:p w14:paraId="267EFB73"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sidRPr="001D4642">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08133FB" w14:textId="5FC244F1" w:rsidR="006404DD" w:rsidRDefault="006404DD" w:rsidP="00C00E55">
            <w:pPr>
              <w:spacing w:after="0" w:line="240" w:lineRule="auto"/>
              <w:rPr>
                <w:rFonts w:ascii="Times New Roman" w:eastAsia="Times New Roman" w:hAnsi="Times New Roman" w:cs="Times New Roman"/>
                <w:color w:val="414142"/>
                <w:sz w:val="20"/>
                <w:szCs w:val="20"/>
                <w:lang w:eastAsia="lv-LV"/>
              </w:rPr>
            </w:pPr>
            <w:r w:rsidRPr="00001BD5">
              <w:rPr>
                <w:rFonts w:ascii="Times New Roman" w:eastAsia="Times New Roman" w:hAnsi="Times New Roman" w:cs="Times New Roman"/>
                <w:color w:val="414142"/>
                <w:sz w:val="20"/>
                <w:szCs w:val="20"/>
                <w:lang w:eastAsia="lv-LV"/>
              </w:rPr>
              <w:t>1.2.</w:t>
            </w:r>
            <w:r>
              <w:rPr>
                <w:rFonts w:ascii="Times New Roman" w:eastAsia="Times New Roman" w:hAnsi="Times New Roman" w:cs="Times New Roman"/>
                <w:color w:val="414142"/>
                <w:sz w:val="20"/>
                <w:szCs w:val="20"/>
                <w:lang w:eastAsia="lv-LV"/>
              </w:rPr>
              <w:t>5</w:t>
            </w:r>
            <w:r w:rsidRPr="00001BD5">
              <w:rPr>
                <w:rFonts w:ascii="Times New Roman" w:eastAsia="Times New Roman" w:hAnsi="Times New Roman" w:cs="Times New Roman"/>
                <w:color w:val="414142"/>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tcPr>
          <w:p w14:paraId="27B40FC8" w14:textId="77777777" w:rsidR="006404DD" w:rsidRPr="00D07D6B" w:rsidRDefault="006404DD" w:rsidP="00BA6961">
            <w:pPr>
              <w:spacing w:after="0" w:line="240" w:lineRule="auto"/>
              <w:rPr>
                <w:rFonts w:ascii="Times New Roman" w:eastAsia="Times New Roman" w:hAnsi="Times New Roman" w:cs="Times New Roman"/>
                <w:color w:val="414142"/>
                <w:sz w:val="20"/>
                <w:szCs w:val="20"/>
                <w:lang w:eastAsia="lv-LV"/>
              </w:rPr>
            </w:pPr>
            <w:r w:rsidRPr="00D07D6B">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D07D6B">
              <w:rPr>
                <w:rFonts w:ascii="Times New Roman" w:eastAsia="Times New Roman" w:hAnsi="Times New Roman" w:cs="Times New Roman"/>
                <w:color w:val="414142"/>
                <w:sz w:val="20"/>
                <w:szCs w:val="20"/>
                <w:lang w:eastAsia="lv-LV"/>
              </w:rPr>
              <w:t xml:space="preserve">IKT ir kļuvušas sabiedrībai plaši pieejamas gan fiziskas pieejamības, gan izmaksu ziņā. Spriežot pēc to mājsaimniecību īpatsvara, kam ir piekļuve internetam, un to personu īpatsvara, kuras izmanto mobilo internetu pārnēsājamajās ierīces, Centrālā Baltijas jūras reģiona valstu sabiedrības ir augstā līmenī </w:t>
            </w:r>
            <w:proofErr w:type="spellStart"/>
            <w:r w:rsidRPr="00D07D6B">
              <w:rPr>
                <w:rFonts w:ascii="Times New Roman" w:eastAsia="Times New Roman" w:hAnsi="Times New Roman" w:cs="Times New Roman"/>
                <w:color w:val="414142"/>
                <w:sz w:val="20"/>
                <w:szCs w:val="20"/>
                <w:lang w:eastAsia="lv-LV"/>
              </w:rPr>
              <w:t>digitalizētas</w:t>
            </w:r>
            <w:proofErr w:type="spellEnd"/>
            <w:r w:rsidRPr="00D07D6B">
              <w:rPr>
                <w:rFonts w:ascii="Times New Roman" w:eastAsia="Times New Roman" w:hAnsi="Times New Roman" w:cs="Times New Roman"/>
                <w:color w:val="414142"/>
                <w:sz w:val="20"/>
                <w:szCs w:val="20"/>
                <w:lang w:eastAsia="lv-LV"/>
              </w:rPr>
              <w:t>, sevišķi Zviedrija un Somija. Zviedrija un Somija arī ieņem divas pirmās pozīcijas Digitālās ekonomikas un sabiedrības indeksā.</w:t>
            </w:r>
          </w:p>
          <w:p w14:paraId="41CE3F34" w14:textId="77777777" w:rsidR="006404DD" w:rsidRPr="00D07D6B" w:rsidRDefault="006404DD" w:rsidP="00BA6961">
            <w:pPr>
              <w:spacing w:after="0" w:line="240" w:lineRule="auto"/>
              <w:rPr>
                <w:rFonts w:ascii="Times New Roman" w:eastAsia="Times New Roman" w:hAnsi="Times New Roman" w:cs="Times New Roman"/>
                <w:color w:val="7030A0"/>
                <w:sz w:val="20"/>
                <w:szCs w:val="20"/>
                <w:lang w:eastAsia="lv-LV"/>
              </w:rPr>
            </w:pPr>
            <w:r w:rsidRPr="00D07D6B">
              <w:rPr>
                <w:rFonts w:ascii="Times New Roman" w:eastAsia="Times New Roman" w:hAnsi="Times New Roman" w:cs="Times New Roman"/>
                <w:color w:val="7030A0"/>
                <w:sz w:val="20"/>
                <w:szCs w:val="20"/>
                <w:lang w:eastAsia="lv-LV"/>
              </w:rPr>
              <w:t>Vienlaikus ir vairākas personu grupas, kurām digitālie risinājumi var radīt nozīmīgas grūtības, piemēram, Latvijas iedzīvotāju digitālās prasmes ir zemākas kā vidēji Eiropā</w:t>
            </w:r>
            <w:r>
              <w:rPr>
                <w:rFonts w:ascii="Times New Roman" w:eastAsia="Times New Roman" w:hAnsi="Times New Roman" w:cs="Times New Roman"/>
                <w:color w:val="7030A0"/>
                <w:sz w:val="20"/>
                <w:szCs w:val="20"/>
                <w:lang w:eastAsia="lv-LV"/>
              </w:rPr>
              <w:t xml:space="preserve"> (1)</w:t>
            </w:r>
            <w:r w:rsidRPr="00D07D6B">
              <w:rPr>
                <w:rFonts w:ascii="Times New Roman" w:eastAsia="Times New Roman" w:hAnsi="Times New Roman" w:cs="Times New Roman"/>
                <w:color w:val="7030A0"/>
                <w:sz w:val="20"/>
                <w:szCs w:val="20"/>
                <w:lang w:eastAsia="lv-LV"/>
              </w:rPr>
              <w:t xml:space="preserve"> . Pie šādām personu grupām jāmin personas ar zemu izglītības līmeni vai attīstības traucējumiem, kurām izpratne un prasmes digitālo risinājumu lietošanā var būt ļoti ierobežotas, vecāka gadagājuma cilvēki, kuri neizmanto internetu un/vai viņu rīcībā nav viedtālruņi, trūcīgas personas, kuras nespēj atļauties izdevumus, lai lietotu ierīces, kas ļauj lietot digitālos pakalpojumus. </w:t>
            </w:r>
          </w:p>
          <w:p w14:paraId="205B75AD"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D07D6B">
              <w:rPr>
                <w:rFonts w:ascii="Times New Roman" w:eastAsia="Times New Roman" w:hAnsi="Times New Roman" w:cs="Times New Roman"/>
                <w:color w:val="414142"/>
                <w:sz w:val="20"/>
                <w:szCs w:val="20"/>
                <w:lang w:eastAsia="lv-LV"/>
              </w:rPr>
              <w:t xml:space="preserve">Nozaru </w:t>
            </w:r>
            <w:proofErr w:type="spellStart"/>
            <w:r w:rsidRPr="00D07D6B">
              <w:rPr>
                <w:rFonts w:ascii="Times New Roman" w:eastAsia="Times New Roman" w:hAnsi="Times New Roman" w:cs="Times New Roman"/>
                <w:color w:val="414142"/>
                <w:sz w:val="20"/>
                <w:szCs w:val="20"/>
                <w:lang w:eastAsia="lv-LV"/>
              </w:rPr>
              <w:t>digitalizācija</w:t>
            </w:r>
            <w:proofErr w:type="spellEnd"/>
            <w:r w:rsidRPr="00D07D6B">
              <w:rPr>
                <w:rFonts w:ascii="Times New Roman" w:eastAsia="Times New Roman" w:hAnsi="Times New Roman" w:cs="Times New Roman"/>
                <w:color w:val="414142"/>
                <w:sz w:val="20"/>
                <w:szCs w:val="20"/>
                <w:lang w:eastAsia="lv-LV"/>
              </w:rPr>
              <w:t xml:space="preserve"> atpaliek un ir sevišķi izaicinājumu pilna MVU vidē.</w:t>
            </w:r>
          </w:p>
          <w:p w14:paraId="6FBE21C5" w14:textId="77777777" w:rsidR="006404DD" w:rsidRPr="00D07D6B" w:rsidRDefault="006404DD" w:rsidP="00BA6961">
            <w:pPr>
              <w:spacing w:after="0" w:line="240" w:lineRule="auto"/>
              <w:rPr>
                <w:rFonts w:ascii="Times New Roman" w:eastAsia="Times New Roman" w:hAnsi="Times New Roman" w:cs="Times New Roman"/>
                <w:color w:val="7030A0"/>
                <w:sz w:val="20"/>
                <w:szCs w:val="20"/>
                <w:lang w:eastAsia="lv-LV"/>
              </w:rPr>
            </w:pPr>
            <w:r w:rsidRPr="00D07D6B">
              <w:rPr>
                <w:rFonts w:ascii="Times New Roman" w:eastAsia="Times New Roman" w:hAnsi="Times New Roman" w:cs="Times New Roman"/>
                <w:color w:val="7030A0"/>
                <w:sz w:val="20"/>
                <w:szCs w:val="20"/>
                <w:vertAlign w:val="superscript"/>
                <w:lang w:eastAsia="lv-LV"/>
              </w:rPr>
              <w:footnoteRef/>
            </w:r>
            <w:r w:rsidRPr="00D07D6B">
              <w:rPr>
                <w:rFonts w:ascii="Times New Roman" w:eastAsia="Times New Roman" w:hAnsi="Times New Roman" w:cs="Times New Roman"/>
                <w:color w:val="7030A0"/>
                <w:sz w:val="20"/>
                <w:szCs w:val="20"/>
                <w:lang w:eastAsia="lv-LV"/>
              </w:rPr>
              <w:t xml:space="preserve"> “Interneta lietotāju īpatsvars iedzīvotāju vidū gandrīz atbilst ES vidējam rādītājam, tomēr 52 % Latvijas iedzīvotāju joprojām trūkst digitālo </w:t>
            </w:r>
            <w:proofErr w:type="spellStart"/>
            <w:r w:rsidRPr="00D07D6B">
              <w:rPr>
                <w:rFonts w:ascii="Times New Roman" w:eastAsia="Times New Roman" w:hAnsi="Times New Roman" w:cs="Times New Roman"/>
                <w:color w:val="7030A0"/>
                <w:sz w:val="20"/>
                <w:szCs w:val="20"/>
                <w:lang w:eastAsia="lv-LV"/>
              </w:rPr>
              <w:t>pamatprasmju</w:t>
            </w:r>
            <w:proofErr w:type="spellEnd"/>
            <w:r w:rsidRPr="00D07D6B">
              <w:rPr>
                <w:rFonts w:ascii="Times New Roman" w:eastAsia="Times New Roman" w:hAnsi="Times New Roman" w:cs="Times New Roman"/>
                <w:color w:val="7030A0"/>
                <w:sz w:val="20"/>
                <w:szCs w:val="20"/>
                <w:lang w:eastAsia="lv-LV"/>
              </w:rPr>
              <w:t xml:space="preserve">, kas tiem liedz efektīvi lietot internetu, turklāt 19 % digitālo prasmju vispār nav (par 2 punktiem vairāk nekā ES vidējais rādītājs)”, Digitālās ekonomikas un sabiedrības indekss (DESI)1 2018, ziņojums par Latviju. 5 lpp. </w:t>
            </w:r>
            <w:r w:rsidRPr="00D07D6B">
              <w:rPr>
                <w:rFonts w:ascii="Times New Roman" w:eastAsia="Times New Roman" w:hAnsi="Times New Roman" w:cs="Times New Roman"/>
                <w:color w:val="7030A0"/>
                <w:sz w:val="20"/>
                <w:szCs w:val="20"/>
                <w:lang w:eastAsia="lv-LV"/>
              </w:rPr>
              <w:lastRenderedPageBreak/>
              <w:t xml:space="preserve">Pieejams: </w:t>
            </w:r>
            <w:hyperlink r:id="rId11" w:history="1">
              <w:r w:rsidRPr="00D07D6B">
                <w:rPr>
                  <w:rStyle w:val="Hyperlink"/>
                  <w:rFonts w:ascii="Times New Roman" w:eastAsia="Times New Roman" w:hAnsi="Times New Roman" w:cs="Times New Roman"/>
                  <w:color w:val="7030A0"/>
                  <w:sz w:val="20"/>
                  <w:szCs w:val="20"/>
                  <w:lang w:eastAsia="lv-LV"/>
                </w:rPr>
                <w:t>https://ec.europa.eu/information_society/newsroom/image/document/2018-20/lv-desi_2018-country-profile-lang_4AA73DB4-0419-7542-DFB05BCC7A78BF7D_52350.pdf</w:t>
              </w:r>
            </w:hyperlink>
          </w:p>
          <w:p w14:paraId="6C227E0C"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p>
          <w:p w14:paraId="024A7964"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D07D6B">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pievienots iekrāsotais teksts</w:t>
            </w:r>
          </w:p>
          <w:p w14:paraId="7E1F9B82"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A69E999" w14:textId="77777777" w:rsidR="00C04F43" w:rsidRPr="00C04F43" w:rsidRDefault="00F072B9" w:rsidP="00BA6961">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b/>
                <w:sz w:val="20"/>
                <w:szCs w:val="20"/>
                <w:lang w:eastAsia="lv-LV"/>
              </w:rPr>
              <w:lastRenderedPageBreak/>
              <w:t>Ņemts vērā.</w:t>
            </w:r>
            <w:r w:rsidRPr="00C04F43">
              <w:rPr>
                <w:rFonts w:ascii="Times New Roman" w:eastAsia="Times New Roman" w:hAnsi="Times New Roman" w:cs="Times New Roman"/>
                <w:sz w:val="20"/>
                <w:szCs w:val="20"/>
                <w:lang w:eastAsia="lv-LV"/>
              </w:rPr>
              <w:t xml:space="preserve"> </w:t>
            </w:r>
          </w:p>
          <w:p w14:paraId="07F66966" w14:textId="77777777" w:rsidR="00C04F43" w:rsidRDefault="00C04F43" w:rsidP="00BA6961">
            <w:pPr>
              <w:spacing w:after="0" w:line="240" w:lineRule="auto"/>
              <w:rPr>
                <w:rFonts w:ascii="Times New Roman" w:eastAsia="Times New Roman" w:hAnsi="Times New Roman" w:cs="Times New Roman"/>
                <w:color w:val="414142"/>
                <w:sz w:val="20"/>
                <w:szCs w:val="20"/>
                <w:lang w:eastAsia="lv-LV"/>
              </w:rPr>
            </w:pPr>
          </w:p>
          <w:p w14:paraId="1D9DD48D" w14:textId="6C3352A5" w:rsidR="006404DD" w:rsidRPr="00D73B87" w:rsidRDefault="00C04F43" w:rsidP="00BA6961">
            <w:pPr>
              <w:spacing w:after="0" w:line="240" w:lineRule="auto"/>
              <w:rPr>
                <w:rFonts w:ascii="Times New Roman" w:eastAsia="Times New Roman" w:hAnsi="Times New Roman" w:cs="Times New Roman"/>
                <w:color w:val="414142"/>
                <w:sz w:val="20"/>
                <w:szCs w:val="20"/>
                <w:lang w:eastAsia="lv-LV"/>
              </w:rPr>
            </w:pPr>
            <w:r w:rsidRPr="00C04F43">
              <w:rPr>
                <w:rFonts w:ascii="Times New Roman" w:eastAsia="Times New Roman" w:hAnsi="Times New Roman" w:cs="Times New Roman"/>
                <w:sz w:val="20"/>
                <w:szCs w:val="20"/>
                <w:lang w:eastAsia="lv-LV"/>
              </w:rPr>
              <w:t>Programmas dokumentā atstāts vispārīgs apraksts, statistisko informāciju iekļaujot Reģionālajā analīzē.</w:t>
            </w:r>
          </w:p>
        </w:tc>
        <w:tc>
          <w:tcPr>
            <w:tcW w:w="754" w:type="pct"/>
            <w:tcBorders>
              <w:top w:val="outset" w:sz="6" w:space="0" w:color="414142"/>
              <w:left w:val="outset" w:sz="6" w:space="0" w:color="414142"/>
              <w:bottom w:val="outset" w:sz="6" w:space="0" w:color="414142"/>
              <w:right w:val="outset" w:sz="6" w:space="0" w:color="414142"/>
            </w:tcBorders>
          </w:tcPr>
          <w:p w14:paraId="4AEFD540"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11192DC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B07D173" w14:textId="05C8AE74" w:rsidR="006404DD"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26.</w:t>
            </w:r>
          </w:p>
        </w:tc>
        <w:tc>
          <w:tcPr>
            <w:tcW w:w="700" w:type="pct"/>
            <w:tcBorders>
              <w:top w:val="outset" w:sz="6" w:space="0" w:color="414142"/>
              <w:left w:val="outset" w:sz="6" w:space="0" w:color="414142"/>
              <w:bottom w:val="outset" w:sz="6" w:space="0" w:color="414142"/>
              <w:right w:val="outset" w:sz="6" w:space="0" w:color="414142"/>
            </w:tcBorders>
          </w:tcPr>
          <w:p w14:paraId="15FAE5D9"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sidRPr="001D4642">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55506ABB" w14:textId="6FF2AC93" w:rsidR="006404DD" w:rsidRDefault="00C00E55"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1.2.5. </w:t>
            </w:r>
          </w:p>
        </w:tc>
        <w:tc>
          <w:tcPr>
            <w:tcW w:w="2369" w:type="pct"/>
            <w:tcBorders>
              <w:top w:val="outset" w:sz="6" w:space="0" w:color="414142"/>
              <w:left w:val="outset" w:sz="6" w:space="0" w:color="414142"/>
              <w:bottom w:val="outset" w:sz="6" w:space="0" w:color="414142"/>
              <w:right w:val="outset" w:sz="6" w:space="0" w:color="414142"/>
            </w:tcBorders>
          </w:tcPr>
          <w:p w14:paraId="091B6AEB" w14:textId="0DFE57A2"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 xml:space="preserve">•Digitālās </w:t>
            </w:r>
            <w:r w:rsidRPr="00E152E1">
              <w:rPr>
                <w:rFonts w:ascii="Times New Roman" w:eastAsia="Times New Roman" w:hAnsi="Times New Roman" w:cs="Times New Roman"/>
                <w:color w:val="7030A0"/>
                <w:sz w:val="20"/>
                <w:szCs w:val="20"/>
                <w:lang w:eastAsia="lv-LV"/>
              </w:rPr>
              <w:t>atšķirības</w:t>
            </w:r>
            <w:r w:rsidRPr="00E152E1">
              <w:rPr>
                <w:rFonts w:ascii="Times New Roman" w:eastAsia="Times New Roman" w:hAnsi="Times New Roman" w:cs="Times New Roman"/>
                <w:color w:val="414142"/>
                <w:sz w:val="20"/>
                <w:szCs w:val="20"/>
                <w:lang w:eastAsia="lv-LV"/>
              </w:rPr>
              <w:t xml:space="preserve">  (piekļuve digitālajiem resursiem un to izmantošanas kapacitāte) sabiedrībās</w:t>
            </w:r>
          </w:p>
          <w:p w14:paraId="7BE16AD2"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Vai pieņemtais jēdziens nav ‘digitālā plaisa’? Aicinām izvērtēt iespēju precizēt.</w:t>
            </w:r>
          </w:p>
          <w:p w14:paraId="11CBF600"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8A90D47" w14:textId="1F4CF7E9" w:rsidR="006404DD" w:rsidRPr="005E16EC" w:rsidRDefault="005E16EC" w:rsidP="00BA6961">
            <w:pPr>
              <w:spacing w:after="0" w:line="240" w:lineRule="auto"/>
              <w:rPr>
                <w:rFonts w:ascii="Times New Roman" w:eastAsia="Times New Roman" w:hAnsi="Times New Roman" w:cs="Times New Roman"/>
                <w:b/>
                <w:color w:val="414142"/>
                <w:sz w:val="20"/>
                <w:szCs w:val="20"/>
                <w:lang w:eastAsia="lv-LV"/>
              </w:rPr>
            </w:pPr>
            <w:r w:rsidRPr="00C04F43">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86F4E3B"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7D7F2B6E"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368D968F" w14:textId="77777777" w:rsidR="007A337A" w:rsidRDefault="007A337A" w:rsidP="007A337A">
            <w:pPr>
              <w:pStyle w:val="Heading1"/>
              <w:tabs>
                <w:tab w:val="left" w:pos="929"/>
              </w:tabs>
              <w:ind w:left="928"/>
              <w:jc w:val="center"/>
              <w:rPr>
                <w:rFonts w:ascii="Times New Roman" w:eastAsia="Times New Roman" w:hAnsi="Times New Roman" w:cs="Times New Roman"/>
                <w:bCs w:val="0"/>
                <w:color w:val="414142"/>
                <w:lang w:eastAsia="lv-LV"/>
              </w:rPr>
            </w:pPr>
          </w:p>
          <w:p w14:paraId="61E54DFE" w14:textId="34EDF5C5" w:rsidR="007A337A" w:rsidRPr="007A337A" w:rsidRDefault="00C91BB5" w:rsidP="007A337A">
            <w:pPr>
              <w:pStyle w:val="Heading1"/>
              <w:tabs>
                <w:tab w:val="left" w:pos="929"/>
              </w:tabs>
              <w:ind w:left="928"/>
              <w:jc w:val="center"/>
              <w:rPr>
                <w:rFonts w:ascii="Times New Roman" w:hAnsi="Times New Roman" w:cs="Times New Roman"/>
              </w:rPr>
            </w:pPr>
            <w:r w:rsidRPr="007A337A">
              <w:rPr>
                <w:rFonts w:ascii="Times New Roman" w:eastAsia="Times New Roman" w:hAnsi="Times New Roman" w:cs="Times New Roman"/>
                <w:bCs w:val="0"/>
                <w:color w:val="414142"/>
                <w:lang w:eastAsia="lv-LV"/>
              </w:rPr>
              <w:t>1.2.6.</w:t>
            </w:r>
            <w:r w:rsidR="007A337A" w:rsidRPr="007A337A">
              <w:rPr>
                <w:rFonts w:ascii="Times New Roman" w:hAnsi="Times New Roman" w:cs="Times New Roman"/>
              </w:rPr>
              <w:t xml:space="preserve"> Sinerģija ar </w:t>
            </w:r>
            <w:proofErr w:type="spellStart"/>
            <w:r w:rsidR="007A337A" w:rsidRPr="007A337A">
              <w:rPr>
                <w:rFonts w:ascii="Times New Roman" w:hAnsi="Times New Roman" w:cs="Times New Roman"/>
              </w:rPr>
              <w:t>makroreģionālo</w:t>
            </w:r>
            <w:proofErr w:type="spellEnd"/>
            <w:r w:rsidR="007A337A" w:rsidRPr="007A337A">
              <w:rPr>
                <w:rFonts w:ascii="Times New Roman" w:hAnsi="Times New Roman" w:cs="Times New Roman"/>
              </w:rPr>
              <w:t xml:space="preserve"> un jūras baseina stratēģiju</w:t>
            </w:r>
          </w:p>
          <w:p w14:paraId="1926B875" w14:textId="53B803CD"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D97A2B" w:rsidRPr="00D73B87" w14:paraId="6B21F954"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7AA63A3" w14:textId="7ED95953" w:rsidR="00D73B87" w:rsidRPr="00D73B87" w:rsidRDefault="00C00E55" w:rsidP="00D73B8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27.</w:t>
            </w:r>
          </w:p>
        </w:tc>
        <w:tc>
          <w:tcPr>
            <w:tcW w:w="700" w:type="pct"/>
            <w:tcBorders>
              <w:top w:val="outset" w:sz="6" w:space="0" w:color="414142"/>
              <w:left w:val="outset" w:sz="6" w:space="0" w:color="414142"/>
              <w:bottom w:val="outset" w:sz="6" w:space="0" w:color="414142"/>
              <w:right w:val="outset" w:sz="6" w:space="0" w:color="414142"/>
            </w:tcBorders>
            <w:hideMark/>
          </w:tcPr>
          <w:p w14:paraId="0EBD5F66" w14:textId="12EA7114" w:rsidR="00D73B87" w:rsidRPr="00D73B87" w:rsidRDefault="00D73B87" w:rsidP="00D73B87">
            <w:pPr>
              <w:spacing w:after="0" w:line="240" w:lineRule="auto"/>
              <w:rPr>
                <w:rFonts w:ascii="Times New Roman" w:eastAsia="Times New Roman" w:hAnsi="Times New Roman" w:cs="Times New Roman"/>
                <w:color w:val="414142"/>
                <w:sz w:val="20"/>
                <w:szCs w:val="20"/>
                <w:lang w:eastAsia="lv-LV"/>
              </w:rPr>
            </w:pPr>
            <w:r w:rsidRPr="00D73B87">
              <w:rPr>
                <w:rFonts w:ascii="Times New Roman" w:eastAsia="Times New Roman" w:hAnsi="Times New Roman" w:cs="Times New Roman"/>
                <w:color w:val="414142"/>
                <w:sz w:val="20"/>
                <w:szCs w:val="20"/>
                <w:lang w:eastAsia="lv-LV"/>
              </w:rPr>
              <w:t> </w:t>
            </w:r>
            <w:r w:rsidR="00642721" w:rsidRPr="00642721">
              <w:rPr>
                <w:rFonts w:ascii="Times New Roman" w:eastAsia="Times New Roman" w:hAnsi="Times New Roman" w:cs="Times New Roman"/>
                <w:color w:val="414142"/>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7F66DEB7" w14:textId="4BD3707F" w:rsidR="00D73B87" w:rsidRPr="00D73B87" w:rsidRDefault="00D97A2B"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hideMark/>
          </w:tcPr>
          <w:p w14:paraId="46D13911" w14:textId="131D3488" w:rsidR="00D858B0" w:rsidRDefault="00D858B0" w:rsidP="00D858B0">
            <w:pPr>
              <w:spacing w:after="0" w:line="240" w:lineRule="auto"/>
              <w:rPr>
                <w:rFonts w:ascii="Times New Roman" w:eastAsia="Times New Roman" w:hAnsi="Times New Roman" w:cs="Times New Roman"/>
                <w:color w:val="414142"/>
                <w:sz w:val="20"/>
                <w:szCs w:val="20"/>
                <w:lang w:eastAsia="lv-LV"/>
              </w:rPr>
            </w:pPr>
            <w:r w:rsidRPr="00D858B0">
              <w:rPr>
                <w:rFonts w:ascii="Times New Roman" w:eastAsia="Times New Roman" w:hAnsi="Times New Roman" w:cs="Times New Roman"/>
                <w:color w:val="414142"/>
                <w:sz w:val="20"/>
                <w:szCs w:val="20"/>
                <w:lang w:eastAsia="lv-LV"/>
              </w:rPr>
              <w:t xml:space="preserve">Lūdzam papildināt CBJR programmas projekta 1.2.6.apakšnodaļas “Sinerģija ar </w:t>
            </w:r>
            <w:proofErr w:type="spellStart"/>
            <w:r w:rsidRPr="00D858B0">
              <w:rPr>
                <w:rFonts w:ascii="Times New Roman" w:eastAsia="Times New Roman" w:hAnsi="Times New Roman" w:cs="Times New Roman"/>
                <w:color w:val="414142"/>
                <w:sz w:val="20"/>
                <w:szCs w:val="20"/>
                <w:lang w:eastAsia="lv-LV"/>
              </w:rPr>
              <w:t>makroreģionālo</w:t>
            </w:r>
            <w:proofErr w:type="spellEnd"/>
            <w:r w:rsidRPr="00D858B0">
              <w:rPr>
                <w:rFonts w:ascii="Times New Roman" w:eastAsia="Times New Roman" w:hAnsi="Times New Roman" w:cs="Times New Roman"/>
                <w:color w:val="414142"/>
                <w:sz w:val="20"/>
                <w:szCs w:val="20"/>
                <w:lang w:eastAsia="lv-LV"/>
              </w:rPr>
              <w:t xml:space="preserve"> un jūras baseina stratēģiju” (turpmāk – 1.2.6.apakšnodaļa) 1.rindkopu ar informāciju, ka Eiropas Savienības Stratēģijas Baltijas jūras reģionam (turpmāk – ESSBJR) īstenošana balstās uz Rīcības plānu, kurš tiek regulāri atjaunots. Vēršam uzmanību, ka 2021.gada 17.februārī Eiropas Komisija izplatīja Rīcības plāna aktualizētu redakciju.</w:t>
            </w:r>
            <w:hyperlink r:id="rId12" w:anchor="x__ftn2" w:history="1">
              <w:r w:rsidRPr="00D858B0">
                <w:rPr>
                  <w:rStyle w:val="Hyperlink"/>
                  <w:rFonts w:ascii="Times New Roman" w:eastAsia="Times New Roman" w:hAnsi="Times New Roman" w:cs="Times New Roman"/>
                  <w:sz w:val="20"/>
                  <w:szCs w:val="20"/>
                  <w:vertAlign w:val="superscript"/>
                  <w:lang w:eastAsia="lv-LV"/>
                </w:rPr>
                <w:t>[2].</w:t>
              </w:r>
            </w:hyperlink>
            <w:r w:rsidRPr="00D858B0">
              <w:rPr>
                <w:rFonts w:ascii="Times New Roman" w:eastAsia="Times New Roman" w:hAnsi="Times New Roman" w:cs="Times New Roman"/>
                <w:color w:val="414142"/>
                <w:sz w:val="20"/>
                <w:szCs w:val="20"/>
                <w:lang w:eastAsia="lv-LV"/>
              </w:rPr>
              <w:t> Līdz ar to aicinām CBJR programmas projektu papildināt ar zemsvītras atsauci uz šo atjaunoto Rīcības plānu.</w:t>
            </w:r>
          </w:p>
          <w:p w14:paraId="38556980" w14:textId="77777777" w:rsidR="00C22170" w:rsidRPr="00C22170" w:rsidRDefault="00C22170" w:rsidP="00C22170">
            <w:pPr>
              <w:spacing w:after="0" w:line="240" w:lineRule="auto"/>
              <w:rPr>
                <w:rFonts w:ascii="Times New Roman" w:eastAsia="Times New Roman" w:hAnsi="Times New Roman" w:cs="Times New Roman"/>
                <w:color w:val="414142"/>
                <w:sz w:val="20"/>
                <w:szCs w:val="20"/>
                <w:lang w:eastAsia="lv-LV"/>
              </w:rPr>
            </w:pPr>
            <w:r w:rsidRPr="00C22170">
              <w:rPr>
                <w:rFonts w:ascii="Times New Roman" w:eastAsia="Times New Roman" w:hAnsi="Times New Roman" w:cs="Times New Roman"/>
                <w:color w:val="414142"/>
                <w:sz w:val="20"/>
                <w:szCs w:val="20"/>
                <w:lang w:eastAsia="lv-LV"/>
              </w:rPr>
              <w:t>[2] </w:t>
            </w:r>
            <w:hyperlink r:id="rId13" w:history="1">
              <w:r w:rsidRPr="00C22170">
                <w:rPr>
                  <w:rStyle w:val="Hyperlink"/>
                  <w:rFonts w:ascii="Times New Roman" w:eastAsia="Times New Roman" w:hAnsi="Times New Roman" w:cs="Times New Roman"/>
                  <w:sz w:val="20"/>
                  <w:szCs w:val="20"/>
                  <w:lang w:eastAsia="lv-LV"/>
                </w:rPr>
                <w:t>https://www.balticsea-region-strategy.eu/action-plan</w:t>
              </w:r>
            </w:hyperlink>
          </w:p>
          <w:p w14:paraId="70895ECE" w14:textId="77777777" w:rsidR="00C22170" w:rsidRPr="00D858B0" w:rsidRDefault="00C22170" w:rsidP="00D858B0">
            <w:pPr>
              <w:spacing w:after="0" w:line="240" w:lineRule="auto"/>
              <w:rPr>
                <w:rFonts w:ascii="Times New Roman" w:eastAsia="Times New Roman" w:hAnsi="Times New Roman" w:cs="Times New Roman"/>
                <w:color w:val="414142"/>
                <w:sz w:val="20"/>
                <w:szCs w:val="20"/>
                <w:lang w:eastAsia="lv-LV"/>
              </w:rPr>
            </w:pPr>
          </w:p>
          <w:p w14:paraId="12019736" w14:textId="638729A0" w:rsidR="00D73B87" w:rsidRPr="00D73B87" w:rsidRDefault="00D73B87" w:rsidP="00D73B87">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hideMark/>
          </w:tcPr>
          <w:p w14:paraId="13361F6F" w14:textId="77777777" w:rsidR="00C04F43" w:rsidRPr="00C04F43" w:rsidRDefault="00D73B87" w:rsidP="002153A9">
            <w:pPr>
              <w:spacing w:after="0" w:line="240" w:lineRule="auto"/>
              <w:rPr>
                <w:rFonts w:ascii="Times New Roman" w:eastAsia="Times New Roman" w:hAnsi="Times New Roman" w:cs="Times New Roman"/>
                <w:b/>
                <w:sz w:val="20"/>
                <w:szCs w:val="20"/>
                <w:lang w:eastAsia="lv-LV"/>
              </w:rPr>
            </w:pPr>
            <w:r w:rsidRPr="00C04F43">
              <w:rPr>
                <w:rFonts w:ascii="Times New Roman" w:eastAsia="Times New Roman" w:hAnsi="Times New Roman" w:cs="Times New Roman"/>
                <w:sz w:val="20"/>
                <w:szCs w:val="20"/>
                <w:lang w:eastAsia="lv-LV"/>
              </w:rPr>
              <w:t> </w:t>
            </w:r>
            <w:r w:rsidR="002153A9" w:rsidRPr="00C04F43">
              <w:rPr>
                <w:rFonts w:ascii="Times New Roman" w:eastAsia="Times New Roman" w:hAnsi="Times New Roman" w:cs="Times New Roman"/>
                <w:b/>
                <w:sz w:val="20"/>
                <w:szCs w:val="20"/>
                <w:lang w:eastAsia="lv-LV"/>
              </w:rPr>
              <w:t xml:space="preserve">Ņemts vērā. </w:t>
            </w:r>
          </w:p>
          <w:p w14:paraId="7EDAB3B7" w14:textId="77777777" w:rsidR="00C04F43" w:rsidRPr="00C04F43" w:rsidRDefault="00C04F43" w:rsidP="002153A9">
            <w:pPr>
              <w:spacing w:after="0" w:line="240" w:lineRule="auto"/>
              <w:rPr>
                <w:rFonts w:ascii="Times New Roman" w:eastAsia="Times New Roman" w:hAnsi="Times New Roman" w:cs="Times New Roman"/>
                <w:b/>
                <w:sz w:val="20"/>
                <w:szCs w:val="20"/>
                <w:lang w:eastAsia="lv-LV"/>
              </w:rPr>
            </w:pPr>
          </w:p>
          <w:p w14:paraId="6212AD36" w14:textId="272D5D95" w:rsidR="00D73B87" w:rsidRPr="00C04F43" w:rsidRDefault="002153A9" w:rsidP="002153A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sz w:val="20"/>
                <w:szCs w:val="20"/>
                <w:lang w:eastAsia="lv-LV"/>
              </w:rPr>
              <w:t>Vienlaikus, vēršam uzmanību, ka Eiropas Komisijas SFC sistēma Programmas dokumenta iesniegšanai neparedz zemsvītras atsauču iekļaušanu.</w:t>
            </w:r>
          </w:p>
        </w:tc>
        <w:tc>
          <w:tcPr>
            <w:tcW w:w="754" w:type="pct"/>
            <w:tcBorders>
              <w:top w:val="outset" w:sz="6" w:space="0" w:color="414142"/>
              <w:left w:val="outset" w:sz="6" w:space="0" w:color="414142"/>
              <w:bottom w:val="outset" w:sz="6" w:space="0" w:color="414142"/>
              <w:right w:val="outset" w:sz="6" w:space="0" w:color="414142"/>
            </w:tcBorders>
            <w:hideMark/>
          </w:tcPr>
          <w:p w14:paraId="018BCC1C" w14:textId="77777777" w:rsidR="00D73B87" w:rsidRPr="00D73B87" w:rsidRDefault="00D73B87" w:rsidP="00D73B87">
            <w:pPr>
              <w:spacing w:after="0" w:line="240" w:lineRule="auto"/>
              <w:rPr>
                <w:rFonts w:ascii="Times New Roman" w:eastAsia="Times New Roman" w:hAnsi="Times New Roman" w:cs="Times New Roman"/>
                <w:color w:val="414142"/>
                <w:sz w:val="20"/>
                <w:szCs w:val="20"/>
                <w:lang w:eastAsia="lv-LV"/>
              </w:rPr>
            </w:pPr>
            <w:r w:rsidRPr="00D73B87">
              <w:rPr>
                <w:rFonts w:ascii="Times New Roman" w:eastAsia="Times New Roman" w:hAnsi="Times New Roman" w:cs="Times New Roman"/>
                <w:color w:val="414142"/>
                <w:sz w:val="20"/>
                <w:szCs w:val="20"/>
                <w:lang w:eastAsia="lv-LV"/>
              </w:rPr>
              <w:t> </w:t>
            </w:r>
          </w:p>
        </w:tc>
      </w:tr>
      <w:bookmarkEnd w:id="1"/>
      <w:tr w:rsidR="00D97A2B" w:rsidRPr="00D73B87" w14:paraId="139820F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F2F9DE7" w14:textId="7344C667" w:rsidR="00D97A2B" w:rsidRPr="00D73B87" w:rsidRDefault="00C00E55" w:rsidP="00D97A2B">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28.</w:t>
            </w:r>
          </w:p>
        </w:tc>
        <w:tc>
          <w:tcPr>
            <w:tcW w:w="700" w:type="pct"/>
            <w:tcBorders>
              <w:top w:val="outset" w:sz="6" w:space="0" w:color="414142"/>
              <w:left w:val="outset" w:sz="6" w:space="0" w:color="414142"/>
              <w:bottom w:val="outset" w:sz="6" w:space="0" w:color="414142"/>
              <w:right w:val="outset" w:sz="6" w:space="0" w:color="414142"/>
            </w:tcBorders>
          </w:tcPr>
          <w:p w14:paraId="50C976DE" w14:textId="71E4E4B0"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r w:rsidRPr="00642721">
              <w:rPr>
                <w:rFonts w:ascii="Times New Roman" w:eastAsia="Times New Roman" w:hAnsi="Times New Roman" w:cs="Times New Roman"/>
                <w:color w:val="414142"/>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5BE1F538" w14:textId="098FA3F6" w:rsidR="00D97A2B" w:rsidRPr="00D73B87" w:rsidRDefault="00D97A2B"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tcPr>
          <w:p w14:paraId="32FB7C12" w14:textId="5F11EAF4" w:rsidR="00D97A2B" w:rsidRPr="00C22170" w:rsidRDefault="00D97A2B" w:rsidP="00D97A2B">
            <w:pPr>
              <w:spacing w:after="0" w:line="240" w:lineRule="auto"/>
              <w:rPr>
                <w:rFonts w:ascii="Times New Roman" w:eastAsia="Times New Roman" w:hAnsi="Times New Roman" w:cs="Times New Roman"/>
                <w:color w:val="414142"/>
                <w:sz w:val="20"/>
                <w:szCs w:val="20"/>
                <w:lang w:eastAsia="lv-LV"/>
              </w:rPr>
            </w:pPr>
            <w:r w:rsidRPr="00C22170">
              <w:rPr>
                <w:rFonts w:ascii="Times New Roman" w:eastAsia="Times New Roman" w:hAnsi="Times New Roman" w:cs="Times New Roman"/>
                <w:color w:val="414142"/>
                <w:sz w:val="20"/>
                <w:szCs w:val="20"/>
                <w:lang w:eastAsia="lv-LV"/>
              </w:rPr>
              <w:t xml:space="preserve">Lūdzam precizēt CBJR programmas projekta 1.2.6.apakšnodaļas 1.rindkopu, precīzi norādot, kurus tieši septiņus no deviņiem ESSBJR </w:t>
            </w:r>
            <w:proofErr w:type="spellStart"/>
            <w:r w:rsidRPr="00C22170">
              <w:rPr>
                <w:rFonts w:ascii="Times New Roman" w:eastAsia="Times New Roman" w:hAnsi="Times New Roman" w:cs="Times New Roman"/>
                <w:color w:val="414142"/>
                <w:sz w:val="20"/>
                <w:szCs w:val="20"/>
                <w:lang w:eastAsia="lv-LV"/>
              </w:rPr>
              <w:t>apakšmērķiem</w:t>
            </w:r>
            <w:proofErr w:type="spellEnd"/>
            <w:r w:rsidRPr="00C22170">
              <w:rPr>
                <w:rFonts w:ascii="Times New Roman" w:eastAsia="Times New Roman" w:hAnsi="Times New Roman" w:cs="Times New Roman"/>
                <w:color w:val="414142"/>
                <w:sz w:val="20"/>
                <w:szCs w:val="20"/>
                <w:lang w:eastAsia="lv-LV"/>
              </w:rPr>
              <w:t xml:space="preserve"> sasniegšanu Programma veicina. Gadījumā, ja minētie septiņi </w:t>
            </w:r>
            <w:proofErr w:type="spellStart"/>
            <w:r w:rsidRPr="00C22170">
              <w:rPr>
                <w:rFonts w:ascii="Times New Roman" w:eastAsia="Times New Roman" w:hAnsi="Times New Roman" w:cs="Times New Roman"/>
                <w:color w:val="414142"/>
                <w:sz w:val="20"/>
                <w:szCs w:val="20"/>
                <w:lang w:eastAsia="lv-LV"/>
              </w:rPr>
              <w:t>apakšmērķi</w:t>
            </w:r>
            <w:proofErr w:type="spellEnd"/>
            <w:r w:rsidRPr="00C22170">
              <w:rPr>
                <w:rFonts w:ascii="Times New Roman" w:eastAsia="Times New Roman" w:hAnsi="Times New Roman" w:cs="Times New Roman"/>
                <w:color w:val="414142"/>
                <w:sz w:val="20"/>
                <w:szCs w:val="20"/>
                <w:lang w:eastAsia="lv-LV"/>
              </w:rPr>
              <w:t xml:space="preserve"> ir norādīti 1.2.6.apakšnodaļas 2.rindkopā, tad vēršam uzmanību, ka tur ir norādīti astoņi </w:t>
            </w:r>
            <w:proofErr w:type="spellStart"/>
            <w:r w:rsidRPr="00C22170">
              <w:rPr>
                <w:rFonts w:ascii="Times New Roman" w:eastAsia="Times New Roman" w:hAnsi="Times New Roman" w:cs="Times New Roman"/>
                <w:color w:val="414142"/>
                <w:sz w:val="20"/>
                <w:szCs w:val="20"/>
                <w:lang w:eastAsia="lv-LV"/>
              </w:rPr>
              <w:t>apakšmērķi</w:t>
            </w:r>
            <w:proofErr w:type="spellEnd"/>
            <w:r w:rsidRPr="00C22170">
              <w:rPr>
                <w:rFonts w:ascii="Times New Roman" w:eastAsia="Times New Roman" w:hAnsi="Times New Roman" w:cs="Times New Roman"/>
                <w:color w:val="414142"/>
                <w:sz w:val="20"/>
                <w:szCs w:val="20"/>
                <w:lang w:eastAsia="lv-LV"/>
              </w:rPr>
              <w:t xml:space="preserve"> un viens no tiem (PA Barības vielas) nav ietverts ESSBJR. Papildus vēršam uzmanību, ka ESSBJR paredz 14 </w:t>
            </w:r>
            <w:proofErr w:type="spellStart"/>
            <w:r w:rsidRPr="00C22170">
              <w:rPr>
                <w:rFonts w:ascii="Times New Roman" w:eastAsia="Times New Roman" w:hAnsi="Times New Roman" w:cs="Times New Roman"/>
                <w:color w:val="414142"/>
                <w:sz w:val="20"/>
                <w:szCs w:val="20"/>
                <w:lang w:eastAsia="lv-LV"/>
              </w:rPr>
              <w:t>apakšmērķus</w:t>
            </w:r>
            <w:proofErr w:type="spellEnd"/>
            <w:r>
              <w:rPr>
                <w:rFonts w:ascii="Times New Roman" w:eastAsia="Times New Roman" w:hAnsi="Times New Roman" w:cs="Times New Roman"/>
                <w:color w:val="414142"/>
                <w:sz w:val="20"/>
                <w:szCs w:val="20"/>
                <w:lang w:eastAsia="lv-LV"/>
              </w:rPr>
              <w:t xml:space="preserve">. </w:t>
            </w:r>
            <w:r w:rsidRPr="00C22170">
              <w:rPr>
                <w:rFonts w:ascii="Times New Roman" w:eastAsia="Times New Roman" w:hAnsi="Times New Roman" w:cs="Times New Roman"/>
                <w:color w:val="414142"/>
                <w:sz w:val="20"/>
                <w:szCs w:val="20"/>
                <w:lang w:eastAsia="lv-LV"/>
              </w:rPr>
              <w:t>[</w:t>
            </w:r>
            <w:r>
              <w:rPr>
                <w:rFonts w:ascii="Times New Roman" w:eastAsia="Times New Roman" w:hAnsi="Times New Roman" w:cs="Times New Roman"/>
                <w:color w:val="414142"/>
                <w:sz w:val="20"/>
                <w:szCs w:val="20"/>
                <w:lang w:eastAsia="lv-LV"/>
              </w:rPr>
              <w:t>3</w:t>
            </w:r>
            <w:r w:rsidRPr="00C22170">
              <w:rPr>
                <w:rFonts w:ascii="Times New Roman" w:eastAsia="Times New Roman" w:hAnsi="Times New Roman" w:cs="Times New Roman"/>
                <w:color w:val="414142"/>
                <w:sz w:val="20"/>
                <w:szCs w:val="20"/>
                <w:lang w:eastAsia="lv-LV"/>
              </w:rPr>
              <w:t>] </w:t>
            </w:r>
            <w:hyperlink r:id="rId14" w:history="1">
              <w:r w:rsidRPr="00C22170">
                <w:rPr>
                  <w:rStyle w:val="Hyperlink"/>
                  <w:rFonts w:ascii="Times New Roman" w:eastAsia="Times New Roman" w:hAnsi="Times New Roman" w:cs="Times New Roman"/>
                  <w:sz w:val="20"/>
                  <w:szCs w:val="20"/>
                  <w:lang w:eastAsia="lv-LV"/>
                </w:rPr>
                <w:t>https://www.balticsea-region-strategy.eu/about/implementation</w:t>
              </w:r>
            </w:hyperlink>
          </w:p>
          <w:p w14:paraId="068945A1"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802FBB6" w14:textId="77777777" w:rsidR="00C04F43" w:rsidRDefault="002153A9" w:rsidP="002153A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b/>
                <w:sz w:val="20"/>
                <w:szCs w:val="20"/>
                <w:lang w:eastAsia="lv-LV"/>
              </w:rPr>
              <w:t>Ņemts vērā.</w:t>
            </w:r>
            <w:r w:rsidRPr="00C04F43">
              <w:rPr>
                <w:rFonts w:ascii="Times New Roman" w:eastAsia="Times New Roman" w:hAnsi="Times New Roman" w:cs="Times New Roman"/>
                <w:sz w:val="20"/>
                <w:szCs w:val="20"/>
                <w:lang w:eastAsia="lv-LV"/>
              </w:rPr>
              <w:t xml:space="preserve"> </w:t>
            </w:r>
            <w:r w:rsidRPr="00C04F43">
              <w:rPr>
                <w:rFonts w:ascii="Times New Roman" w:eastAsia="Times New Roman" w:hAnsi="Times New Roman" w:cs="Times New Roman"/>
                <w:b/>
                <w:sz w:val="20"/>
                <w:szCs w:val="20"/>
                <w:lang w:eastAsia="lv-LV"/>
              </w:rPr>
              <w:t>Sniegts skaidrojums.</w:t>
            </w:r>
            <w:r w:rsidRPr="00C04F43">
              <w:rPr>
                <w:rFonts w:ascii="Times New Roman" w:eastAsia="Times New Roman" w:hAnsi="Times New Roman" w:cs="Times New Roman"/>
                <w:sz w:val="20"/>
                <w:szCs w:val="20"/>
                <w:lang w:eastAsia="lv-LV"/>
              </w:rPr>
              <w:t xml:space="preserve"> </w:t>
            </w:r>
          </w:p>
          <w:p w14:paraId="264316D9" w14:textId="77777777" w:rsidR="00C04F43" w:rsidRDefault="00C04F43" w:rsidP="002153A9">
            <w:pPr>
              <w:spacing w:after="0" w:line="240" w:lineRule="auto"/>
              <w:rPr>
                <w:rFonts w:ascii="Times New Roman" w:eastAsia="Times New Roman" w:hAnsi="Times New Roman" w:cs="Times New Roman"/>
                <w:sz w:val="20"/>
                <w:szCs w:val="20"/>
                <w:lang w:eastAsia="lv-LV"/>
              </w:rPr>
            </w:pPr>
          </w:p>
          <w:p w14:paraId="5B40F49F" w14:textId="257F789E" w:rsidR="00D97A2B" w:rsidRPr="00C04F43" w:rsidRDefault="002153A9" w:rsidP="002153A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sz w:val="20"/>
                <w:szCs w:val="20"/>
                <w:lang w:eastAsia="lv-LV"/>
              </w:rPr>
              <w:t xml:space="preserve">Sasaiste ar katru no ESSBJR </w:t>
            </w:r>
            <w:proofErr w:type="spellStart"/>
            <w:r w:rsidRPr="00C04F43">
              <w:rPr>
                <w:rFonts w:ascii="Times New Roman" w:eastAsia="Times New Roman" w:hAnsi="Times New Roman" w:cs="Times New Roman"/>
                <w:sz w:val="20"/>
                <w:szCs w:val="20"/>
                <w:lang w:eastAsia="lv-LV"/>
              </w:rPr>
              <w:t>apakšmērķi</w:t>
            </w:r>
            <w:proofErr w:type="spellEnd"/>
            <w:r w:rsidRPr="00C04F43">
              <w:rPr>
                <w:rFonts w:ascii="Times New Roman" w:eastAsia="Times New Roman" w:hAnsi="Times New Roman" w:cs="Times New Roman"/>
                <w:sz w:val="20"/>
                <w:szCs w:val="20"/>
                <w:lang w:eastAsia="lv-LV"/>
              </w:rPr>
              <w:t xml:space="preserve"> norādīta katras Programmas </w:t>
            </w:r>
            <w:r w:rsidRPr="00C04F43">
              <w:rPr>
                <w:rFonts w:ascii="Times New Roman" w:eastAsia="Times New Roman" w:hAnsi="Times New Roman" w:cs="Times New Roman"/>
                <w:sz w:val="20"/>
                <w:szCs w:val="20"/>
                <w:lang w:eastAsia="lv-LV"/>
              </w:rPr>
              <w:lastRenderedPageBreak/>
              <w:t xml:space="preserve">prioritātes aprakstā </w:t>
            </w:r>
          </w:p>
        </w:tc>
        <w:tc>
          <w:tcPr>
            <w:tcW w:w="754" w:type="pct"/>
            <w:tcBorders>
              <w:top w:val="outset" w:sz="6" w:space="0" w:color="414142"/>
              <w:left w:val="outset" w:sz="6" w:space="0" w:color="414142"/>
              <w:bottom w:val="outset" w:sz="6" w:space="0" w:color="414142"/>
              <w:right w:val="outset" w:sz="6" w:space="0" w:color="414142"/>
            </w:tcBorders>
          </w:tcPr>
          <w:p w14:paraId="65F56E5F"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r>
      <w:tr w:rsidR="00D97A2B" w:rsidRPr="00D73B87" w14:paraId="42265AEB"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69C8C6C" w14:textId="307C43FF" w:rsidR="00D97A2B" w:rsidRPr="00D73B87" w:rsidRDefault="00C00E55" w:rsidP="00D97A2B">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29.</w:t>
            </w:r>
          </w:p>
        </w:tc>
        <w:tc>
          <w:tcPr>
            <w:tcW w:w="700" w:type="pct"/>
            <w:tcBorders>
              <w:top w:val="outset" w:sz="6" w:space="0" w:color="414142"/>
              <w:left w:val="outset" w:sz="6" w:space="0" w:color="414142"/>
              <w:bottom w:val="outset" w:sz="6" w:space="0" w:color="414142"/>
              <w:right w:val="outset" w:sz="6" w:space="0" w:color="414142"/>
            </w:tcBorders>
          </w:tcPr>
          <w:p w14:paraId="6EC3F3E8" w14:textId="3DC41E5D" w:rsidR="00D97A2B" w:rsidRPr="002153A9" w:rsidRDefault="00D97A2B" w:rsidP="00D97A2B">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6E71020A" w14:textId="6691D674" w:rsidR="00D97A2B" w:rsidRPr="002153A9" w:rsidRDefault="00D97A2B" w:rsidP="00C00E55">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tcPr>
          <w:p w14:paraId="7EA196EA" w14:textId="4F68A6FF" w:rsidR="00D97A2B" w:rsidRPr="002153A9" w:rsidRDefault="00D97A2B" w:rsidP="00D97A2B">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Lūdzam precizēt CBJR programmas projekta 1.2.6.apakšnodaļas 3.rindkopu, norādot kas tiek saprasts ar vārdiem “īstenojot Politikas mērķī 2 finansētās aktivitātes”. Ja tiek domāta Centrālā Baltijas jūras reģiona programma, kur uzmanība pievērsta videi (Politikas mērķis 2), tad attiecīgi lūdzam arī norādīt. Papildus lūdzam nosaukt arī tās divas aktivitātes, kuras plānot finansēt.</w:t>
            </w:r>
          </w:p>
          <w:p w14:paraId="00683618" w14:textId="77777777" w:rsidR="00D97A2B" w:rsidRPr="002153A9" w:rsidRDefault="00D97A2B" w:rsidP="00D97A2B">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8EFDEF5" w14:textId="011C13C8" w:rsidR="00D97A2B" w:rsidRPr="002153A9" w:rsidRDefault="00632E52" w:rsidP="00D97A2B">
            <w:pPr>
              <w:spacing w:after="0" w:line="240" w:lineRule="auto"/>
              <w:rPr>
                <w:rFonts w:ascii="Times New Roman" w:eastAsia="Times New Roman" w:hAnsi="Times New Roman" w:cs="Times New Roman"/>
                <w:b/>
                <w:sz w:val="20"/>
                <w:szCs w:val="20"/>
                <w:lang w:eastAsia="lv-LV"/>
              </w:rPr>
            </w:pPr>
            <w:r w:rsidRPr="002153A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549253C"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r>
      <w:tr w:rsidR="006D55E0" w:rsidRPr="00D73B87" w14:paraId="2DAEABDC"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2F02060" w14:textId="2A495ABD" w:rsidR="006D55E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30.</w:t>
            </w:r>
          </w:p>
        </w:tc>
        <w:tc>
          <w:tcPr>
            <w:tcW w:w="700" w:type="pct"/>
            <w:tcBorders>
              <w:top w:val="outset" w:sz="6" w:space="0" w:color="414142"/>
              <w:left w:val="outset" w:sz="6" w:space="0" w:color="414142"/>
              <w:bottom w:val="outset" w:sz="6" w:space="0" w:color="414142"/>
              <w:right w:val="outset" w:sz="6" w:space="0" w:color="414142"/>
            </w:tcBorders>
          </w:tcPr>
          <w:p w14:paraId="1116CFFB" w14:textId="77777777" w:rsidR="006D55E0" w:rsidRPr="002153A9" w:rsidRDefault="006D55E0" w:rsidP="00BA6961">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33358024" w14:textId="509F9625" w:rsidR="006D55E0" w:rsidRPr="00C00E55" w:rsidRDefault="006D55E0" w:rsidP="00C00E55">
            <w:pPr>
              <w:spacing w:after="0" w:line="240" w:lineRule="auto"/>
              <w:rPr>
                <w:rFonts w:ascii="Times New Roman" w:eastAsia="Times New Roman" w:hAnsi="Times New Roman" w:cs="Times New Roman"/>
                <w:sz w:val="20"/>
                <w:szCs w:val="20"/>
                <w:lang w:eastAsia="lv-LV"/>
              </w:rPr>
            </w:pPr>
            <w:r w:rsidRPr="00C00E55">
              <w:rPr>
                <w:rFonts w:ascii="Times New Roman" w:eastAsia="Times New Roman" w:hAnsi="Times New Roman" w:cs="Times New Roman"/>
                <w:bCs/>
                <w:sz w:val="20"/>
                <w:szCs w:val="20"/>
                <w:lang w:eastAsia="lv-LV"/>
              </w:rPr>
              <w:t>1.2.6</w:t>
            </w:r>
            <w:r w:rsidR="00C00E55" w:rsidRPr="00C00E55">
              <w:rPr>
                <w:rFonts w:ascii="Times New Roman" w:eastAsia="Times New Roman" w:hAnsi="Times New Roman" w:cs="Times New Roman"/>
                <w:bCs/>
                <w:sz w:val="20"/>
                <w:szCs w:val="20"/>
                <w:lang w:eastAsia="lv-LV"/>
              </w:rPr>
              <w:t>.</w:t>
            </w:r>
          </w:p>
        </w:tc>
        <w:tc>
          <w:tcPr>
            <w:tcW w:w="2369" w:type="pct"/>
            <w:tcBorders>
              <w:top w:val="outset" w:sz="6" w:space="0" w:color="414142"/>
              <w:left w:val="outset" w:sz="6" w:space="0" w:color="414142"/>
              <w:bottom w:val="outset" w:sz="6" w:space="0" w:color="414142"/>
              <w:right w:val="outset" w:sz="6" w:space="0" w:color="414142"/>
            </w:tcBorders>
          </w:tcPr>
          <w:p w14:paraId="2681A226" w14:textId="77777777" w:rsidR="006D55E0" w:rsidRPr="002153A9" w:rsidRDefault="006D55E0" w:rsidP="00BA6961">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 xml:space="preserve">Vēršam uzmanību, ka ar kuģošanu saistītie jautājumi Eiropas Savienības Stratēģijas Baltijas jūras reģionam ietvaros tiek izskatīti divu politikas jomu – </w:t>
            </w:r>
            <w:r w:rsidRPr="002153A9">
              <w:rPr>
                <w:rFonts w:ascii="Times New Roman" w:eastAsia="Times New Roman" w:hAnsi="Times New Roman" w:cs="Times New Roman"/>
                <w:i/>
                <w:iCs/>
                <w:sz w:val="20"/>
                <w:szCs w:val="20"/>
                <w:lang w:eastAsia="lv-LV"/>
              </w:rPr>
              <w:t xml:space="preserve">PA </w:t>
            </w:r>
            <w:proofErr w:type="spellStart"/>
            <w:r w:rsidRPr="002153A9">
              <w:rPr>
                <w:rFonts w:ascii="Times New Roman" w:eastAsia="Times New Roman" w:hAnsi="Times New Roman" w:cs="Times New Roman"/>
                <w:i/>
                <w:iCs/>
                <w:sz w:val="20"/>
                <w:szCs w:val="20"/>
                <w:lang w:eastAsia="lv-LV"/>
              </w:rPr>
              <w:t>Safe</w:t>
            </w:r>
            <w:proofErr w:type="spellEnd"/>
            <w:r w:rsidRPr="002153A9">
              <w:rPr>
                <w:rFonts w:ascii="Times New Roman" w:eastAsia="Times New Roman" w:hAnsi="Times New Roman" w:cs="Times New Roman"/>
                <w:sz w:val="20"/>
                <w:szCs w:val="20"/>
                <w:lang w:eastAsia="lv-LV"/>
              </w:rPr>
              <w:t xml:space="preserve"> un </w:t>
            </w:r>
            <w:r w:rsidRPr="002153A9">
              <w:rPr>
                <w:rFonts w:ascii="Times New Roman" w:eastAsia="Times New Roman" w:hAnsi="Times New Roman" w:cs="Times New Roman"/>
                <w:i/>
                <w:iCs/>
                <w:sz w:val="20"/>
                <w:szCs w:val="20"/>
                <w:lang w:eastAsia="lv-LV"/>
              </w:rPr>
              <w:t xml:space="preserve">PA </w:t>
            </w:r>
            <w:proofErr w:type="spellStart"/>
            <w:r w:rsidRPr="002153A9">
              <w:rPr>
                <w:rFonts w:ascii="Times New Roman" w:eastAsia="Times New Roman" w:hAnsi="Times New Roman" w:cs="Times New Roman"/>
                <w:i/>
                <w:iCs/>
                <w:sz w:val="20"/>
                <w:szCs w:val="20"/>
                <w:lang w:eastAsia="lv-LV"/>
              </w:rPr>
              <w:t>Ship</w:t>
            </w:r>
            <w:proofErr w:type="spellEnd"/>
            <w:r w:rsidRPr="002153A9">
              <w:rPr>
                <w:rFonts w:ascii="Times New Roman" w:eastAsia="Times New Roman" w:hAnsi="Times New Roman" w:cs="Times New Roman"/>
                <w:sz w:val="20"/>
                <w:szCs w:val="20"/>
                <w:lang w:eastAsia="lv-LV"/>
              </w:rPr>
              <w:t xml:space="preserve"> – ietvaros. Šīs politikas jomas oficiāli (piemēram, Ārlietu ministrijas sagatavotajā informatīvajā ziņojumā  „Par Eiropas Savienības Stratēģijas Baltijas jūras reģionam nacionālās koordinācijas mehānismu Latvijā”, apstiprināts Ministru kabineta 28.06.2016. sēdē, prot.Nr.32#31) tiek tulkotas kā “Jūras drošības (</w:t>
            </w:r>
            <w:proofErr w:type="spellStart"/>
            <w:r w:rsidRPr="002153A9">
              <w:rPr>
                <w:rFonts w:ascii="Times New Roman" w:eastAsia="Times New Roman" w:hAnsi="Times New Roman" w:cs="Times New Roman"/>
                <w:i/>
                <w:iCs/>
                <w:sz w:val="20"/>
                <w:szCs w:val="20"/>
                <w:lang w:eastAsia="lv-LV"/>
              </w:rPr>
              <w:t>Safe</w:t>
            </w:r>
            <w:proofErr w:type="spellEnd"/>
            <w:r w:rsidRPr="002153A9">
              <w:rPr>
                <w:rFonts w:ascii="Times New Roman" w:eastAsia="Times New Roman" w:hAnsi="Times New Roman" w:cs="Times New Roman"/>
                <w:sz w:val="20"/>
                <w:szCs w:val="20"/>
                <w:lang w:eastAsia="lv-LV"/>
              </w:rPr>
              <w:t>) politikas joma” un “Kuģošanas (</w:t>
            </w:r>
            <w:proofErr w:type="spellStart"/>
            <w:r w:rsidRPr="002153A9">
              <w:rPr>
                <w:rFonts w:ascii="Times New Roman" w:eastAsia="Times New Roman" w:hAnsi="Times New Roman" w:cs="Times New Roman"/>
                <w:i/>
                <w:iCs/>
                <w:sz w:val="20"/>
                <w:szCs w:val="20"/>
                <w:lang w:eastAsia="lv-LV"/>
              </w:rPr>
              <w:t>Ship</w:t>
            </w:r>
            <w:proofErr w:type="spellEnd"/>
            <w:r w:rsidRPr="002153A9">
              <w:rPr>
                <w:rFonts w:ascii="Times New Roman" w:eastAsia="Times New Roman" w:hAnsi="Times New Roman" w:cs="Times New Roman"/>
                <w:sz w:val="20"/>
                <w:szCs w:val="20"/>
                <w:lang w:eastAsia="lv-LV"/>
              </w:rPr>
              <w:t>) politikas joma”. Ņemot vērā minēto, lūdzam precizēt projektā ietverto norādi uz “PA Kuģniecība” (1.2.6. nodaļā un 2.4.1. nodaļā).</w:t>
            </w:r>
          </w:p>
          <w:p w14:paraId="563640B4" w14:textId="77777777" w:rsidR="006D55E0" w:rsidRPr="002153A9"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A5D1C5E" w14:textId="57CACB45" w:rsidR="006D55E0" w:rsidRPr="002153A9" w:rsidRDefault="00632E52" w:rsidP="00BA6961">
            <w:pPr>
              <w:spacing w:after="0" w:line="240" w:lineRule="auto"/>
              <w:rPr>
                <w:rFonts w:ascii="Times New Roman" w:eastAsia="Times New Roman" w:hAnsi="Times New Roman" w:cs="Times New Roman"/>
                <w:b/>
                <w:sz w:val="20"/>
                <w:szCs w:val="20"/>
                <w:lang w:eastAsia="lv-LV"/>
              </w:rPr>
            </w:pPr>
            <w:r w:rsidRPr="002153A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1164053" w14:textId="77777777" w:rsidR="006D55E0" w:rsidRPr="00D73B87" w:rsidRDefault="006D55E0"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2E070C4D"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F237BD3" w14:textId="77777777" w:rsidR="00C23E8B" w:rsidRDefault="00C23E8B" w:rsidP="00C23E8B">
            <w:pPr>
              <w:pStyle w:val="BodyText"/>
              <w:spacing w:before="10"/>
              <w:jc w:val="center"/>
              <w:rPr>
                <w:rFonts w:ascii="Times New Roman" w:eastAsia="Times New Roman" w:hAnsi="Times New Roman" w:cs="Times New Roman"/>
                <w:b/>
                <w:bCs/>
                <w:color w:val="414142"/>
                <w:lang w:eastAsia="lv-LV"/>
              </w:rPr>
            </w:pPr>
          </w:p>
          <w:p w14:paraId="55E142C7" w14:textId="4A99E20A" w:rsidR="00C23E8B" w:rsidRPr="00C23E8B" w:rsidRDefault="00C91BB5" w:rsidP="00C23E8B">
            <w:pPr>
              <w:pStyle w:val="BodyText"/>
              <w:spacing w:before="10"/>
              <w:jc w:val="center"/>
              <w:rPr>
                <w:rFonts w:ascii="Times New Roman" w:hAnsi="Times New Roman" w:cs="Times New Roman"/>
                <w:b/>
                <w:sz w:val="23"/>
              </w:rPr>
            </w:pPr>
            <w:r w:rsidRPr="00C23E8B">
              <w:rPr>
                <w:rFonts w:ascii="Times New Roman" w:eastAsia="Times New Roman" w:hAnsi="Times New Roman" w:cs="Times New Roman"/>
                <w:b/>
                <w:bCs/>
                <w:color w:val="414142"/>
                <w:lang w:eastAsia="lv-LV"/>
              </w:rPr>
              <w:t>1.2.7.</w:t>
            </w:r>
            <w:r w:rsidR="00C23E8B" w:rsidRPr="00C23E8B">
              <w:rPr>
                <w:rFonts w:ascii="Times New Roman" w:hAnsi="Times New Roman" w:cs="Times New Roman"/>
                <w:b/>
                <w:sz w:val="23"/>
              </w:rPr>
              <w:t xml:space="preserve"> </w:t>
            </w:r>
            <w:r w:rsidR="00C23E8B" w:rsidRPr="00C23E8B">
              <w:rPr>
                <w:rFonts w:ascii="Times New Roman" w:hAnsi="Times New Roman" w:cs="Times New Roman"/>
                <w:b/>
              </w:rPr>
              <w:t>Centrālā Baltijas jūras reģiona programmas horizontālie principi</w:t>
            </w:r>
          </w:p>
          <w:p w14:paraId="742AEE5B" w14:textId="597B0A22"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6404DD" w:rsidRPr="00D73B87" w14:paraId="303042A4"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288BD2D" w14:textId="5B2ADAFA" w:rsidR="006404DD"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31.</w:t>
            </w:r>
          </w:p>
        </w:tc>
        <w:tc>
          <w:tcPr>
            <w:tcW w:w="700" w:type="pct"/>
            <w:tcBorders>
              <w:top w:val="outset" w:sz="6" w:space="0" w:color="414142"/>
              <w:left w:val="outset" w:sz="6" w:space="0" w:color="414142"/>
              <w:bottom w:val="outset" w:sz="6" w:space="0" w:color="414142"/>
              <w:right w:val="outset" w:sz="6" w:space="0" w:color="414142"/>
            </w:tcBorders>
          </w:tcPr>
          <w:p w14:paraId="42CE24A4"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sidRPr="001D4642">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9607161" w14:textId="154FFA5C"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1.2.7. </w:t>
            </w:r>
          </w:p>
        </w:tc>
        <w:tc>
          <w:tcPr>
            <w:tcW w:w="2369" w:type="pct"/>
            <w:tcBorders>
              <w:top w:val="outset" w:sz="6" w:space="0" w:color="414142"/>
              <w:left w:val="outset" w:sz="6" w:space="0" w:color="414142"/>
              <w:bottom w:val="outset" w:sz="6" w:space="0" w:color="414142"/>
              <w:right w:val="outset" w:sz="6" w:space="0" w:color="414142"/>
            </w:tcBorders>
          </w:tcPr>
          <w:p w14:paraId="03EA9339" w14:textId="77777777" w:rsidR="006404DD" w:rsidRPr="00E152E1"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 xml:space="preserve">Papildu vispārējam diskriminācijas novēršanas principam Programmā tiks pievērsta uzmanība dzimumu </w:t>
            </w:r>
            <w:r w:rsidRPr="00E152E1">
              <w:rPr>
                <w:rFonts w:ascii="Times New Roman" w:eastAsia="Times New Roman" w:hAnsi="Times New Roman" w:cs="Times New Roman"/>
                <w:strike/>
                <w:color w:val="FF0000"/>
                <w:sz w:val="20"/>
                <w:szCs w:val="20"/>
                <w:lang w:eastAsia="lv-LV"/>
              </w:rPr>
              <w:t>vienlīdzībai</w:t>
            </w:r>
            <w:r w:rsidRPr="00E152E1">
              <w:rPr>
                <w:rFonts w:ascii="Times New Roman" w:eastAsia="Times New Roman" w:hAnsi="Times New Roman" w:cs="Times New Roman"/>
                <w:color w:val="FF0000"/>
                <w:sz w:val="20"/>
                <w:szCs w:val="20"/>
                <w:lang w:eastAsia="lv-LV"/>
              </w:rPr>
              <w:t xml:space="preserve"> līdztiesībai</w:t>
            </w:r>
            <w:r w:rsidRPr="00E152E1">
              <w:rPr>
                <w:rFonts w:ascii="Times New Roman" w:eastAsia="Times New Roman" w:hAnsi="Times New Roman" w:cs="Times New Roman"/>
                <w:color w:val="414142"/>
                <w:sz w:val="20"/>
                <w:szCs w:val="20"/>
                <w:lang w:eastAsia="lv-LV"/>
              </w:rPr>
              <w:t xml:space="preserve">. Pamatojoties uz sniegto informāciju par projektiem, tiks veikts novērtējums attiecībā uz dzimumu </w:t>
            </w:r>
            <w:r w:rsidRPr="00E152E1">
              <w:rPr>
                <w:rFonts w:ascii="Times New Roman" w:eastAsia="Times New Roman" w:hAnsi="Times New Roman" w:cs="Times New Roman"/>
                <w:strike/>
                <w:color w:val="FF0000"/>
                <w:sz w:val="20"/>
                <w:szCs w:val="20"/>
                <w:lang w:eastAsia="lv-LV"/>
              </w:rPr>
              <w:t>vienlīdzību</w:t>
            </w:r>
            <w:r w:rsidRPr="00E152E1">
              <w:rPr>
                <w:rFonts w:ascii="Times New Roman" w:eastAsia="Times New Roman" w:hAnsi="Times New Roman" w:cs="Times New Roman"/>
                <w:color w:val="FF0000"/>
                <w:sz w:val="20"/>
                <w:szCs w:val="20"/>
                <w:lang w:eastAsia="lv-LV"/>
              </w:rPr>
              <w:t xml:space="preserve"> līdztiesību </w:t>
            </w:r>
            <w:r w:rsidRPr="00A86581">
              <w:rPr>
                <w:rFonts w:ascii="Times New Roman" w:eastAsia="Times New Roman" w:hAnsi="Times New Roman" w:cs="Times New Roman"/>
                <w:color w:val="FF0000"/>
                <w:sz w:val="20"/>
                <w:szCs w:val="20"/>
                <w:lang w:eastAsia="lv-LV"/>
              </w:rPr>
              <w:t>veicinošiem pasākumiem un to ietekmi uz programmā noteikto mērķu sasniegšanu</w:t>
            </w:r>
            <w:r w:rsidRPr="00E152E1">
              <w:rPr>
                <w:rFonts w:ascii="Times New Roman" w:eastAsia="Times New Roman" w:hAnsi="Times New Roman" w:cs="Times New Roman"/>
                <w:color w:val="414142"/>
                <w:sz w:val="20"/>
                <w:szCs w:val="20"/>
                <w:lang w:eastAsia="lv-LV"/>
              </w:rPr>
              <w:t xml:space="preserve">. Šis princips tiks ņemts vērā visos projektos un prioritātēs. Dzimumu </w:t>
            </w:r>
            <w:r w:rsidRPr="00E152E1">
              <w:rPr>
                <w:rFonts w:ascii="Times New Roman" w:eastAsia="Times New Roman" w:hAnsi="Times New Roman" w:cs="Times New Roman"/>
                <w:strike/>
                <w:color w:val="FF0000"/>
                <w:sz w:val="20"/>
                <w:szCs w:val="20"/>
                <w:lang w:eastAsia="lv-LV"/>
              </w:rPr>
              <w:t>vienlīdzība</w:t>
            </w:r>
            <w:r w:rsidRPr="00E152E1">
              <w:rPr>
                <w:rFonts w:ascii="Times New Roman" w:eastAsia="Times New Roman" w:hAnsi="Times New Roman" w:cs="Times New Roman"/>
                <w:color w:val="FF0000"/>
                <w:sz w:val="20"/>
                <w:szCs w:val="20"/>
                <w:lang w:eastAsia="lv-LV"/>
              </w:rPr>
              <w:t xml:space="preserve"> līdztiesība </w:t>
            </w:r>
            <w:r w:rsidRPr="00E152E1">
              <w:rPr>
                <w:rFonts w:ascii="Times New Roman" w:eastAsia="Times New Roman" w:hAnsi="Times New Roman" w:cs="Times New Roman"/>
                <w:color w:val="414142"/>
                <w:sz w:val="20"/>
                <w:szCs w:val="20"/>
                <w:lang w:eastAsia="lv-LV"/>
              </w:rPr>
              <w:t>tiks ņemta vērā arī programmas īstenošanas gaitā, piemēram, pieņemot darbiniekus un izstrādājot personāla politiku.</w:t>
            </w:r>
          </w:p>
          <w:p w14:paraId="591EA448" w14:textId="77777777" w:rsidR="006404DD" w:rsidRPr="00E152E1" w:rsidRDefault="006404DD" w:rsidP="00BA6961">
            <w:pPr>
              <w:spacing w:after="0" w:line="240" w:lineRule="auto"/>
              <w:rPr>
                <w:rFonts w:ascii="Times New Roman" w:eastAsia="Times New Roman" w:hAnsi="Times New Roman" w:cs="Times New Roman"/>
                <w:color w:val="7030A0"/>
                <w:sz w:val="20"/>
                <w:szCs w:val="20"/>
                <w:lang w:eastAsia="lv-LV"/>
              </w:rPr>
            </w:pPr>
            <w:r w:rsidRPr="00E152E1">
              <w:rPr>
                <w:rFonts w:ascii="Times New Roman" w:eastAsia="Times New Roman" w:hAnsi="Times New Roman" w:cs="Times New Roman"/>
                <w:color w:val="414142"/>
                <w:sz w:val="20"/>
                <w:szCs w:val="20"/>
                <w:lang w:eastAsia="lv-LV"/>
              </w:rPr>
              <w:t xml:space="preserve">Horizontālo principu veicināšana ir paredzēta kā vērtēšanas kritērijs, un tiks izvērtēta projektu pieteikumos sniegtā informācija. </w:t>
            </w:r>
            <w:r w:rsidRPr="00E152E1">
              <w:rPr>
                <w:rFonts w:ascii="Times New Roman" w:eastAsia="Times New Roman" w:hAnsi="Times New Roman" w:cs="Times New Roman"/>
                <w:color w:val="7030A0"/>
                <w:sz w:val="20"/>
                <w:szCs w:val="20"/>
                <w:lang w:eastAsia="lv-LV"/>
              </w:rPr>
              <w:t>Projektiem, kas negatīvi ietekmē ilgtspējīgu attīstību, vienlīdzīgas iespējas, diskriminācijas novēršanu un dzimumu vienlīdzību finansējums netiks piešķirts.</w:t>
            </w:r>
          </w:p>
          <w:p w14:paraId="07914F4D"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Lūdzam skaidrot, kā šis būtu jāsaprot, ja projektā netiks vispār minēts nekas par ietekmi uz kādu HP principiem, vai tad arī projekts netiks atbalstīts?</w:t>
            </w:r>
          </w:p>
          <w:p w14:paraId="6C9BFB16"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6FC6B16" w14:textId="73B97464" w:rsidR="006404DD" w:rsidRPr="00A47585" w:rsidRDefault="00A86581" w:rsidP="00BA6961">
            <w:pPr>
              <w:spacing w:after="0" w:line="240" w:lineRule="auto"/>
              <w:rPr>
                <w:rFonts w:ascii="Times New Roman" w:eastAsia="Times New Roman" w:hAnsi="Times New Roman" w:cs="Times New Roman"/>
                <w:b/>
                <w:sz w:val="20"/>
                <w:szCs w:val="20"/>
                <w:lang w:eastAsia="lv-LV"/>
              </w:rPr>
            </w:pPr>
            <w:r w:rsidRPr="00A47585">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6D04750" w14:textId="77777777" w:rsidR="00C04F43" w:rsidRDefault="00A86581" w:rsidP="00BA6961">
            <w:pPr>
              <w:spacing w:after="0" w:line="240" w:lineRule="auto"/>
              <w:rPr>
                <w:rFonts w:ascii="Times New Roman" w:eastAsia="Times New Roman" w:hAnsi="Times New Roman" w:cs="Times New Roman"/>
                <w:b/>
                <w:sz w:val="20"/>
                <w:szCs w:val="20"/>
                <w:lang w:eastAsia="lv-LV"/>
              </w:rPr>
            </w:pPr>
            <w:r w:rsidRPr="00A47585">
              <w:rPr>
                <w:rFonts w:ascii="Times New Roman" w:eastAsia="Times New Roman" w:hAnsi="Times New Roman" w:cs="Times New Roman"/>
                <w:b/>
                <w:sz w:val="20"/>
                <w:szCs w:val="20"/>
                <w:lang w:eastAsia="lv-LV"/>
              </w:rPr>
              <w:t>Sniegts skaidrojums.</w:t>
            </w:r>
            <w:r w:rsidR="00A47585">
              <w:rPr>
                <w:rFonts w:ascii="Times New Roman" w:eastAsia="Times New Roman" w:hAnsi="Times New Roman" w:cs="Times New Roman"/>
                <w:b/>
                <w:sz w:val="20"/>
                <w:szCs w:val="20"/>
                <w:lang w:eastAsia="lv-LV"/>
              </w:rPr>
              <w:t xml:space="preserve"> </w:t>
            </w:r>
          </w:p>
          <w:p w14:paraId="2FC86928" w14:textId="77777777" w:rsidR="00C04F43" w:rsidRDefault="00C04F43" w:rsidP="00BA6961">
            <w:pPr>
              <w:spacing w:after="0" w:line="240" w:lineRule="auto"/>
              <w:rPr>
                <w:rFonts w:ascii="Times New Roman" w:eastAsia="Times New Roman" w:hAnsi="Times New Roman" w:cs="Times New Roman"/>
                <w:b/>
                <w:sz w:val="20"/>
                <w:szCs w:val="20"/>
                <w:lang w:eastAsia="lv-LV"/>
              </w:rPr>
            </w:pPr>
          </w:p>
          <w:p w14:paraId="0CA4FAA5" w14:textId="2F4CC904" w:rsidR="006404DD" w:rsidRPr="00A47585" w:rsidRDefault="00A47585" w:rsidP="00BA6961">
            <w:pPr>
              <w:spacing w:after="0" w:line="240" w:lineRule="auto"/>
              <w:rPr>
                <w:rFonts w:ascii="Times New Roman" w:eastAsia="Times New Roman" w:hAnsi="Times New Roman" w:cs="Times New Roman"/>
                <w:b/>
                <w:sz w:val="20"/>
                <w:szCs w:val="20"/>
                <w:lang w:eastAsia="lv-LV"/>
              </w:rPr>
            </w:pPr>
            <w:r w:rsidRPr="00A47585">
              <w:rPr>
                <w:rFonts w:ascii="Times New Roman" w:eastAsia="Times New Roman" w:hAnsi="Times New Roman" w:cs="Times New Roman"/>
                <w:sz w:val="20"/>
                <w:szCs w:val="20"/>
                <w:lang w:eastAsia="lv-LV"/>
              </w:rPr>
              <w:t>Ja projekts norāda negatīvu ietekmi uz horizontālajiem principiem, projektam finansējums netiks piešķirts. Projekts var norādīt pozitīvu-negatīvu-neitrālu ietekmi.</w:t>
            </w:r>
            <w:r>
              <w:rPr>
                <w:rFonts w:ascii="Times New Roman" w:eastAsia="Times New Roman" w:hAnsi="Times New Roman" w:cs="Times New Roman"/>
                <w:sz w:val="20"/>
                <w:szCs w:val="20"/>
                <w:lang w:eastAsia="lv-LV"/>
              </w:rPr>
              <w:t xml:space="preserve"> Šis informācijas lauks ir obligāts uzraudzības sistēmā, iesniedzot projekta pieteikumu.</w:t>
            </w:r>
          </w:p>
        </w:tc>
      </w:tr>
      <w:tr w:rsidR="005864F5" w:rsidRPr="00D73B87" w14:paraId="6BC00EB7"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3B19E702" w14:textId="50C282B7" w:rsidR="005864F5" w:rsidRPr="0071312C" w:rsidRDefault="00433448" w:rsidP="00433448">
            <w:pPr>
              <w:pStyle w:val="ListParagraph"/>
              <w:numPr>
                <w:ilvl w:val="0"/>
                <w:numId w:val="4"/>
              </w:numPr>
              <w:spacing w:after="0" w:line="240" w:lineRule="auto"/>
              <w:jc w:val="center"/>
              <w:rPr>
                <w:rFonts w:ascii="Times New Roman" w:eastAsia="Times New Roman" w:hAnsi="Times New Roman" w:cs="Times New Roman"/>
                <w:b/>
                <w:bCs/>
                <w:sz w:val="20"/>
                <w:szCs w:val="20"/>
                <w:lang w:eastAsia="lv-LV"/>
              </w:rPr>
            </w:pPr>
            <w:r w:rsidRPr="0071312C">
              <w:rPr>
                <w:rFonts w:ascii="Times New Roman" w:eastAsia="Times New Roman" w:hAnsi="Times New Roman" w:cs="Times New Roman"/>
                <w:b/>
                <w:bCs/>
                <w:sz w:val="20"/>
                <w:szCs w:val="20"/>
                <w:lang w:eastAsia="lv-LV"/>
              </w:rPr>
              <w:t>Programmas prioritātes</w:t>
            </w:r>
          </w:p>
        </w:tc>
      </w:tr>
      <w:tr w:rsidR="00D97A2B" w:rsidRPr="00D73B87" w14:paraId="5D6BA4EE"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EEF4118" w14:textId="161F8C41" w:rsidR="00D97A2B" w:rsidRPr="00D73B87" w:rsidRDefault="00C00E55" w:rsidP="00D97A2B">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32.</w:t>
            </w:r>
          </w:p>
        </w:tc>
        <w:tc>
          <w:tcPr>
            <w:tcW w:w="700" w:type="pct"/>
            <w:tcBorders>
              <w:top w:val="outset" w:sz="6" w:space="0" w:color="414142"/>
              <w:left w:val="outset" w:sz="6" w:space="0" w:color="414142"/>
              <w:bottom w:val="outset" w:sz="6" w:space="0" w:color="414142"/>
              <w:right w:val="outset" w:sz="6" w:space="0" w:color="414142"/>
            </w:tcBorders>
          </w:tcPr>
          <w:p w14:paraId="0BA0E17B" w14:textId="57355647" w:rsidR="00D97A2B" w:rsidRPr="0071312C" w:rsidRDefault="00D97A2B" w:rsidP="00D97A2B">
            <w:pPr>
              <w:spacing w:after="0" w:line="240" w:lineRule="auto"/>
              <w:rPr>
                <w:rFonts w:ascii="Times New Roman" w:eastAsia="Times New Roman" w:hAnsi="Times New Roman" w:cs="Times New Roman"/>
                <w:sz w:val="20"/>
                <w:szCs w:val="20"/>
                <w:lang w:eastAsia="lv-LV"/>
              </w:rPr>
            </w:pPr>
            <w:r w:rsidRPr="0071312C">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35F6E228" w14:textId="38446AFF" w:rsidR="00D97A2B" w:rsidRPr="0071312C" w:rsidRDefault="000D2A30" w:rsidP="00C00E55">
            <w:pPr>
              <w:spacing w:after="0" w:line="240" w:lineRule="auto"/>
              <w:rPr>
                <w:rFonts w:ascii="Times New Roman" w:eastAsia="Times New Roman" w:hAnsi="Times New Roman" w:cs="Times New Roman"/>
                <w:sz w:val="20"/>
                <w:szCs w:val="20"/>
                <w:lang w:eastAsia="lv-LV"/>
              </w:rPr>
            </w:pPr>
            <w:r w:rsidRPr="0071312C">
              <w:rPr>
                <w:rFonts w:ascii="Times New Roman" w:eastAsia="Times New Roman" w:hAnsi="Times New Roman" w:cs="Times New Roman"/>
                <w:sz w:val="20"/>
                <w:szCs w:val="20"/>
                <w:lang w:eastAsia="lv-LV"/>
              </w:rPr>
              <w:t>2.</w:t>
            </w:r>
            <w:r w:rsidR="00486700" w:rsidRPr="0071312C">
              <w:rPr>
                <w:rFonts w:ascii="Times New Roman" w:eastAsia="Times New Roman" w:hAnsi="Times New Roman" w:cs="Times New Roman"/>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tcPr>
          <w:p w14:paraId="57183633" w14:textId="2E121778" w:rsidR="00D97A2B" w:rsidRPr="0071312C" w:rsidRDefault="00D97A2B" w:rsidP="00D97A2B">
            <w:pPr>
              <w:spacing w:after="0" w:line="240" w:lineRule="auto"/>
              <w:rPr>
                <w:rFonts w:ascii="Times New Roman" w:eastAsia="Times New Roman" w:hAnsi="Times New Roman" w:cs="Times New Roman"/>
                <w:sz w:val="20"/>
                <w:szCs w:val="20"/>
                <w:lang w:eastAsia="lv-LV"/>
              </w:rPr>
            </w:pPr>
            <w:r w:rsidRPr="0071312C">
              <w:rPr>
                <w:rFonts w:ascii="Times New Roman" w:eastAsia="Times New Roman" w:hAnsi="Times New Roman" w:cs="Times New Roman"/>
                <w:sz w:val="20"/>
                <w:szCs w:val="20"/>
                <w:lang w:eastAsia="lv-LV"/>
              </w:rPr>
              <w:t>Lūdzam nodrošināt CBJR programmas projekta 2.sadaļā “Programmas prioritātes” atbalstāmo darbību nepārklāšanos vai minēt papildinātības iespējas ar plānotajām atbalstāmajām darbībām ES fondu darbības programmas 2014.–2020.gadam (turpmāk – DP 2014.–2020.gadam) un  ES fondu  darbības programmas  2021.–2027.gadam (turpmāk – DP 2021.–2027.gadam) specifisko atbalsta mērķu ietvaros. Vienlaikus lūdzam skaidrot kā tiks nodrošināta demarkācija starp CBJR programmu un minētajām Eiropas Savienības struktūrfondu un Kohēzijas fonda darbības programmām.</w:t>
            </w:r>
          </w:p>
          <w:p w14:paraId="5B4EF464" w14:textId="77777777" w:rsidR="00D97A2B" w:rsidRPr="0071312C" w:rsidRDefault="00D97A2B" w:rsidP="00D97A2B">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AEA20EF" w14:textId="77777777" w:rsidR="00D97A2B" w:rsidRPr="00F80668" w:rsidRDefault="00F80668" w:rsidP="00D97A2B">
            <w:pPr>
              <w:spacing w:after="0" w:line="240" w:lineRule="auto"/>
              <w:rPr>
                <w:rFonts w:ascii="Times New Roman" w:eastAsia="Times New Roman" w:hAnsi="Times New Roman" w:cs="Times New Roman"/>
                <w:b/>
                <w:sz w:val="20"/>
                <w:szCs w:val="20"/>
                <w:lang w:eastAsia="lv-LV"/>
              </w:rPr>
            </w:pPr>
            <w:r w:rsidRPr="00F80668">
              <w:rPr>
                <w:rFonts w:ascii="Times New Roman" w:eastAsia="Times New Roman" w:hAnsi="Times New Roman" w:cs="Times New Roman"/>
                <w:b/>
                <w:sz w:val="20"/>
                <w:szCs w:val="20"/>
                <w:lang w:eastAsia="lv-LV"/>
              </w:rPr>
              <w:t>Ņemts vērā.</w:t>
            </w:r>
          </w:p>
          <w:p w14:paraId="72FE27E5" w14:textId="77777777" w:rsidR="00F80668" w:rsidRDefault="00F80668" w:rsidP="00D97A2B">
            <w:pPr>
              <w:spacing w:after="0" w:line="240" w:lineRule="auto"/>
              <w:rPr>
                <w:rFonts w:ascii="Times New Roman" w:eastAsia="Times New Roman" w:hAnsi="Times New Roman" w:cs="Times New Roman"/>
                <w:sz w:val="20"/>
                <w:szCs w:val="20"/>
                <w:lang w:eastAsia="lv-LV"/>
              </w:rPr>
            </w:pPr>
          </w:p>
          <w:p w14:paraId="1B4D6970" w14:textId="418ACAB8" w:rsidR="00F80668" w:rsidRDefault="00F80668" w:rsidP="00D97A2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Sadarbība ar citām ES fondu programmām minēta 1.2. sadaļā. </w:t>
            </w:r>
            <w:r w:rsidRPr="00F80668">
              <w:rPr>
                <w:rFonts w:ascii="Times New Roman" w:eastAsia="Times New Roman" w:hAnsi="Times New Roman" w:cs="Times New Roman"/>
                <w:sz w:val="20"/>
                <w:szCs w:val="20"/>
                <w:lang w:eastAsia="lv-LV"/>
              </w:rPr>
              <w:t xml:space="preserve">Skaidrojam, ka demarkācija tiks nodrošināta </w:t>
            </w:r>
            <w:r w:rsidR="00F25095">
              <w:rPr>
                <w:rFonts w:ascii="Times New Roman" w:eastAsia="Times New Roman" w:hAnsi="Times New Roman" w:cs="Times New Roman"/>
                <w:sz w:val="20"/>
                <w:szCs w:val="20"/>
                <w:lang w:eastAsia="lv-LV"/>
              </w:rPr>
              <w:t xml:space="preserve">katras dalībvalsts </w:t>
            </w:r>
            <w:r w:rsidRPr="00F80668">
              <w:rPr>
                <w:rFonts w:ascii="Times New Roman" w:eastAsia="Times New Roman" w:hAnsi="Times New Roman" w:cs="Times New Roman"/>
                <w:sz w:val="20"/>
                <w:szCs w:val="20"/>
                <w:lang w:eastAsia="lv-LV"/>
              </w:rPr>
              <w:t>Nacionālās apakškomitejas ietvaros, kurā nepārklāšanos un papildinātību ar citiem nozaru ministriju un valsts pārvaldes iestāžu pārziņā esošiem atbalsta mehānismiem izvērtās attiecīgas institūcijas.</w:t>
            </w:r>
          </w:p>
          <w:p w14:paraId="7F0294B0" w14:textId="6FBFC4B4" w:rsidR="00F80668" w:rsidRPr="0071312C" w:rsidRDefault="00F80668" w:rsidP="00D97A2B">
            <w:pPr>
              <w:spacing w:after="0" w:line="240" w:lineRule="auto"/>
              <w:rPr>
                <w:rFonts w:ascii="Times New Roman" w:eastAsia="Times New Roman" w:hAnsi="Times New Roman" w:cs="Times New Roman"/>
                <w:sz w:val="20"/>
                <w:szCs w:val="20"/>
                <w:lang w:eastAsia="lv-LV"/>
              </w:rPr>
            </w:pPr>
          </w:p>
        </w:tc>
        <w:tc>
          <w:tcPr>
            <w:tcW w:w="754" w:type="pct"/>
            <w:tcBorders>
              <w:top w:val="outset" w:sz="6" w:space="0" w:color="414142"/>
              <w:left w:val="outset" w:sz="6" w:space="0" w:color="414142"/>
              <w:bottom w:val="outset" w:sz="6" w:space="0" w:color="414142"/>
              <w:right w:val="outset" w:sz="6" w:space="0" w:color="414142"/>
            </w:tcBorders>
          </w:tcPr>
          <w:p w14:paraId="210F2784"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r>
      <w:tr w:rsidR="00C91BB5" w:rsidRPr="00D73B87" w14:paraId="497B3EBD"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0E1976E" w14:textId="373E079A" w:rsidR="00C91BB5" w:rsidRPr="00433448" w:rsidRDefault="00433448" w:rsidP="00BA6961">
            <w:pPr>
              <w:spacing w:after="0" w:line="240" w:lineRule="auto"/>
              <w:jc w:val="center"/>
              <w:rPr>
                <w:rFonts w:ascii="Times New Roman" w:eastAsia="Times New Roman" w:hAnsi="Times New Roman" w:cs="Times New Roman"/>
                <w:b/>
                <w:bCs/>
                <w:color w:val="414142"/>
                <w:sz w:val="20"/>
                <w:szCs w:val="20"/>
                <w:lang w:eastAsia="lv-LV"/>
              </w:rPr>
            </w:pPr>
            <w:bookmarkStart w:id="5" w:name="_Hlk69280299"/>
            <w:r w:rsidRPr="00433448">
              <w:rPr>
                <w:rFonts w:ascii="Times New Roman" w:hAnsi="Times New Roman" w:cs="Times New Roman"/>
                <w:b/>
                <w:sz w:val="20"/>
              </w:rPr>
              <w:t>2.1. Centrālā Baltijas jūras reģiona MVU eksporta apjomu palielināšana</w:t>
            </w:r>
          </w:p>
        </w:tc>
      </w:tr>
      <w:bookmarkEnd w:id="5"/>
      <w:tr w:rsidR="005864F5" w:rsidRPr="00D73B87" w14:paraId="1C836A6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2701605" w14:textId="53544E83" w:rsidR="005864F5" w:rsidRPr="00F54969"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33.</w:t>
            </w:r>
          </w:p>
        </w:tc>
        <w:tc>
          <w:tcPr>
            <w:tcW w:w="700" w:type="pct"/>
            <w:tcBorders>
              <w:top w:val="outset" w:sz="6" w:space="0" w:color="414142"/>
              <w:left w:val="outset" w:sz="6" w:space="0" w:color="414142"/>
              <w:bottom w:val="outset" w:sz="6" w:space="0" w:color="414142"/>
              <w:right w:val="outset" w:sz="6" w:space="0" w:color="414142"/>
            </w:tcBorders>
          </w:tcPr>
          <w:p w14:paraId="410981B4"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24C19F99" w14:textId="33C98EBB" w:rsidR="005864F5" w:rsidRPr="00F54969" w:rsidRDefault="005864F5" w:rsidP="00C00E55">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 xml:space="preserve">2.1. </w:t>
            </w:r>
          </w:p>
        </w:tc>
        <w:tc>
          <w:tcPr>
            <w:tcW w:w="2369" w:type="pct"/>
            <w:tcBorders>
              <w:top w:val="outset" w:sz="6" w:space="0" w:color="414142"/>
              <w:left w:val="outset" w:sz="6" w:space="0" w:color="414142"/>
              <w:bottom w:val="outset" w:sz="6" w:space="0" w:color="414142"/>
              <w:right w:val="outset" w:sz="6" w:space="0" w:color="414142"/>
            </w:tcBorders>
          </w:tcPr>
          <w:p w14:paraId="331475D1" w14:textId="77777777" w:rsidR="005864F5" w:rsidRPr="00F54969" w:rsidRDefault="005864F5" w:rsidP="00BA6961">
            <w:pPr>
              <w:spacing w:after="0" w:line="240" w:lineRule="auto"/>
              <w:rPr>
                <w:rFonts w:ascii="Times New Roman" w:eastAsia="Times New Roman" w:hAnsi="Times New Roman" w:cs="Times New Roman"/>
                <w:sz w:val="20"/>
                <w:szCs w:val="20"/>
                <w:bdr w:val="none" w:sz="0" w:space="0" w:color="auto" w:frame="1"/>
                <w:lang w:eastAsia="lv-LV"/>
              </w:rPr>
            </w:pPr>
            <w:r w:rsidRPr="00F54969">
              <w:rPr>
                <w:rFonts w:ascii="Times New Roman" w:eastAsia="Times New Roman" w:hAnsi="Times New Roman" w:cs="Times New Roman"/>
                <w:sz w:val="20"/>
                <w:szCs w:val="20"/>
                <w:bdr w:val="none" w:sz="0" w:space="0" w:color="auto" w:frame="1"/>
                <w:lang w:eastAsia="lv-LV"/>
              </w:rPr>
              <w:t>Programmas projekta 2.1. prioritāte noteiktie prioritārie tirgi ir tirgi, kas atrodas ārpus ES/EBTA valstīm. Aicinām paplašināt šos prioritāros tirgus, atbalstot šeit arī tos uzņēmumus, kas vēlas ieiet Eiropas tirgū, tāpēc piedāvājām kā prioritāros tirgus noteikt tos, kas atrodas ārpus Centrālā Baltijas jūras reģiona.</w:t>
            </w:r>
          </w:p>
          <w:p w14:paraId="32F8A679"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81737BE" w14:textId="5A10EF32" w:rsidR="005864F5" w:rsidRPr="009C135B" w:rsidRDefault="00F25095"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E738037" w14:textId="77777777" w:rsidR="005864F5" w:rsidRPr="009C135B" w:rsidRDefault="00F25095"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Sniegts skaidrojums.</w:t>
            </w:r>
          </w:p>
          <w:p w14:paraId="24F89C60" w14:textId="77777777" w:rsidR="00F25095" w:rsidRPr="009C135B" w:rsidRDefault="00F25095" w:rsidP="00BA6961">
            <w:pPr>
              <w:spacing w:after="0" w:line="240" w:lineRule="auto"/>
              <w:rPr>
                <w:rFonts w:ascii="Times New Roman" w:eastAsia="Times New Roman" w:hAnsi="Times New Roman" w:cs="Times New Roman"/>
                <w:sz w:val="20"/>
                <w:szCs w:val="20"/>
                <w:lang w:eastAsia="lv-LV"/>
              </w:rPr>
            </w:pPr>
          </w:p>
          <w:p w14:paraId="48B0ECAE" w14:textId="1AB2FE31" w:rsidR="00F25095" w:rsidRPr="009C135B" w:rsidRDefault="00F25095" w:rsidP="00F25095">
            <w:pPr>
              <w:spacing w:after="0" w:line="240" w:lineRule="auto"/>
              <w:rPr>
                <w:rFonts w:ascii="Times New Roman" w:eastAsia="Times New Roman" w:hAnsi="Times New Roman" w:cs="Times New Roman"/>
                <w:sz w:val="20"/>
                <w:szCs w:val="20"/>
                <w:lang w:eastAsia="lv-LV"/>
              </w:rPr>
            </w:pPr>
            <w:r w:rsidRPr="009C135B">
              <w:rPr>
                <w:rFonts w:ascii="Times New Roman" w:eastAsia="Times New Roman" w:hAnsi="Times New Roman" w:cs="Times New Roman"/>
                <w:sz w:val="20"/>
                <w:szCs w:val="20"/>
                <w:lang w:eastAsia="lv-LV"/>
              </w:rPr>
              <w:t xml:space="preserve">Mērķa tirgus 2.1.prioritātes ietvaros tika diskutēts dalībvalstu vidū gan darba grupas ietvaros, gan arī Apvienotajā programmēšanas komitejā, tomēr atbalsts eksporta tirgum Eiropā netika gūts. Programmas Vadošā iestāde/Kopīgais </w:t>
            </w:r>
            <w:r w:rsidRPr="009C135B">
              <w:rPr>
                <w:rFonts w:ascii="Times New Roman" w:eastAsia="Times New Roman" w:hAnsi="Times New Roman" w:cs="Times New Roman"/>
                <w:sz w:val="20"/>
                <w:szCs w:val="20"/>
                <w:lang w:eastAsia="lv-LV"/>
              </w:rPr>
              <w:lastRenderedPageBreak/>
              <w:t>sekretariāts pamato mērķa tirgus izvēli ārpus ES/EBTA ar sekmīgo pieredzi, pieprasījumu un rezultātiem Centrālā Baltijas jūras reģiona programmas 2014.-2020.gadam ietvaros. ES/EBTA ir brīvās tirdzniecības zona, kurā šķēršļi iekļūšanai ir salīdzinoši zemi, kā arī ir pieejamas daudzas nacionāla un reģionāla līmeņa eksporta atbalsta programmas un aktivitātes iekļūšanai ES tirgū.</w:t>
            </w:r>
            <w:r w:rsidR="00DF7C3B" w:rsidRPr="009C135B">
              <w:rPr>
                <w:rFonts w:ascii="Times New Roman" w:eastAsia="Times New Roman" w:hAnsi="Times New Roman" w:cs="Times New Roman"/>
                <w:sz w:val="20"/>
                <w:szCs w:val="20"/>
                <w:lang w:eastAsia="lv-LV"/>
              </w:rPr>
              <w:t xml:space="preserve"> Kā jaunais mērķa tirgus ir iekļauta arī Lielbritānija.</w:t>
            </w:r>
          </w:p>
          <w:p w14:paraId="7DC227F2" w14:textId="5FCE5924" w:rsidR="00F25095" w:rsidRPr="009C135B" w:rsidRDefault="00F25095" w:rsidP="00F25095">
            <w:pPr>
              <w:spacing w:after="0" w:line="240" w:lineRule="auto"/>
              <w:rPr>
                <w:rFonts w:ascii="Times New Roman" w:eastAsia="Times New Roman" w:hAnsi="Times New Roman" w:cs="Times New Roman"/>
                <w:sz w:val="20"/>
                <w:szCs w:val="20"/>
                <w:lang w:eastAsia="lv-LV"/>
              </w:rPr>
            </w:pPr>
          </w:p>
        </w:tc>
      </w:tr>
      <w:tr w:rsidR="005864F5" w:rsidRPr="00D73B87" w14:paraId="17D2EED8"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8958BB7" w14:textId="6454DA91" w:rsidR="005864F5" w:rsidRPr="00F54969"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34.</w:t>
            </w:r>
          </w:p>
        </w:tc>
        <w:tc>
          <w:tcPr>
            <w:tcW w:w="700" w:type="pct"/>
            <w:tcBorders>
              <w:top w:val="outset" w:sz="6" w:space="0" w:color="414142"/>
              <w:left w:val="outset" w:sz="6" w:space="0" w:color="414142"/>
              <w:bottom w:val="outset" w:sz="6" w:space="0" w:color="414142"/>
              <w:right w:val="outset" w:sz="6" w:space="0" w:color="414142"/>
            </w:tcBorders>
          </w:tcPr>
          <w:p w14:paraId="1C1DE252"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41801A90" w14:textId="7181F221" w:rsidR="005864F5" w:rsidRPr="00F54969" w:rsidRDefault="005864F5" w:rsidP="00C00E55">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2.1</w:t>
            </w:r>
            <w:r w:rsidR="00C00E55">
              <w:rPr>
                <w:rFonts w:ascii="Times New Roman" w:eastAsia="Times New Roman" w:hAnsi="Times New Roman" w:cs="Times New Roman"/>
                <w:sz w:val="20"/>
                <w:szCs w:val="20"/>
                <w:lang w:eastAsia="lv-LV"/>
              </w:rPr>
              <w:t>.</w:t>
            </w:r>
          </w:p>
        </w:tc>
        <w:tc>
          <w:tcPr>
            <w:tcW w:w="2369" w:type="pct"/>
            <w:tcBorders>
              <w:top w:val="outset" w:sz="6" w:space="0" w:color="414142"/>
              <w:left w:val="outset" w:sz="6" w:space="0" w:color="414142"/>
              <w:bottom w:val="outset" w:sz="6" w:space="0" w:color="414142"/>
              <w:right w:val="outset" w:sz="6" w:space="0" w:color="414142"/>
            </w:tcBorders>
          </w:tcPr>
          <w:p w14:paraId="6A87D7AF" w14:textId="77777777" w:rsidR="005864F5" w:rsidRPr="00F54969" w:rsidRDefault="005864F5" w:rsidP="00BA6961">
            <w:pPr>
              <w:spacing w:after="0" w:line="240" w:lineRule="auto"/>
              <w:rPr>
                <w:rFonts w:ascii="Times New Roman" w:eastAsia="Times New Roman" w:hAnsi="Times New Roman" w:cs="Times New Roman"/>
                <w:sz w:val="20"/>
                <w:szCs w:val="20"/>
                <w:bdr w:val="none" w:sz="0" w:space="0" w:color="auto" w:frame="1"/>
                <w:lang w:eastAsia="lv-LV"/>
              </w:rPr>
            </w:pPr>
            <w:r w:rsidRPr="00F54969">
              <w:rPr>
                <w:rFonts w:ascii="Times New Roman" w:eastAsia="Times New Roman" w:hAnsi="Times New Roman" w:cs="Times New Roman"/>
                <w:sz w:val="20"/>
                <w:szCs w:val="20"/>
                <w:bdr w:val="none" w:sz="0" w:space="0" w:color="auto" w:frame="1"/>
                <w:lang w:eastAsia="lv-LV"/>
              </w:rPr>
              <w:t xml:space="preserve">2.1. prioritātei viens no noteiktajiem rezultātu rādītājiem ir noslēgtie līgumi saistībā ar jaunajiem tirgiem. Vēršam uzmanību, ka ieiešana tirgū un līgumu slēgšana var prasīt ilgāku laiku, un projekta termiņš var nebūt pietiekams, lai līgums jau tiktu noslēgts. Tāpēc aicinām šo neiekļaut kā rezultātu rādītāju.  </w:t>
            </w:r>
          </w:p>
          <w:p w14:paraId="786A3873"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E0498DA" w14:textId="372ED745" w:rsidR="005864F5" w:rsidRPr="009C135B" w:rsidRDefault="009C135B"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6F5C055D" w14:textId="77777777" w:rsidR="005864F5" w:rsidRDefault="009C135B"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Sniegts skaidrojums.</w:t>
            </w:r>
          </w:p>
          <w:p w14:paraId="3846A471" w14:textId="77777777" w:rsidR="009C135B" w:rsidRDefault="009C135B" w:rsidP="00BA6961">
            <w:pPr>
              <w:spacing w:after="0" w:line="240" w:lineRule="auto"/>
              <w:rPr>
                <w:rFonts w:ascii="Times New Roman" w:eastAsia="Times New Roman" w:hAnsi="Times New Roman" w:cs="Times New Roman"/>
                <w:b/>
                <w:sz w:val="20"/>
                <w:szCs w:val="20"/>
                <w:lang w:eastAsia="lv-LV"/>
              </w:rPr>
            </w:pPr>
          </w:p>
          <w:p w14:paraId="29B4F696" w14:textId="77777777" w:rsidR="009C135B" w:rsidRDefault="009C135B" w:rsidP="00BA6961">
            <w:pPr>
              <w:spacing w:after="0" w:line="240" w:lineRule="auto"/>
              <w:rPr>
                <w:rFonts w:ascii="Times New Roman" w:eastAsia="Times New Roman" w:hAnsi="Times New Roman" w:cs="Times New Roman"/>
                <w:sz w:val="20"/>
                <w:szCs w:val="20"/>
                <w:lang w:eastAsia="lv-LV"/>
              </w:rPr>
            </w:pPr>
            <w:r w:rsidRPr="009C135B">
              <w:rPr>
                <w:rFonts w:ascii="Times New Roman" w:eastAsia="Times New Roman" w:hAnsi="Times New Roman" w:cs="Times New Roman"/>
                <w:sz w:val="20"/>
                <w:szCs w:val="20"/>
                <w:lang w:eastAsia="lv-LV"/>
              </w:rPr>
              <w:t>Balstoties uz Centrālā Baltijas jūras reģiona programmas 2014.-2020.gadam pieredzi un rezultātiem ar līdzīgu kopīga eksporta virzienu, secināms, ka ir reāli sasniegt eksporta darījumus un tos dokumentēt.</w:t>
            </w:r>
          </w:p>
          <w:p w14:paraId="0A82C928" w14:textId="397643CD" w:rsidR="009C135B" w:rsidRDefault="009C135B"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Ļoti iespējams, ka pēc projekta beigām sekos lielāks eksports, taču, nosakot mērķa vērtības programmas un projekta līmenī, Programma ņem </w:t>
            </w:r>
            <w:r>
              <w:rPr>
                <w:rFonts w:ascii="Times New Roman" w:eastAsia="Times New Roman" w:hAnsi="Times New Roman" w:cs="Times New Roman"/>
                <w:sz w:val="20"/>
                <w:szCs w:val="20"/>
                <w:lang w:eastAsia="lv-LV"/>
              </w:rPr>
              <w:lastRenderedPageBreak/>
              <w:t>vērā to, ko var sasniegt projekta laikā un saprātīgā laikā pēc projekta beigām.</w:t>
            </w:r>
          </w:p>
          <w:p w14:paraId="3168AD73" w14:textId="0913E6EB" w:rsidR="009C135B" w:rsidRPr="009C135B" w:rsidRDefault="009C135B" w:rsidP="009C135B">
            <w:pPr>
              <w:spacing w:after="0" w:line="240" w:lineRule="auto"/>
              <w:rPr>
                <w:rFonts w:ascii="Times New Roman" w:eastAsia="Times New Roman" w:hAnsi="Times New Roman" w:cs="Times New Roman"/>
                <w:sz w:val="20"/>
                <w:szCs w:val="20"/>
                <w:lang w:eastAsia="lv-LV"/>
              </w:rPr>
            </w:pPr>
          </w:p>
        </w:tc>
      </w:tr>
      <w:tr w:rsidR="005864F5" w:rsidRPr="00D73B87" w14:paraId="315620F3"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22194AF" w14:textId="2651EADB" w:rsidR="005864F5" w:rsidRPr="00F54969"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35.</w:t>
            </w:r>
          </w:p>
        </w:tc>
        <w:tc>
          <w:tcPr>
            <w:tcW w:w="700" w:type="pct"/>
            <w:tcBorders>
              <w:top w:val="outset" w:sz="6" w:space="0" w:color="414142"/>
              <w:left w:val="outset" w:sz="6" w:space="0" w:color="414142"/>
              <w:bottom w:val="outset" w:sz="6" w:space="0" w:color="414142"/>
              <w:right w:val="outset" w:sz="6" w:space="0" w:color="414142"/>
            </w:tcBorders>
          </w:tcPr>
          <w:p w14:paraId="2D51CA9A"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35D6454C" w14:textId="2132BDD9" w:rsidR="005864F5" w:rsidRPr="00C00E55" w:rsidRDefault="005864F5" w:rsidP="00C00E55">
            <w:pPr>
              <w:spacing w:after="0" w:line="240" w:lineRule="auto"/>
              <w:rPr>
                <w:rFonts w:ascii="Times New Roman" w:eastAsia="Times New Roman" w:hAnsi="Times New Roman" w:cs="Times New Roman"/>
                <w:sz w:val="20"/>
                <w:szCs w:val="20"/>
                <w:lang w:eastAsia="lv-LV"/>
              </w:rPr>
            </w:pPr>
            <w:r w:rsidRPr="00C00E55">
              <w:rPr>
                <w:rFonts w:ascii="Times New Roman" w:eastAsia="Times New Roman" w:hAnsi="Times New Roman" w:cs="Times New Roman"/>
                <w:bCs/>
                <w:sz w:val="20"/>
                <w:szCs w:val="20"/>
                <w:lang w:eastAsia="lv-LV"/>
              </w:rPr>
              <w:t xml:space="preserve">2.1. </w:t>
            </w:r>
          </w:p>
        </w:tc>
        <w:tc>
          <w:tcPr>
            <w:tcW w:w="2369" w:type="pct"/>
            <w:tcBorders>
              <w:top w:val="outset" w:sz="6" w:space="0" w:color="414142"/>
              <w:left w:val="outset" w:sz="6" w:space="0" w:color="414142"/>
              <w:bottom w:val="outset" w:sz="6" w:space="0" w:color="414142"/>
              <w:right w:val="outset" w:sz="6" w:space="0" w:color="414142"/>
            </w:tcBorders>
          </w:tcPr>
          <w:p w14:paraId="782D35CB" w14:textId="77777777" w:rsidR="005864F5" w:rsidRPr="00F54969" w:rsidRDefault="005864F5" w:rsidP="00BA6961">
            <w:pPr>
              <w:spacing w:after="0" w:line="240" w:lineRule="auto"/>
              <w:rPr>
                <w:rFonts w:ascii="Times New Roman" w:eastAsia="Times New Roman" w:hAnsi="Times New Roman" w:cs="Times New Roman"/>
                <w:sz w:val="20"/>
                <w:szCs w:val="20"/>
                <w:bdr w:val="none" w:sz="0" w:space="0" w:color="auto" w:frame="1"/>
                <w:lang w:eastAsia="lv-LV"/>
              </w:rPr>
            </w:pPr>
            <w:r w:rsidRPr="00F54969">
              <w:rPr>
                <w:rFonts w:ascii="Times New Roman" w:eastAsia="Times New Roman" w:hAnsi="Times New Roman" w:cs="Times New Roman"/>
                <w:sz w:val="20"/>
                <w:szCs w:val="20"/>
                <w:bdr w:val="none" w:sz="0" w:space="0" w:color="auto" w:frame="1"/>
                <w:lang w:eastAsia="lv-LV"/>
              </w:rPr>
              <w:t>Vēršam uzmanību, ka Programmas projekta 2.1. prioritātei “Centrālā Baltijas jūras reģiona MVU eksporta apjomu palielināšana” un 2.2. prioritātei “Vairāk jaunu Centrālā Baltijas jūras reģiona paplašinātas izaugsmes uzņēmumu” un visticamāk būs vieni un tie paši īstenotāji un atbalsta saņēmēji, līdz ar to piedāvājam šīs prioritātes apvienot vienā “Centrālā Baltijas jūras reģiona MVU augstas pievienotās vērtības eksporta un paplašinātas izaugsmes uzņēmumu skaita palielināšana”, tādējādi arī radot atvērtāku konkurenci par pieejamo finansējumu.</w:t>
            </w:r>
          </w:p>
          <w:p w14:paraId="7975ADFF"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2A0F637" w14:textId="43181648" w:rsidR="005864F5" w:rsidRPr="008017F1" w:rsidRDefault="008017F1" w:rsidP="00BA6961">
            <w:pPr>
              <w:spacing w:after="0" w:line="240" w:lineRule="auto"/>
              <w:rPr>
                <w:rFonts w:ascii="Times New Roman" w:eastAsia="Times New Roman" w:hAnsi="Times New Roman" w:cs="Times New Roman"/>
                <w:b/>
                <w:sz w:val="20"/>
                <w:szCs w:val="20"/>
                <w:lang w:eastAsia="lv-LV"/>
              </w:rPr>
            </w:pPr>
            <w:r w:rsidRPr="008017F1">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5710EF10" w14:textId="77777777" w:rsidR="005864F5" w:rsidRPr="008017F1" w:rsidRDefault="008017F1" w:rsidP="00BA6961">
            <w:pPr>
              <w:spacing w:after="0" w:line="240" w:lineRule="auto"/>
              <w:rPr>
                <w:rFonts w:ascii="Times New Roman" w:eastAsia="Times New Roman" w:hAnsi="Times New Roman" w:cs="Times New Roman"/>
                <w:b/>
                <w:sz w:val="20"/>
                <w:szCs w:val="20"/>
                <w:lang w:eastAsia="lv-LV"/>
              </w:rPr>
            </w:pPr>
            <w:r w:rsidRPr="008017F1">
              <w:rPr>
                <w:rFonts w:ascii="Times New Roman" w:eastAsia="Times New Roman" w:hAnsi="Times New Roman" w:cs="Times New Roman"/>
                <w:b/>
                <w:sz w:val="20"/>
                <w:szCs w:val="20"/>
                <w:lang w:eastAsia="lv-LV"/>
              </w:rPr>
              <w:t>Sniegts skaidrojums.</w:t>
            </w:r>
          </w:p>
          <w:p w14:paraId="63B98074" w14:textId="77777777" w:rsidR="008017F1" w:rsidRDefault="008017F1" w:rsidP="00BA6961">
            <w:pPr>
              <w:spacing w:after="0" w:line="240" w:lineRule="auto"/>
              <w:rPr>
                <w:rFonts w:ascii="Times New Roman" w:eastAsia="Times New Roman" w:hAnsi="Times New Roman" w:cs="Times New Roman"/>
                <w:color w:val="414142"/>
                <w:sz w:val="20"/>
                <w:szCs w:val="20"/>
                <w:lang w:eastAsia="lv-LV"/>
              </w:rPr>
            </w:pPr>
          </w:p>
          <w:p w14:paraId="7CC54446" w14:textId="1E4D9957" w:rsidR="008017F1" w:rsidRPr="008017F1" w:rsidRDefault="008017F1" w:rsidP="00BA6961">
            <w:pPr>
              <w:spacing w:after="0" w:line="240" w:lineRule="auto"/>
              <w:rPr>
                <w:rFonts w:ascii="Times New Roman" w:eastAsia="Times New Roman" w:hAnsi="Times New Roman" w:cs="Times New Roman"/>
                <w:sz w:val="20"/>
                <w:szCs w:val="20"/>
                <w:lang w:eastAsia="lv-LV"/>
              </w:rPr>
            </w:pPr>
            <w:r w:rsidRPr="008017F1">
              <w:rPr>
                <w:rFonts w:ascii="Times New Roman" w:eastAsia="Times New Roman" w:hAnsi="Times New Roman" w:cs="Times New Roman"/>
                <w:sz w:val="20"/>
                <w:szCs w:val="20"/>
                <w:lang w:eastAsia="lv-LV"/>
              </w:rPr>
              <w:t>Programmā tiek piedāvāt</w:t>
            </w:r>
            <w:r>
              <w:rPr>
                <w:rFonts w:ascii="Times New Roman" w:eastAsia="Times New Roman" w:hAnsi="Times New Roman" w:cs="Times New Roman"/>
                <w:sz w:val="20"/>
                <w:szCs w:val="20"/>
                <w:lang w:eastAsia="lv-LV"/>
              </w:rPr>
              <w:t>as</w:t>
            </w:r>
            <w:r w:rsidRPr="008017F1">
              <w:rPr>
                <w:rFonts w:ascii="Times New Roman" w:eastAsia="Times New Roman" w:hAnsi="Times New Roman" w:cs="Times New Roman"/>
                <w:sz w:val="20"/>
                <w:szCs w:val="20"/>
                <w:lang w:eastAsia="lv-LV"/>
              </w:rPr>
              <w:t xml:space="preserve"> divas atsevišķas prioritātes, pamatojoties uz dažādām mērķa grupām un loģiku, kā labāk risināt identificētos izaicinājumus.</w:t>
            </w:r>
          </w:p>
          <w:p w14:paraId="64126914" w14:textId="0E1BAEE3" w:rsidR="008017F1" w:rsidRPr="00D73B87" w:rsidRDefault="008017F1" w:rsidP="008017F1">
            <w:pPr>
              <w:shd w:val="clear" w:color="auto" w:fill="FFFFFF"/>
              <w:spacing w:after="0" w:line="420" w:lineRule="atLeast"/>
              <w:rPr>
                <w:rFonts w:ascii="Times New Roman" w:eastAsia="Times New Roman" w:hAnsi="Times New Roman" w:cs="Times New Roman"/>
                <w:color w:val="414142"/>
                <w:sz w:val="20"/>
                <w:szCs w:val="20"/>
                <w:lang w:eastAsia="lv-LV"/>
              </w:rPr>
            </w:pPr>
          </w:p>
        </w:tc>
      </w:tr>
      <w:tr w:rsidR="00C91BB5" w:rsidRPr="00D73B87" w14:paraId="2FB94317"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E9CC88F" w14:textId="3FB02648" w:rsidR="00433448" w:rsidRPr="00552201" w:rsidRDefault="00C91BB5" w:rsidP="00433448">
            <w:pPr>
              <w:pStyle w:val="ListParagraph"/>
              <w:widowControl w:val="0"/>
              <w:tabs>
                <w:tab w:val="left" w:pos="1606"/>
              </w:tabs>
              <w:autoSpaceDE w:val="0"/>
              <w:autoSpaceDN w:val="0"/>
              <w:spacing w:before="157" w:after="0" w:line="249" w:lineRule="auto"/>
              <w:ind w:left="948" w:right="178"/>
              <w:contextualSpacing w:val="0"/>
              <w:jc w:val="center"/>
              <w:rPr>
                <w:rFonts w:ascii="Times New Roman" w:hAnsi="Times New Roman" w:cs="Times New Roman"/>
                <w:b/>
                <w:sz w:val="20"/>
              </w:rPr>
            </w:pPr>
            <w:r w:rsidRPr="00552201">
              <w:rPr>
                <w:rFonts w:ascii="Times New Roman" w:eastAsia="Times New Roman" w:hAnsi="Times New Roman" w:cs="Times New Roman"/>
                <w:b/>
                <w:bCs/>
                <w:sz w:val="20"/>
                <w:szCs w:val="20"/>
                <w:lang w:eastAsia="lv-LV"/>
              </w:rPr>
              <w:t>2.1.1.</w:t>
            </w:r>
            <w:r w:rsidR="00433448" w:rsidRPr="00552201">
              <w:rPr>
                <w:rFonts w:ascii="Times New Roman" w:hAnsi="Times New Roman" w:cs="Times New Roman"/>
                <w:b/>
                <w:sz w:val="20"/>
              </w:rPr>
              <w:t xml:space="preserve"> Saistītie rīcības veidi un to paredzamais ieguldījums šajos konkrētajos mērķos un </w:t>
            </w:r>
            <w:proofErr w:type="spellStart"/>
            <w:r w:rsidR="00433448" w:rsidRPr="00552201">
              <w:rPr>
                <w:rFonts w:ascii="Times New Roman" w:hAnsi="Times New Roman" w:cs="Times New Roman"/>
                <w:b/>
                <w:sz w:val="20"/>
              </w:rPr>
              <w:t>makroreģionālajās</w:t>
            </w:r>
            <w:proofErr w:type="spellEnd"/>
            <w:r w:rsidR="00433448" w:rsidRPr="00552201">
              <w:rPr>
                <w:rFonts w:ascii="Times New Roman" w:hAnsi="Times New Roman" w:cs="Times New Roman"/>
                <w:b/>
                <w:sz w:val="20"/>
              </w:rPr>
              <w:t xml:space="preserve"> stratēģijās un, ja nepieciešams, jūras stratēģijās</w:t>
            </w:r>
          </w:p>
          <w:p w14:paraId="738E289F" w14:textId="1E1E6D39" w:rsidR="00C91BB5" w:rsidRPr="00552201" w:rsidRDefault="00C91BB5" w:rsidP="00BA6961">
            <w:pPr>
              <w:spacing w:after="0" w:line="240" w:lineRule="auto"/>
              <w:jc w:val="center"/>
              <w:rPr>
                <w:rFonts w:ascii="Times New Roman" w:eastAsia="Times New Roman" w:hAnsi="Times New Roman" w:cs="Times New Roman"/>
                <w:b/>
                <w:bCs/>
                <w:sz w:val="20"/>
                <w:szCs w:val="20"/>
                <w:lang w:eastAsia="lv-LV"/>
              </w:rPr>
            </w:pPr>
          </w:p>
        </w:tc>
      </w:tr>
      <w:tr w:rsidR="002D47F0" w:rsidRPr="00D73B87" w14:paraId="67D04E3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422B9A3" w14:textId="2FABA8E7" w:rsidR="002D47F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36.</w:t>
            </w:r>
          </w:p>
        </w:tc>
        <w:tc>
          <w:tcPr>
            <w:tcW w:w="700" w:type="pct"/>
            <w:tcBorders>
              <w:top w:val="outset" w:sz="6" w:space="0" w:color="414142"/>
              <w:left w:val="outset" w:sz="6" w:space="0" w:color="414142"/>
              <w:bottom w:val="outset" w:sz="6" w:space="0" w:color="414142"/>
              <w:right w:val="outset" w:sz="6" w:space="0" w:color="414142"/>
            </w:tcBorders>
          </w:tcPr>
          <w:p w14:paraId="53388AF7" w14:textId="77777777" w:rsidR="002D47F0" w:rsidRPr="00552201" w:rsidRDefault="002D47F0" w:rsidP="00BA6961">
            <w:pPr>
              <w:spacing w:after="0" w:line="240" w:lineRule="auto"/>
              <w:rPr>
                <w:rFonts w:ascii="Times New Roman" w:eastAsia="Times New Roman" w:hAnsi="Times New Roman" w:cs="Times New Roman"/>
                <w:sz w:val="20"/>
                <w:szCs w:val="20"/>
                <w:lang w:eastAsia="lv-LV"/>
              </w:rPr>
            </w:pPr>
            <w:r w:rsidRPr="00552201">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3B37FD06" w14:textId="32A9EA00" w:rsidR="002D47F0" w:rsidRPr="00552201" w:rsidRDefault="002D47F0" w:rsidP="00C00E55">
            <w:pPr>
              <w:spacing w:after="0" w:line="240" w:lineRule="auto"/>
              <w:rPr>
                <w:rFonts w:ascii="Times New Roman" w:eastAsia="Times New Roman" w:hAnsi="Times New Roman" w:cs="Times New Roman"/>
                <w:sz w:val="20"/>
                <w:szCs w:val="20"/>
                <w:lang w:eastAsia="lv-LV"/>
              </w:rPr>
            </w:pPr>
            <w:r w:rsidRPr="00552201">
              <w:rPr>
                <w:rFonts w:ascii="Times New Roman" w:eastAsia="Times New Roman" w:hAnsi="Times New Roman" w:cs="Times New Roman"/>
                <w:sz w:val="20"/>
                <w:szCs w:val="20"/>
                <w:lang w:eastAsia="lv-LV"/>
              </w:rPr>
              <w:t xml:space="preserve">2.1.1. </w:t>
            </w:r>
          </w:p>
        </w:tc>
        <w:tc>
          <w:tcPr>
            <w:tcW w:w="2369" w:type="pct"/>
            <w:tcBorders>
              <w:top w:val="outset" w:sz="6" w:space="0" w:color="414142"/>
              <w:left w:val="outset" w:sz="6" w:space="0" w:color="414142"/>
              <w:bottom w:val="outset" w:sz="6" w:space="0" w:color="414142"/>
              <w:right w:val="outset" w:sz="6" w:space="0" w:color="414142"/>
            </w:tcBorders>
          </w:tcPr>
          <w:p w14:paraId="6DF29A1B" w14:textId="77777777" w:rsidR="002D47F0" w:rsidRPr="00552201" w:rsidRDefault="002D47F0" w:rsidP="00BA6961">
            <w:pPr>
              <w:spacing w:after="0" w:line="240" w:lineRule="auto"/>
              <w:rPr>
                <w:rFonts w:ascii="Times New Roman" w:eastAsia="Times New Roman" w:hAnsi="Times New Roman" w:cs="Times New Roman"/>
                <w:sz w:val="20"/>
                <w:szCs w:val="20"/>
                <w:lang w:eastAsia="lv-LV"/>
              </w:rPr>
            </w:pPr>
            <w:r w:rsidRPr="00552201">
              <w:rPr>
                <w:rFonts w:ascii="Times New Roman" w:eastAsia="Times New Roman" w:hAnsi="Times New Roman" w:cs="Times New Roman"/>
                <w:sz w:val="20"/>
                <w:szCs w:val="20"/>
                <w:lang w:eastAsia="lv-LV"/>
              </w:rPr>
              <w:t xml:space="preserve">Lūdzam CBJR programmas projekta 2.1.nodaļas “Centrālā Baltijas jūras reģiona MVU eksporta apjomu palielināšana ”2.1.1.apakšsnodaļā “Saistītie rīcības veidi un to paredzamais ieguldījums šajos konkrētajos mērķos un </w:t>
            </w:r>
            <w:proofErr w:type="spellStart"/>
            <w:r w:rsidRPr="00552201">
              <w:rPr>
                <w:rFonts w:ascii="Times New Roman" w:eastAsia="Times New Roman" w:hAnsi="Times New Roman" w:cs="Times New Roman"/>
                <w:sz w:val="20"/>
                <w:szCs w:val="20"/>
                <w:lang w:eastAsia="lv-LV"/>
              </w:rPr>
              <w:t>makroreģionālajās</w:t>
            </w:r>
            <w:proofErr w:type="spellEnd"/>
            <w:r w:rsidRPr="00552201">
              <w:rPr>
                <w:rFonts w:ascii="Times New Roman" w:eastAsia="Times New Roman" w:hAnsi="Times New Roman" w:cs="Times New Roman"/>
                <w:sz w:val="20"/>
                <w:szCs w:val="20"/>
                <w:lang w:eastAsia="lv-LV"/>
              </w:rPr>
              <w:t xml:space="preserve"> stratēģijās un, ja nepieciešams, jūras stratēģijās” </w:t>
            </w:r>
            <w:proofErr w:type="spellStart"/>
            <w:r w:rsidRPr="00552201">
              <w:rPr>
                <w:rFonts w:ascii="Times New Roman" w:eastAsia="Times New Roman" w:hAnsi="Times New Roman" w:cs="Times New Roman"/>
                <w:sz w:val="20"/>
                <w:szCs w:val="20"/>
                <w:lang w:eastAsia="lv-LV"/>
              </w:rPr>
              <w:t>apakšsadaļā</w:t>
            </w:r>
            <w:proofErr w:type="spellEnd"/>
            <w:r w:rsidRPr="00552201">
              <w:rPr>
                <w:rFonts w:ascii="Times New Roman" w:eastAsia="Times New Roman" w:hAnsi="Times New Roman" w:cs="Times New Roman"/>
                <w:sz w:val="20"/>
                <w:szCs w:val="20"/>
                <w:lang w:eastAsia="lv-LV"/>
              </w:rPr>
              <w:t xml:space="preserve"> aprakstīt uz klasteriem balstītās pieejas būtību.</w:t>
            </w:r>
          </w:p>
          <w:p w14:paraId="0F0EF03A" w14:textId="77777777" w:rsidR="002D47F0" w:rsidRPr="00552201"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71F7DAE" w14:textId="77777777" w:rsidR="002D47F0" w:rsidRPr="00085A65" w:rsidRDefault="00085A65" w:rsidP="00BA6961">
            <w:pPr>
              <w:spacing w:after="0" w:line="240" w:lineRule="auto"/>
              <w:rPr>
                <w:rFonts w:ascii="Times New Roman" w:eastAsia="Times New Roman" w:hAnsi="Times New Roman" w:cs="Times New Roman"/>
                <w:b/>
                <w:sz w:val="20"/>
                <w:szCs w:val="20"/>
                <w:lang w:eastAsia="lv-LV"/>
              </w:rPr>
            </w:pPr>
            <w:r w:rsidRPr="00085A65">
              <w:rPr>
                <w:rFonts w:ascii="Times New Roman" w:eastAsia="Times New Roman" w:hAnsi="Times New Roman" w:cs="Times New Roman"/>
                <w:b/>
                <w:sz w:val="20"/>
                <w:szCs w:val="20"/>
                <w:lang w:eastAsia="lv-LV"/>
              </w:rPr>
              <w:t>Ņemts vērā.</w:t>
            </w:r>
          </w:p>
          <w:p w14:paraId="64A8D8D7" w14:textId="77777777" w:rsidR="00085A65" w:rsidRPr="00085A65" w:rsidRDefault="00085A65" w:rsidP="00BA6961">
            <w:pPr>
              <w:spacing w:after="0" w:line="240" w:lineRule="auto"/>
              <w:rPr>
                <w:rFonts w:ascii="Times New Roman" w:eastAsia="Times New Roman" w:hAnsi="Times New Roman" w:cs="Times New Roman"/>
                <w:sz w:val="20"/>
                <w:szCs w:val="20"/>
                <w:lang w:eastAsia="lv-LV"/>
              </w:rPr>
            </w:pPr>
          </w:p>
          <w:p w14:paraId="4B22A2A2" w14:textId="52B93AEB" w:rsidR="00085A65" w:rsidRPr="00552201" w:rsidRDefault="00085A65"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Uz klasteriem balstītas pieejas būtība tiks aprakstīta detalizēti Programmas rokasgrāmatā.</w:t>
            </w:r>
          </w:p>
        </w:tc>
        <w:tc>
          <w:tcPr>
            <w:tcW w:w="754" w:type="pct"/>
            <w:tcBorders>
              <w:top w:val="outset" w:sz="6" w:space="0" w:color="414142"/>
              <w:left w:val="outset" w:sz="6" w:space="0" w:color="414142"/>
              <w:bottom w:val="outset" w:sz="6" w:space="0" w:color="414142"/>
              <w:right w:val="outset" w:sz="6" w:space="0" w:color="414142"/>
            </w:tcBorders>
          </w:tcPr>
          <w:p w14:paraId="0AC5F839" w14:textId="77777777" w:rsidR="002D47F0" w:rsidRPr="00D73B87" w:rsidRDefault="002D47F0"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38076516"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2135A24" w14:textId="2E253682" w:rsidR="00433448" w:rsidRPr="00085A65" w:rsidRDefault="00433448" w:rsidP="00433448">
            <w:pPr>
              <w:pStyle w:val="Heading1"/>
              <w:tabs>
                <w:tab w:val="left" w:pos="654"/>
              </w:tabs>
              <w:ind w:left="1373"/>
              <w:jc w:val="center"/>
              <w:rPr>
                <w:rFonts w:ascii="Times New Roman" w:hAnsi="Times New Roman" w:cs="Times New Roman"/>
              </w:rPr>
            </w:pPr>
          </w:p>
          <w:p w14:paraId="0964ACAC" w14:textId="498C2561" w:rsidR="00433448" w:rsidRPr="00085A65" w:rsidRDefault="00433448" w:rsidP="00433448">
            <w:pPr>
              <w:pStyle w:val="Heading1"/>
              <w:tabs>
                <w:tab w:val="left" w:pos="654"/>
              </w:tabs>
              <w:ind w:left="1373"/>
              <w:jc w:val="center"/>
              <w:rPr>
                <w:rFonts w:ascii="Times New Roman" w:hAnsi="Times New Roman" w:cs="Times New Roman"/>
              </w:rPr>
            </w:pPr>
            <w:r w:rsidRPr="00085A65">
              <w:rPr>
                <w:rFonts w:ascii="Times New Roman" w:hAnsi="Times New Roman" w:cs="Times New Roman"/>
              </w:rPr>
              <w:t>2.2.Vairāk jaunu Centrālā Baltijas jūras reģiona paplašinātas izaugsmes uzņēmumu</w:t>
            </w:r>
          </w:p>
          <w:p w14:paraId="1FEF3D17" w14:textId="67CEF39D" w:rsidR="00C91BB5" w:rsidRPr="00085A65" w:rsidRDefault="00C91BB5" w:rsidP="00BA6961">
            <w:pPr>
              <w:spacing w:after="0" w:line="240" w:lineRule="auto"/>
              <w:jc w:val="center"/>
              <w:rPr>
                <w:rFonts w:ascii="Times New Roman" w:eastAsia="Times New Roman" w:hAnsi="Times New Roman" w:cs="Times New Roman"/>
                <w:b/>
                <w:bCs/>
                <w:sz w:val="20"/>
                <w:szCs w:val="20"/>
                <w:lang w:eastAsia="lv-LV"/>
              </w:rPr>
            </w:pPr>
          </w:p>
        </w:tc>
      </w:tr>
      <w:tr w:rsidR="00085A65" w:rsidRPr="00D73B87" w14:paraId="09E9C9D3"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A9920E1" w14:textId="677B7B7C" w:rsidR="00085A65"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37.</w:t>
            </w:r>
          </w:p>
        </w:tc>
        <w:tc>
          <w:tcPr>
            <w:tcW w:w="700" w:type="pct"/>
            <w:tcBorders>
              <w:top w:val="outset" w:sz="6" w:space="0" w:color="414142"/>
              <w:left w:val="outset" w:sz="6" w:space="0" w:color="414142"/>
              <w:bottom w:val="outset" w:sz="6" w:space="0" w:color="414142"/>
              <w:right w:val="outset" w:sz="6" w:space="0" w:color="414142"/>
            </w:tcBorders>
          </w:tcPr>
          <w:p w14:paraId="2F8F07EB" w14:textId="77777777" w:rsidR="00085A65" w:rsidRPr="00085A65" w:rsidRDefault="00085A65"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1D2F9458" w14:textId="3B82D65F" w:rsidR="00085A65" w:rsidRPr="00085A65" w:rsidRDefault="00085A65" w:rsidP="00C00E55">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 xml:space="preserve">2.1. </w:t>
            </w:r>
          </w:p>
        </w:tc>
        <w:tc>
          <w:tcPr>
            <w:tcW w:w="2369" w:type="pct"/>
            <w:tcBorders>
              <w:top w:val="outset" w:sz="6" w:space="0" w:color="414142"/>
              <w:left w:val="outset" w:sz="6" w:space="0" w:color="414142"/>
              <w:bottom w:val="outset" w:sz="6" w:space="0" w:color="414142"/>
              <w:right w:val="outset" w:sz="6" w:space="0" w:color="414142"/>
            </w:tcBorders>
          </w:tcPr>
          <w:p w14:paraId="455AC2DE" w14:textId="77777777" w:rsidR="00085A65" w:rsidRPr="00085A65" w:rsidRDefault="00085A65" w:rsidP="00BA6961">
            <w:pPr>
              <w:spacing w:after="0" w:line="240" w:lineRule="auto"/>
              <w:rPr>
                <w:rFonts w:ascii="Times New Roman" w:eastAsia="Times New Roman" w:hAnsi="Times New Roman" w:cs="Times New Roman"/>
                <w:sz w:val="20"/>
                <w:szCs w:val="20"/>
                <w:bdr w:val="none" w:sz="0" w:space="0" w:color="auto" w:frame="1"/>
                <w:lang w:eastAsia="lv-LV"/>
              </w:rPr>
            </w:pPr>
            <w:r w:rsidRPr="00085A65">
              <w:rPr>
                <w:rFonts w:ascii="Times New Roman" w:eastAsia="Times New Roman" w:hAnsi="Times New Roman" w:cs="Times New Roman"/>
                <w:sz w:val="20"/>
                <w:szCs w:val="20"/>
                <w:bdr w:val="none" w:sz="0" w:space="0" w:color="auto" w:frame="1"/>
                <w:lang w:eastAsia="lv-LV"/>
              </w:rPr>
              <w:t xml:space="preserve">Vēršam uzmanību, ka Programmas projekta 2.1. prioritātei “Centrālā Baltijas jūras reģiona MVU eksporta apjomu palielināšana” un 2.2. prioritātei “Vairāk jaunu Centrālā Baltijas jūras reģiona paplašinātas izaugsmes uzņēmumu” un visticamāk būs vieni un tie paši īstenotāji un atbalsta saņēmēji, līdz ar to piedāvājam šīs prioritātes apvienot vienā “Centrālā Baltijas jūras reģiona MVU </w:t>
            </w:r>
            <w:r w:rsidRPr="00085A65">
              <w:rPr>
                <w:rFonts w:ascii="Times New Roman" w:eastAsia="Times New Roman" w:hAnsi="Times New Roman" w:cs="Times New Roman"/>
                <w:sz w:val="20"/>
                <w:szCs w:val="20"/>
                <w:bdr w:val="none" w:sz="0" w:space="0" w:color="auto" w:frame="1"/>
                <w:lang w:eastAsia="lv-LV"/>
              </w:rPr>
              <w:lastRenderedPageBreak/>
              <w:t>augstas pievienotās vērtības eksporta un paplašinātas izaugsmes uzņēmumu skaita palielināšana”, tādējādi arī radot atvērtāku konkurenci par pieejamo finansējumu.</w:t>
            </w:r>
          </w:p>
          <w:p w14:paraId="45F2A2C1" w14:textId="77777777" w:rsidR="00085A65" w:rsidRPr="00085A65" w:rsidRDefault="00085A6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85A935E" w14:textId="65841313" w:rsidR="00085A65" w:rsidRPr="00D73B87" w:rsidRDefault="00085A65" w:rsidP="00BA6961">
            <w:pPr>
              <w:spacing w:after="0" w:line="240" w:lineRule="auto"/>
              <w:rPr>
                <w:rFonts w:ascii="Times New Roman" w:eastAsia="Times New Roman" w:hAnsi="Times New Roman" w:cs="Times New Roman"/>
                <w:color w:val="414142"/>
                <w:sz w:val="20"/>
                <w:szCs w:val="20"/>
                <w:lang w:eastAsia="lv-LV"/>
              </w:rPr>
            </w:pPr>
            <w:r w:rsidRPr="008017F1">
              <w:rPr>
                <w:rFonts w:ascii="Times New Roman" w:eastAsia="Times New Roman" w:hAnsi="Times New Roman" w:cs="Times New Roman"/>
                <w:b/>
                <w:sz w:val="20"/>
                <w:szCs w:val="20"/>
                <w:lang w:eastAsia="lv-LV"/>
              </w:rPr>
              <w:lastRenderedPageBreak/>
              <w:t>Nav ņemts vērā.</w:t>
            </w:r>
          </w:p>
        </w:tc>
        <w:tc>
          <w:tcPr>
            <w:tcW w:w="754" w:type="pct"/>
            <w:tcBorders>
              <w:top w:val="outset" w:sz="6" w:space="0" w:color="414142"/>
              <w:left w:val="outset" w:sz="6" w:space="0" w:color="414142"/>
              <w:bottom w:val="outset" w:sz="6" w:space="0" w:color="414142"/>
              <w:right w:val="outset" w:sz="6" w:space="0" w:color="414142"/>
            </w:tcBorders>
          </w:tcPr>
          <w:p w14:paraId="16DCB28C" w14:textId="77777777" w:rsidR="00085A65" w:rsidRPr="008017F1" w:rsidRDefault="00085A65" w:rsidP="002D09D1">
            <w:pPr>
              <w:spacing w:after="0" w:line="240" w:lineRule="auto"/>
              <w:rPr>
                <w:rFonts w:ascii="Times New Roman" w:eastAsia="Times New Roman" w:hAnsi="Times New Roman" w:cs="Times New Roman"/>
                <w:b/>
                <w:sz w:val="20"/>
                <w:szCs w:val="20"/>
                <w:lang w:eastAsia="lv-LV"/>
              </w:rPr>
            </w:pPr>
            <w:r w:rsidRPr="008017F1">
              <w:rPr>
                <w:rFonts w:ascii="Times New Roman" w:eastAsia="Times New Roman" w:hAnsi="Times New Roman" w:cs="Times New Roman"/>
                <w:b/>
                <w:sz w:val="20"/>
                <w:szCs w:val="20"/>
                <w:lang w:eastAsia="lv-LV"/>
              </w:rPr>
              <w:t>Sniegts skaidrojums.</w:t>
            </w:r>
          </w:p>
          <w:p w14:paraId="2BBA54E4" w14:textId="77777777" w:rsidR="00085A65" w:rsidRDefault="00085A65" w:rsidP="002D09D1">
            <w:pPr>
              <w:spacing w:after="0" w:line="240" w:lineRule="auto"/>
              <w:rPr>
                <w:rFonts w:ascii="Times New Roman" w:eastAsia="Times New Roman" w:hAnsi="Times New Roman" w:cs="Times New Roman"/>
                <w:color w:val="414142"/>
                <w:sz w:val="20"/>
                <w:szCs w:val="20"/>
                <w:lang w:eastAsia="lv-LV"/>
              </w:rPr>
            </w:pPr>
          </w:p>
          <w:p w14:paraId="265772DD" w14:textId="77777777" w:rsidR="00085A65" w:rsidRPr="008017F1" w:rsidRDefault="00085A65" w:rsidP="002D09D1">
            <w:pPr>
              <w:spacing w:after="0" w:line="240" w:lineRule="auto"/>
              <w:rPr>
                <w:rFonts w:ascii="Times New Roman" w:eastAsia="Times New Roman" w:hAnsi="Times New Roman" w:cs="Times New Roman"/>
                <w:sz w:val="20"/>
                <w:szCs w:val="20"/>
                <w:lang w:eastAsia="lv-LV"/>
              </w:rPr>
            </w:pPr>
            <w:r w:rsidRPr="008017F1">
              <w:rPr>
                <w:rFonts w:ascii="Times New Roman" w:eastAsia="Times New Roman" w:hAnsi="Times New Roman" w:cs="Times New Roman"/>
                <w:sz w:val="20"/>
                <w:szCs w:val="20"/>
                <w:lang w:eastAsia="lv-LV"/>
              </w:rPr>
              <w:t>Programmā tiek piedāvāt</w:t>
            </w:r>
            <w:r>
              <w:rPr>
                <w:rFonts w:ascii="Times New Roman" w:eastAsia="Times New Roman" w:hAnsi="Times New Roman" w:cs="Times New Roman"/>
                <w:sz w:val="20"/>
                <w:szCs w:val="20"/>
                <w:lang w:eastAsia="lv-LV"/>
              </w:rPr>
              <w:t>as</w:t>
            </w:r>
            <w:r w:rsidRPr="008017F1">
              <w:rPr>
                <w:rFonts w:ascii="Times New Roman" w:eastAsia="Times New Roman" w:hAnsi="Times New Roman" w:cs="Times New Roman"/>
                <w:sz w:val="20"/>
                <w:szCs w:val="20"/>
                <w:lang w:eastAsia="lv-LV"/>
              </w:rPr>
              <w:t xml:space="preserve"> divas atsevišķas prioritātes, </w:t>
            </w:r>
            <w:r w:rsidRPr="008017F1">
              <w:rPr>
                <w:rFonts w:ascii="Times New Roman" w:eastAsia="Times New Roman" w:hAnsi="Times New Roman" w:cs="Times New Roman"/>
                <w:sz w:val="20"/>
                <w:szCs w:val="20"/>
                <w:lang w:eastAsia="lv-LV"/>
              </w:rPr>
              <w:lastRenderedPageBreak/>
              <w:t>pamatojoties uz dažādām mērķa grupām un loģiku, kā labāk risināt identificētos izaicinājumus.</w:t>
            </w:r>
          </w:p>
          <w:p w14:paraId="15D43B0B" w14:textId="77777777" w:rsidR="00085A65" w:rsidRPr="00D73B87" w:rsidRDefault="00085A65"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1C3399D8"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2280846" w14:textId="01B1DD12" w:rsidR="00433448" w:rsidRPr="00085A65" w:rsidRDefault="00433448" w:rsidP="00433448">
            <w:pPr>
              <w:widowControl w:val="0"/>
              <w:tabs>
                <w:tab w:val="left" w:pos="1606"/>
              </w:tabs>
              <w:autoSpaceDE w:val="0"/>
              <w:autoSpaceDN w:val="0"/>
              <w:spacing w:before="156" w:after="0" w:line="249" w:lineRule="auto"/>
              <w:ind w:left="851" w:right="178"/>
              <w:jc w:val="center"/>
              <w:rPr>
                <w:rFonts w:ascii="Times New Roman" w:hAnsi="Times New Roman" w:cs="Times New Roman"/>
                <w:b/>
                <w:sz w:val="20"/>
              </w:rPr>
            </w:pPr>
            <w:bookmarkStart w:id="6" w:name="_Hlk69280393"/>
            <w:r w:rsidRPr="00085A65">
              <w:rPr>
                <w:rFonts w:ascii="Times New Roman" w:hAnsi="Times New Roman" w:cs="Times New Roman"/>
                <w:b/>
                <w:sz w:val="20"/>
              </w:rPr>
              <w:lastRenderedPageBreak/>
              <w:t xml:space="preserve">2.2.1.Saistītie rīcības veidi un to paredzamais ieguldījums šajos konkrētajos mērķos un </w:t>
            </w:r>
            <w:proofErr w:type="spellStart"/>
            <w:r w:rsidRPr="00085A65">
              <w:rPr>
                <w:rFonts w:ascii="Times New Roman" w:hAnsi="Times New Roman" w:cs="Times New Roman"/>
                <w:b/>
                <w:sz w:val="20"/>
              </w:rPr>
              <w:t>makroreģionālajās</w:t>
            </w:r>
            <w:proofErr w:type="spellEnd"/>
            <w:r w:rsidRPr="00085A65">
              <w:rPr>
                <w:rFonts w:ascii="Times New Roman" w:hAnsi="Times New Roman" w:cs="Times New Roman"/>
                <w:b/>
                <w:sz w:val="20"/>
              </w:rPr>
              <w:t xml:space="preserve"> stratēģijās un, ja nepieciešams, jūras stratēģijās</w:t>
            </w:r>
          </w:p>
          <w:p w14:paraId="4EBBF85B" w14:textId="51BD31B0" w:rsidR="00C91BB5" w:rsidRPr="00085A65" w:rsidRDefault="00C91BB5" w:rsidP="00BA6961">
            <w:pPr>
              <w:spacing w:after="0" w:line="240" w:lineRule="auto"/>
              <w:jc w:val="center"/>
              <w:rPr>
                <w:rFonts w:ascii="Times New Roman" w:eastAsia="Times New Roman" w:hAnsi="Times New Roman" w:cs="Times New Roman"/>
                <w:b/>
                <w:bCs/>
                <w:sz w:val="20"/>
                <w:szCs w:val="20"/>
                <w:lang w:eastAsia="lv-LV"/>
              </w:rPr>
            </w:pPr>
          </w:p>
        </w:tc>
      </w:tr>
      <w:bookmarkEnd w:id="6"/>
      <w:tr w:rsidR="006404DD" w:rsidRPr="00D73B87" w14:paraId="3C8C5E2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E13B09B" w14:textId="073D2E86" w:rsidR="006404DD"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38.</w:t>
            </w:r>
          </w:p>
        </w:tc>
        <w:tc>
          <w:tcPr>
            <w:tcW w:w="700" w:type="pct"/>
            <w:tcBorders>
              <w:top w:val="outset" w:sz="6" w:space="0" w:color="414142"/>
              <w:left w:val="outset" w:sz="6" w:space="0" w:color="414142"/>
              <w:bottom w:val="outset" w:sz="6" w:space="0" w:color="414142"/>
              <w:right w:val="outset" w:sz="6" w:space="0" w:color="414142"/>
            </w:tcBorders>
          </w:tcPr>
          <w:p w14:paraId="646B0F29" w14:textId="77777777" w:rsidR="006404DD" w:rsidRPr="00085A65" w:rsidRDefault="006404DD"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7A318476" w14:textId="2566C238" w:rsidR="006404DD" w:rsidRPr="00085A65" w:rsidRDefault="006404DD" w:rsidP="00C00E55">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 xml:space="preserve"> 2.2.1. </w:t>
            </w:r>
          </w:p>
        </w:tc>
        <w:tc>
          <w:tcPr>
            <w:tcW w:w="2369" w:type="pct"/>
            <w:tcBorders>
              <w:top w:val="outset" w:sz="6" w:space="0" w:color="414142"/>
              <w:left w:val="outset" w:sz="6" w:space="0" w:color="414142"/>
              <w:bottom w:val="outset" w:sz="6" w:space="0" w:color="414142"/>
              <w:right w:val="outset" w:sz="6" w:space="0" w:color="414142"/>
            </w:tcBorders>
          </w:tcPr>
          <w:p w14:paraId="58B3AAA3" w14:textId="77777777" w:rsidR="006404DD" w:rsidRPr="00085A65" w:rsidRDefault="006404DD"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b/>
                <w:bCs/>
                <w:sz w:val="20"/>
                <w:szCs w:val="20"/>
                <w:lang w:eastAsia="lv-LV"/>
              </w:rPr>
              <w:t>Saturs:</w:t>
            </w:r>
            <w:r w:rsidRPr="00085A65">
              <w:rPr>
                <w:rFonts w:ascii="Times New Roman" w:eastAsia="Times New Roman" w:hAnsi="Times New Roman" w:cs="Times New Roman"/>
                <w:sz w:val="20"/>
                <w:szCs w:val="20"/>
                <w:lang w:eastAsia="lv-LV"/>
              </w:rPr>
              <w:t xml:space="preserve"> </w:t>
            </w:r>
            <w:r w:rsidRPr="00085A65">
              <w:rPr>
                <w:rFonts w:ascii="Times New Roman" w:eastAsia="Times New Roman" w:hAnsi="Times New Roman" w:cs="Times New Roman"/>
                <w:sz w:val="20"/>
                <w:szCs w:val="20"/>
                <w:u w:val="single"/>
                <w:lang w:eastAsia="lv-LV"/>
              </w:rPr>
              <w:t>Potenciālie partneri</w:t>
            </w:r>
          </w:p>
          <w:p w14:paraId="7FA60E25" w14:textId="77777777" w:rsidR="006404DD" w:rsidRPr="00085A65" w:rsidRDefault="006404DD"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Nekomerciālas organizācijas ar kompetenci un pieredzi jaunu uzņēmumu attīstībā, produktu attīstībā un internacionalizācijā, piemēram, uzņēmējdarbības attīstības organizācijas, zinātnes parki, uzņēmumu asociācijas un reģionālās attīstības aģentūras.</w:t>
            </w:r>
          </w:p>
          <w:p w14:paraId="2079A6F7" w14:textId="77777777" w:rsidR="006404DD" w:rsidRPr="00085A65" w:rsidRDefault="006404DD" w:rsidP="00BA6961">
            <w:pPr>
              <w:spacing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b/>
                <w:bCs/>
                <w:sz w:val="20"/>
                <w:szCs w:val="20"/>
                <w:lang w:eastAsia="lv-LV"/>
              </w:rPr>
              <w:t>Komentārs</w:t>
            </w:r>
            <w:r w:rsidRPr="00085A65">
              <w:rPr>
                <w:rFonts w:ascii="Times New Roman" w:eastAsia="Times New Roman" w:hAnsi="Times New Roman" w:cs="Times New Roman"/>
                <w:sz w:val="20"/>
                <w:szCs w:val="20"/>
                <w:lang w:eastAsia="lv-LV"/>
              </w:rPr>
              <w:t xml:space="preserve">: </w:t>
            </w:r>
            <w:r w:rsidRPr="00085A65">
              <w:rPr>
                <w:rFonts w:ascii="Times New Roman" w:eastAsia="Times New Roman" w:hAnsi="Times New Roman" w:cs="Times New Roman"/>
                <w:i/>
                <w:iCs/>
                <w:sz w:val="20"/>
                <w:szCs w:val="20"/>
                <w:lang w:eastAsia="lv-LV"/>
              </w:rPr>
              <w:t>Lūdzam izskatīt iespēju papildināt esošo redakciju, izsakot to sekojoši:</w:t>
            </w:r>
            <w:r w:rsidRPr="00085A65">
              <w:rPr>
                <w:rFonts w:ascii="Times New Roman" w:eastAsia="Times New Roman" w:hAnsi="Times New Roman" w:cs="Times New Roman"/>
                <w:b/>
                <w:bCs/>
                <w:sz w:val="20"/>
                <w:szCs w:val="20"/>
                <w:lang w:eastAsia="lv-LV"/>
              </w:rPr>
              <w:t xml:space="preserve"> </w:t>
            </w:r>
            <w:r w:rsidRPr="00085A65">
              <w:rPr>
                <w:rFonts w:ascii="Times New Roman" w:eastAsia="Times New Roman" w:hAnsi="Times New Roman" w:cs="Times New Roman"/>
                <w:sz w:val="20"/>
                <w:szCs w:val="20"/>
                <w:lang w:eastAsia="lv-LV"/>
              </w:rPr>
              <w:t xml:space="preserve">Nekomerciālas organizācijas ar kompetenci un pieredzi jaunu uzņēmumu attīstībā, produktu attīstībā un internacionalizācijā, piemēram, uzņēmējdarbības attīstības organizācijas, zinātnes parki, </w:t>
            </w:r>
            <w:r w:rsidRPr="00085A65">
              <w:rPr>
                <w:rFonts w:ascii="Times New Roman" w:eastAsia="Times New Roman" w:hAnsi="Times New Roman" w:cs="Times New Roman"/>
                <w:b/>
                <w:bCs/>
                <w:sz w:val="20"/>
                <w:szCs w:val="20"/>
                <w:u w:val="single"/>
                <w:lang w:eastAsia="lv-LV"/>
              </w:rPr>
              <w:t>industriālie parki</w:t>
            </w:r>
            <w:r w:rsidRPr="00085A65">
              <w:rPr>
                <w:rFonts w:ascii="Times New Roman" w:eastAsia="Times New Roman" w:hAnsi="Times New Roman" w:cs="Times New Roman"/>
                <w:b/>
                <w:bCs/>
                <w:sz w:val="20"/>
                <w:szCs w:val="20"/>
                <w:lang w:eastAsia="lv-LV"/>
              </w:rPr>
              <w:t>,</w:t>
            </w:r>
            <w:r w:rsidRPr="00085A65">
              <w:rPr>
                <w:rFonts w:ascii="Times New Roman" w:eastAsia="Times New Roman" w:hAnsi="Times New Roman" w:cs="Times New Roman"/>
                <w:sz w:val="20"/>
                <w:szCs w:val="20"/>
                <w:lang w:eastAsia="lv-LV"/>
              </w:rPr>
              <w:t xml:space="preserve"> uzņēmumu asociācijas un reģionālās attīstības aģentūras.</w:t>
            </w:r>
          </w:p>
        </w:tc>
        <w:tc>
          <w:tcPr>
            <w:tcW w:w="539" w:type="pct"/>
            <w:tcBorders>
              <w:top w:val="outset" w:sz="6" w:space="0" w:color="414142"/>
              <w:left w:val="outset" w:sz="6" w:space="0" w:color="414142"/>
              <w:bottom w:val="outset" w:sz="6" w:space="0" w:color="414142"/>
              <w:right w:val="outset" w:sz="6" w:space="0" w:color="414142"/>
            </w:tcBorders>
          </w:tcPr>
          <w:p w14:paraId="76071F94" w14:textId="12EED6A2" w:rsidR="006404DD" w:rsidRPr="003D7400" w:rsidRDefault="00085A65" w:rsidP="00BA6961">
            <w:pPr>
              <w:spacing w:after="0" w:line="240" w:lineRule="auto"/>
              <w:rPr>
                <w:rFonts w:ascii="Times New Roman" w:eastAsia="Times New Roman" w:hAnsi="Times New Roman" w:cs="Times New Roman"/>
                <w:b/>
                <w:sz w:val="20"/>
                <w:szCs w:val="20"/>
                <w:lang w:eastAsia="lv-LV"/>
              </w:rPr>
            </w:pPr>
            <w:r w:rsidRPr="003D7400">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25A5E9F9" w14:textId="77777777" w:rsidR="006404DD" w:rsidRPr="003D7400" w:rsidRDefault="00085A65" w:rsidP="00BA6961">
            <w:pPr>
              <w:spacing w:after="0" w:line="240" w:lineRule="auto"/>
              <w:rPr>
                <w:rFonts w:ascii="Times New Roman" w:eastAsia="Times New Roman" w:hAnsi="Times New Roman" w:cs="Times New Roman"/>
                <w:b/>
                <w:sz w:val="20"/>
                <w:szCs w:val="20"/>
                <w:lang w:eastAsia="lv-LV"/>
              </w:rPr>
            </w:pPr>
            <w:r w:rsidRPr="003D7400">
              <w:rPr>
                <w:rFonts w:ascii="Times New Roman" w:eastAsia="Times New Roman" w:hAnsi="Times New Roman" w:cs="Times New Roman"/>
                <w:b/>
                <w:sz w:val="20"/>
                <w:szCs w:val="20"/>
                <w:lang w:eastAsia="lv-LV"/>
              </w:rPr>
              <w:t>Sniegts skaidrojums.</w:t>
            </w:r>
          </w:p>
          <w:p w14:paraId="690DCB9F" w14:textId="77777777" w:rsidR="00085A65" w:rsidRDefault="00085A65" w:rsidP="00BA6961">
            <w:pPr>
              <w:spacing w:after="0" w:line="240" w:lineRule="auto"/>
              <w:rPr>
                <w:rFonts w:ascii="Times New Roman" w:eastAsia="Times New Roman" w:hAnsi="Times New Roman" w:cs="Times New Roman"/>
                <w:color w:val="414142"/>
                <w:sz w:val="20"/>
                <w:szCs w:val="20"/>
                <w:lang w:eastAsia="lv-LV"/>
              </w:rPr>
            </w:pPr>
          </w:p>
          <w:p w14:paraId="0A536668" w14:textId="63B46018" w:rsidR="00085A65" w:rsidRPr="00D73B87" w:rsidRDefault="00085A65" w:rsidP="00085A65">
            <w:pPr>
              <w:spacing w:after="0" w:line="240" w:lineRule="auto"/>
              <w:rPr>
                <w:rFonts w:ascii="Times New Roman" w:eastAsia="Times New Roman" w:hAnsi="Times New Roman" w:cs="Times New Roman"/>
                <w:color w:val="414142"/>
                <w:sz w:val="20"/>
                <w:szCs w:val="20"/>
                <w:lang w:eastAsia="lv-LV"/>
              </w:rPr>
            </w:pPr>
            <w:r w:rsidRPr="003D7400">
              <w:rPr>
                <w:rFonts w:ascii="Times New Roman" w:eastAsia="Times New Roman" w:hAnsi="Times New Roman" w:cs="Times New Roman"/>
                <w:sz w:val="20"/>
                <w:szCs w:val="20"/>
                <w:lang w:eastAsia="lv-LV"/>
              </w:rPr>
              <w:t>Industriālie parki nav izslēgti no potenci</w:t>
            </w:r>
            <w:r w:rsidR="003D7400" w:rsidRPr="003D7400">
              <w:rPr>
                <w:rFonts w:ascii="Times New Roman" w:eastAsia="Times New Roman" w:hAnsi="Times New Roman" w:cs="Times New Roman"/>
                <w:sz w:val="20"/>
                <w:szCs w:val="20"/>
                <w:lang w:eastAsia="lv-LV"/>
              </w:rPr>
              <w:t xml:space="preserve">ālo partneru saraksta, ja vien tiem ir atbilstoša kompetence. </w:t>
            </w:r>
            <w:r w:rsidRPr="003D7400">
              <w:rPr>
                <w:rFonts w:ascii="Times New Roman" w:eastAsia="Times New Roman" w:hAnsi="Times New Roman" w:cs="Times New Roman"/>
                <w:sz w:val="20"/>
                <w:szCs w:val="20"/>
                <w:lang w:eastAsia="lv-LV"/>
              </w:rPr>
              <w:t xml:space="preserve">Saraksts ir atvērts, jo sākas ar “piemēram”, vienlaikus Programmas Vadošā iestāde/Kopīgais sekretariāts norāda, ka industriālie parki parasti šajā uzņēmējdarbības jomā nedarbojas. </w:t>
            </w:r>
          </w:p>
        </w:tc>
      </w:tr>
      <w:tr w:rsidR="004A0A38" w:rsidRPr="00D73B87" w14:paraId="000CF9E4"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1609A79" w14:textId="77777777" w:rsidR="00433448" w:rsidRPr="00C82F80" w:rsidRDefault="00433448" w:rsidP="00433448">
            <w:pPr>
              <w:pStyle w:val="Heading1"/>
              <w:tabs>
                <w:tab w:val="left" w:pos="657"/>
              </w:tabs>
              <w:spacing w:line="244" w:lineRule="auto"/>
              <w:ind w:left="271" w:right="1137"/>
              <w:jc w:val="center"/>
              <w:rPr>
                <w:rFonts w:ascii="Times New Roman" w:hAnsi="Times New Roman" w:cs="Times New Roman"/>
              </w:rPr>
            </w:pPr>
            <w:bookmarkStart w:id="7" w:name="_Hlk69280445"/>
          </w:p>
          <w:p w14:paraId="4158E94F" w14:textId="0AFB602E" w:rsidR="00433448" w:rsidRPr="00C82F80" w:rsidRDefault="00433448" w:rsidP="00433448">
            <w:pPr>
              <w:pStyle w:val="Heading1"/>
              <w:tabs>
                <w:tab w:val="left" w:pos="657"/>
              </w:tabs>
              <w:spacing w:line="244" w:lineRule="auto"/>
              <w:ind w:left="271" w:right="1137"/>
              <w:jc w:val="center"/>
              <w:rPr>
                <w:rFonts w:ascii="Times New Roman" w:hAnsi="Times New Roman" w:cs="Times New Roman"/>
              </w:rPr>
            </w:pPr>
            <w:r w:rsidRPr="00C82F80">
              <w:rPr>
                <w:rFonts w:ascii="Times New Roman" w:hAnsi="Times New Roman" w:cs="Times New Roman"/>
              </w:rPr>
              <w:t>2.3.Centrālā Baltijas jūras reģiona aprites ekonomikas risinājumi, lai samazinātu neapstrādātu materiālu izmantošanu, atkritumu apjomu un palielinātu produktu atkārtotu izmantošanu</w:t>
            </w:r>
          </w:p>
          <w:p w14:paraId="4D7441CB" w14:textId="4ABCA028" w:rsidR="004A0A38" w:rsidRPr="00C82F80" w:rsidRDefault="004A0A38" w:rsidP="00BA6961">
            <w:pPr>
              <w:spacing w:after="0" w:line="240" w:lineRule="auto"/>
              <w:jc w:val="center"/>
              <w:rPr>
                <w:rFonts w:ascii="Times New Roman" w:eastAsia="Times New Roman" w:hAnsi="Times New Roman" w:cs="Times New Roman"/>
                <w:b/>
                <w:bCs/>
                <w:sz w:val="20"/>
                <w:szCs w:val="20"/>
                <w:lang w:eastAsia="lv-LV"/>
              </w:rPr>
            </w:pPr>
          </w:p>
        </w:tc>
      </w:tr>
      <w:bookmarkEnd w:id="7"/>
      <w:tr w:rsidR="00FA41E6" w:rsidRPr="00D73B87" w14:paraId="15E7CD04"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FA46C1B" w14:textId="512E826D" w:rsidR="00FA41E6" w:rsidRPr="00C82F80"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w:t>
            </w:r>
          </w:p>
        </w:tc>
        <w:tc>
          <w:tcPr>
            <w:tcW w:w="700" w:type="pct"/>
            <w:tcBorders>
              <w:top w:val="outset" w:sz="6" w:space="0" w:color="414142"/>
              <w:left w:val="outset" w:sz="6" w:space="0" w:color="414142"/>
              <w:bottom w:val="outset" w:sz="6" w:space="0" w:color="414142"/>
              <w:right w:val="outset" w:sz="6" w:space="0" w:color="414142"/>
            </w:tcBorders>
          </w:tcPr>
          <w:p w14:paraId="71D41714" w14:textId="77777777" w:rsidR="00FA41E6" w:rsidRPr="00C82F80" w:rsidRDefault="00FA41E6" w:rsidP="00BA6961">
            <w:pPr>
              <w:spacing w:after="0" w:line="240" w:lineRule="auto"/>
              <w:rPr>
                <w:rFonts w:ascii="Times New Roman" w:eastAsia="Times New Roman" w:hAnsi="Times New Roman" w:cs="Times New Roman"/>
                <w:sz w:val="20"/>
                <w:szCs w:val="20"/>
                <w:lang w:eastAsia="lv-LV"/>
              </w:rPr>
            </w:pPr>
            <w:r w:rsidRPr="00C82F80">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70866135" w14:textId="7235B1A9" w:rsidR="00FA41E6" w:rsidRPr="00C82F80" w:rsidRDefault="00FA41E6" w:rsidP="00C00E55">
            <w:pPr>
              <w:spacing w:after="0" w:line="240" w:lineRule="auto"/>
              <w:rPr>
                <w:rFonts w:ascii="Times New Roman" w:eastAsia="Times New Roman" w:hAnsi="Times New Roman" w:cs="Times New Roman"/>
                <w:sz w:val="20"/>
                <w:szCs w:val="20"/>
                <w:lang w:eastAsia="lv-LV"/>
              </w:rPr>
            </w:pPr>
            <w:r w:rsidRPr="00C82F80">
              <w:rPr>
                <w:rFonts w:ascii="Times New Roman" w:eastAsia="Times New Roman" w:hAnsi="Times New Roman" w:cs="Times New Roman"/>
                <w:sz w:val="20"/>
                <w:szCs w:val="20"/>
                <w:lang w:eastAsia="lv-LV"/>
              </w:rPr>
              <w:t>2.3.</w:t>
            </w:r>
          </w:p>
        </w:tc>
        <w:tc>
          <w:tcPr>
            <w:tcW w:w="2369" w:type="pct"/>
            <w:tcBorders>
              <w:top w:val="outset" w:sz="6" w:space="0" w:color="414142"/>
              <w:left w:val="outset" w:sz="6" w:space="0" w:color="414142"/>
              <w:bottom w:val="outset" w:sz="6" w:space="0" w:color="414142"/>
              <w:right w:val="outset" w:sz="6" w:space="0" w:color="414142"/>
            </w:tcBorders>
          </w:tcPr>
          <w:p w14:paraId="6E4C33B3" w14:textId="77777777" w:rsidR="00FA41E6" w:rsidRPr="00C82F80"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C82F80">
              <w:rPr>
                <w:rFonts w:ascii="Times New Roman" w:eastAsia="Times New Roman" w:hAnsi="Times New Roman" w:cs="Times New Roman"/>
                <w:sz w:val="20"/>
                <w:szCs w:val="20"/>
                <w:bdr w:val="none" w:sz="0" w:space="0" w:color="auto" w:frame="1"/>
                <w:lang w:eastAsia="lv-LV"/>
              </w:rPr>
              <w:t xml:space="preserve">Aicinām papildināt 2.3. prioritātes “Centrālā Baltijas jūras reģiona aprites ekonomikas risinājumi, lai samazinātu neapstrādātu materiālu izmantošanu, atkritumu apjomu un palielinātu produktu atkārtotu izmantošanu” atbalstīto indikatīvo kopīgo darbību uzskaitījumu, iekļaujot tajā “Kopīgu produktu attīstības </w:t>
            </w:r>
            <w:proofErr w:type="spellStart"/>
            <w:r w:rsidRPr="00C82F80">
              <w:rPr>
                <w:rFonts w:ascii="Times New Roman" w:eastAsia="Times New Roman" w:hAnsi="Times New Roman" w:cs="Times New Roman"/>
                <w:sz w:val="20"/>
                <w:szCs w:val="20"/>
                <w:bdr w:val="none" w:sz="0" w:space="0" w:color="auto" w:frame="1"/>
                <w:lang w:eastAsia="lv-LV"/>
              </w:rPr>
              <w:t>prototipēšanas</w:t>
            </w:r>
            <w:proofErr w:type="spellEnd"/>
            <w:r w:rsidRPr="00C82F80">
              <w:rPr>
                <w:rFonts w:ascii="Times New Roman" w:eastAsia="Times New Roman" w:hAnsi="Times New Roman" w:cs="Times New Roman"/>
                <w:sz w:val="20"/>
                <w:szCs w:val="20"/>
                <w:bdr w:val="none" w:sz="0" w:space="0" w:color="auto" w:frame="1"/>
                <w:lang w:eastAsia="lv-LV"/>
              </w:rPr>
              <w:t xml:space="preserve"> aktivitātes, pārrobežu </w:t>
            </w:r>
            <w:proofErr w:type="spellStart"/>
            <w:r w:rsidRPr="00C82F80">
              <w:rPr>
                <w:rFonts w:ascii="Times New Roman" w:eastAsia="Times New Roman" w:hAnsi="Times New Roman" w:cs="Times New Roman"/>
                <w:sz w:val="20"/>
                <w:szCs w:val="20"/>
                <w:bdr w:val="none" w:sz="0" w:space="0" w:color="auto" w:frame="1"/>
                <w:lang w:eastAsia="lv-LV"/>
              </w:rPr>
              <w:t>hakatoni</w:t>
            </w:r>
            <w:proofErr w:type="spellEnd"/>
            <w:r w:rsidRPr="00C82F80">
              <w:rPr>
                <w:rFonts w:ascii="Times New Roman" w:eastAsia="Times New Roman" w:hAnsi="Times New Roman" w:cs="Times New Roman"/>
                <w:sz w:val="20"/>
                <w:szCs w:val="20"/>
                <w:bdr w:val="none" w:sz="0" w:space="0" w:color="auto" w:frame="1"/>
                <w:lang w:eastAsia="lv-LV"/>
              </w:rPr>
              <w:t>”.</w:t>
            </w:r>
          </w:p>
          <w:p w14:paraId="7C684732" w14:textId="77777777" w:rsidR="00FA41E6" w:rsidRPr="00C82F80"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7803C07" w14:textId="6F701C65" w:rsidR="00FA41E6" w:rsidRPr="00867DED" w:rsidRDefault="00867DED" w:rsidP="00BA6961">
            <w:pPr>
              <w:spacing w:after="0" w:line="240" w:lineRule="auto"/>
              <w:rPr>
                <w:rFonts w:ascii="Times New Roman" w:eastAsia="Times New Roman" w:hAnsi="Times New Roman" w:cs="Times New Roman"/>
                <w:b/>
                <w:sz w:val="20"/>
                <w:szCs w:val="20"/>
                <w:lang w:eastAsia="lv-LV"/>
              </w:rPr>
            </w:pPr>
            <w:r w:rsidRPr="00867DE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1D8BC3EB" w14:textId="77777777" w:rsidR="00FA41E6" w:rsidRPr="00C82F80" w:rsidRDefault="00FA41E6" w:rsidP="00BA6961">
            <w:pPr>
              <w:spacing w:after="0" w:line="240" w:lineRule="auto"/>
              <w:rPr>
                <w:rFonts w:ascii="Times New Roman" w:eastAsia="Times New Roman" w:hAnsi="Times New Roman" w:cs="Times New Roman"/>
                <w:sz w:val="20"/>
                <w:szCs w:val="20"/>
                <w:lang w:eastAsia="lv-LV"/>
              </w:rPr>
            </w:pPr>
          </w:p>
        </w:tc>
      </w:tr>
      <w:tr w:rsidR="004A0A38" w:rsidRPr="00D73B87" w14:paraId="677CCB9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CCC5760" w14:textId="6F239300" w:rsidR="00433448" w:rsidRPr="00867DED" w:rsidRDefault="00433448" w:rsidP="00433448">
            <w:pPr>
              <w:widowControl w:val="0"/>
              <w:tabs>
                <w:tab w:val="left" w:pos="1606"/>
              </w:tabs>
              <w:autoSpaceDE w:val="0"/>
              <w:autoSpaceDN w:val="0"/>
              <w:spacing w:before="155" w:after="0" w:line="247" w:lineRule="auto"/>
              <w:ind w:left="851" w:right="178"/>
              <w:jc w:val="center"/>
              <w:rPr>
                <w:rFonts w:ascii="Times New Roman" w:hAnsi="Times New Roman" w:cs="Times New Roman"/>
                <w:b/>
                <w:sz w:val="20"/>
              </w:rPr>
            </w:pPr>
            <w:r w:rsidRPr="00867DED">
              <w:rPr>
                <w:rFonts w:ascii="Times New Roman" w:hAnsi="Times New Roman" w:cs="Times New Roman"/>
                <w:b/>
                <w:sz w:val="20"/>
              </w:rPr>
              <w:t xml:space="preserve">2.3.1.Saistītie rīcības veidi un to paredzamais ieguldījums šajos konkrētajos mērķos un </w:t>
            </w:r>
            <w:proofErr w:type="spellStart"/>
            <w:r w:rsidRPr="00867DED">
              <w:rPr>
                <w:rFonts w:ascii="Times New Roman" w:hAnsi="Times New Roman" w:cs="Times New Roman"/>
                <w:b/>
                <w:sz w:val="20"/>
              </w:rPr>
              <w:t>makroreģionālajās</w:t>
            </w:r>
            <w:proofErr w:type="spellEnd"/>
            <w:r w:rsidRPr="00867DED">
              <w:rPr>
                <w:rFonts w:ascii="Times New Roman" w:hAnsi="Times New Roman" w:cs="Times New Roman"/>
                <w:b/>
                <w:sz w:val="20"/>
              </w:rPr>
              <w:t xml:space="preserve"> stratēģijās un, ja nepieciešams, jūras stratēģijās</w:t>
            </w:r>
          </w:p>
          <w:p w14:paraId="2D245FD2" w14:textId="51A5B2E2"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FA41E6" w:rsidRPr="00D73B87" w14:paraId="5AFD52D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CC48799" w14:textId="004E6ED6"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40.</w:t>
            </w:r>
          </w:p>
        </w:tc>
        <w:tc>
          <w:tcPr>
            <w:tcW w:w="700" w:type="pct"/>
            <w:tcBorders>
              <w:top w:val="outset" w:sz="6" w:space="0" w:color="414142"/>
              <w:left w:val="outset" w:sz="6" w:space="0" w:color="414142"/>
              <w:bottom w:val="outset" w:sz="6" w:space="0" w:color="414142"/>
              <w:right w:val="outset" w:sz="6" w:space="0" w:color="414142"/>
            </w:tcBorders>
          </w:tcPr>
          <w:p w14:paraId="4A92F0D7"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022E567B" w14:textId="10EDA000"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2.3.1. </w:t>
            </w:r>
          </w:p>
        </w:tc>
        <w:tc>
          <w:tcPr>
            <w:tcW w:w="2369" w:type="pct"/>
            <w:tcBorders>
              <w:top w:val="outset" w:sz="6" w:space="0" w:color="414142"/>
              <w:left w:val="outset" w:sz="6" w:space="0" w:color="414142"/>
              <w:bottom w:val="outset" w:sz="6" w:space="0" w:color="414142"/>
              <w:right w:val="outset" w:sz="6" w:space="0" w:color="414142"/>
            </w:tcBorders>
          </w:tcPr>
          <w:p w14:paraId="46B84F27"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2.3. prioritātes 2.3.1. apakš sadaļā norādītas galvenās EK Aprites ekonomikas rīcības plānā noteiktās produktu vērtības ķēdes. Aicinām norādīt, ka sniegtais ķēžu uzskaitījums nav ierobežojošs, proti, ka šīs prioritātes kontekstā iespējamas arī aktivitātes saistībā ar citu, šajā sarakstā neuzskaitītu jomu produktu vērtības ķēdēm.</w:t>
            </w:r>
          </w:p>
          <w:p w14:paraId="27C153ED"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EBD83E3" w14:textId="1D851CC5" w:rsidR="00FA41E6" w:rsidRPr="000F5259" w:rsidRDefault="000F5259" w:rsidP="00BA6961">
            <w:pPr>
              <w:spacing w:after="0" w:line="240" w:lineRule="auto"/>
              <w:rPr>
                <w:rFonts w:ascii="Times New Roman" w:eastAsia="Times New Roman" w:hAnsi="Times New Roman" w:cs="Times New Roman"/>
                <w:b/>
                <w:sz w:val="20"/>
                <w:szCs w:val="20"/>
                <w:lang w:eastAsia="lv-LV"/>
              </w:rPr>
            </w:pPr>
            <w:r w:rsidRPr="000F525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07797EAC"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r>
      <w:tr w:rsidR="004A0A38" w:rsidRPr="00D73B87" w14:paraId="58C3A5DA"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1E5E117" w14:textId="77777777" w:rsidR="00433448" w:rsidRPr="00867DED" w:rsidRDefault="00433448" w:rsidP="00433448">
            <w:pPr>
              <w:pStyle w:val="Heading1"/>
              <w:tabs>
                <w:tab w:val="left" w:pos="657"/>
              </w:tabs>
              <w:spacing w:line="247" w:lineRule="auto"/>
              <w:ind w:left="0" w:right="409"/>
              <w:jc w:val="center"/>
              <w:rPr>
                <w:rFonts w:ascii="Times New Roman" w:hAnsi="Times New Roman" w:cs="Times New Roman"/>
              </w:rPr>
            </w:pPr>
          </w:p>
          <w:p w14:paraId="60B8E7C2" w14:textId="309FD9A4" w:rsidR="00433448" w:rsidRPr="00867DED" w:rsidRDefault="00433448" w:rsidP="00433448">
            <w:pPr>
              <w:pStyle w:val="Heading1"/>
              <w:tabs>
                <w:tab w:val="left" w:pos="657"/>
              </w:tabs>
              <w:spacing w:line="247" w:lineRule="auto"/>
              <w:ind w:left="0" w:right="409"/>
              <w:jc w:val="center"/>
              <w:rPr>
                <w:rFonts w:ascii="Times New Roman" w:hAnsi="Times New Roman" w:cs="Times New Roman"/>
              </w:rPr>
            </w:pPr>
            <w:r w:rsidRPr="00867DED">
              <w:rPr>
                <w:rFonts w:ascii="Times New Roman" w:hAnsi="Times New Roman" w:cs="Times New Roman"/>
              </w:rPr>
              <w:t xml:space="preserve">2.4.Samazināts CO2 emisiju daudzums Centrālajā Baltijas jūras reģionā, uzlabojot </w:t>
            </w:r>
            <w:proofErr w:type="spellStart"/>
            <w:r w:rsidRPr="00867DED">
              <w:rPr>
                <w:rFonts w:ascii="Times New Roman" w:hAnsi="Times New Roman" w:cs="Times New Roman"/>
              </w:rPr>
              <w:t>intermodālo</w:t>
            </w:r>
            <w:proofErr w:type="spellEnd"/>
            <w:r w:rsidRPr="00867DED">
              <w:rPr>
                <w:rFonts w:ascii="Times New Roman" w:hAnsi="Times New Roman" w:cs="Times New Roman"/>
              </w:rPr>
              <w:t xml:space="preserve"> mobilitāti</w:t>
            </w:r>
          </w:p>
          <w:p w14:paraId="79AC0EE0" w14:textId="5D27F398"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FA41E6" w:rsidRPr="00D73B87" w14:paraId="4CAFDBF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DB37FAB" w14:textId="5BFEB60C"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w:t>
            </w:r>
          </w:p>
        </w:tc>
        <w:tc>
          <w:tcPr>
            <w:tcW w:w="700" w:type="pct"/>
            <w:tcBorders>
              <w:top w:val="outset" w:sz="6" w:space="0" w:color="414142"/>
              <w:left w:val="outset" w:sz="6" w:space="0" w:color="414142"/>
              <w:bottom w:val="outset" w:sz="6" w:space="0" w:color="414142"/>
              <w:right w:val="outset" w:sz="6" w:space="0" w:color="414142"/>
            </w:tcBorders>
          </w:tcPr>
          <w:p w14:paraId="0A357DCB"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412790D7" w14:textId="071FE05E"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2.4. </w:t>
            </w:r>
          </w:p>
        </w:tc>
        <w:tc>
          <w:tcPr>
            <w:tcW w:w="2369" w:type="pct"/>
            <w:tcBorders>
              <w:top w:val="outset" w:sz="6" w:space="0" w:color="414142"/>
              <w:left w:val="outset" w:sz="6" w:space="0" w:color="414142"/>
              <w:bottom w:val="outset" w:sz="6" w:space="0" w:color="414142"/>
              <w:right w:val="outset" w:sz="6" w:space="0" w:color="414142"/>
            </w:tcBorders>
          </w:tcPr>
          <w:p w14:paraId="25EC5582"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Aicinām papildināt 2.4. prioritātes “Samazināts CO2 emisiju daudzums Centrālajā Baltijas jūras reģionā, uzlabojot </w:t>
            </w:r>
            <w:proofErr w:type="spellStart"/>
            <w:r w:rsidRPr="00867DED">
              <w:rPr>
                <w:rFonts w:ascii="Times New Roman" w:eastAsia="Times New Roman" w:hAnsi="Times New Roman" w:cs="Times New Roman"/>
                <w:sz w:val="20"/>
                <w:szCs w:val="20"/>
                <w:bdr w:val="none" w:sz="0" w:space="0" w:color="auto" w:frame="1"/>
                <w:lang w:eastAsia="lv-LV"/>
              </w:rPr>
              <w:t>intermodālo</w:t>
            </w:r>
            <w:proofErr w:type="spellEnd"/>
            <w:r w:rsidRPr="00867DED">
              <w:rPr>
                <w:rFonts w:ascii="Times New Roman" w:eastAsia="Times New Roman" w:hAnsi="Times New Roman" w:cs="Times New Roman"/>
                <w:sz w:val="20"/>
                <w:szCs w:val="20"/>
                <w:bdr w:val="none" w:sz="0" w:space="0" w:color="auto" w:frame="1"/>
                <w:lang w:eastAsia="lv-LV"/>
              </w:rPr>
              <w:t xml:space="preserve"> mobilitāti” atbalstīto indikatīvo kopīgo darbību uzskaitījumu, iekļaujot tajā “Jaunu mobilitātes risinājumu pilotēšana”.</w:t>
            </w:r>
          </w:p>
          <w:p w14:paraId="7699280D"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CA27407" w14:textId="2759D52F" w:rsidR="00FA41E6" w:rsidRPr="00867DED" w:rsidRDefault="000F5259" w:rsidP="00BA6961">
            <w:pPr>
              <w:spacing w:after="0" w:line="240" w:lineRule="auto"/>
              <w:rPr>
                <w:rFonts w:ascii="Times New Roman" w:eastAsia="Times New Roman" w:hAnsi="Times New Roman" w:cs="Times New Roman"/>
                <w:sz w:val="20"/>
                <w:szCs w:val="20"/>
                <w:lang w:eastAsia="lv-LV"/>
              </w:rPr>
            </w:pPr>
            <w:r w:rsidRPr="000F525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2F4A33BE"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r>
      <w:tr w:rsidR="004A0A38" w:rsidRPr="00D73B87" w14:paraId="2AB59A6F"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DA65A18" w14:textId="21445DD7" w:rsidR="00433448" w:rsidRPr="00867DED" w:rsidRDefault="00433448" w:rsidP="00433448">
            <w:pPr>
              <w:widowControl w:val="0"/>
              <w:tabs>
                <w:tab w:val="left" w:pos="1606"/>
              </w:tabs>
              <w:autoSpaceDE w:val="0"/>
              <w:autoSpaceDN w:val="0"/>
              <w:spacing w:before="155" w:after="0" w:line="247" w:lineRule="auto"/>
              <w:ind w:left="851" w:right="178"/>
              <w:jc w:val="center"/>
              <w:rPr>
                <w:rFonts w:ascii="Times New Roman" w:hAnsi="Times New Roman" w:cs="Times New Roman"/>
                <w:b/>
                <w:sz w:val="20"/>
              </w:rPr>
            </w:pPr>
            <w:r w:rsidRPr="00867DED">
              <w:rPr>
                <w:rFonts w:ascii="Times New Roman" w:hAnsi="Times New Roman" w:cs="Times New Roman"/>
                <w:b/>
                <w:sz w:val="20"/>
              </w:rPr>
              <w:t xml:space="preserve">2.4.1.Saistītie rīcības veidi un to paredzamais ieguldījums šajos konkrētajos mērķos un </w:t>
            </w:r>
            <w:proofErr w:type="spellStart"/>
            <w:r w:rsidRPr="00867DED">
              <w:rPr>
                <w:rFonts w:ascii="Times New Roman" w:hAnsi="Times New Roman" w:cs="Times New Roman"/>
                <w:b/>
                <w:sz w:val="20"/>
              </w:rPr>
              <w:t>makroreģionālajās</w:t>
            </w:r>
            <w:proofErr w:type="spellEnd"/>
            <w:r w:rsidRPr="00867DED">
              <w:rPr>
                <w:rFonts w:ascii="Times New Roman" w:hAnsi="Times New Roman" w:cs="Times New Roman"/>
                <w:b/>
                <w:sz w:val="20"/>
              </w:rPr>
              <w:t xml:space="preserve"> stratēģijās un, ja nepieciešams, jūras stratēģijās</w:t>
            </w:r>
          </w:p>
          <w:p w14:paraId="77A25C23" w14:textId="62E4C6AA"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6404DD" w:rsidRPr="00D73B87" w14:paraId="35050BF8"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004C4BF" w14:textId="559ACDF1"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42.</w:t>
            </w:r>
          </w:p>
        </w:tc>
        <w:tc>
          <w:tcPr>
            <w:tcW w:w="700" w:type="pct"/>
            <w:tcBorders>
              <w:top w:val="outset" w:sz="6" w:space="0" w:color="414142"/>
              <w:left w:val="outset" w:sz="6" w:space="0" w:color="414142"/>
              <w:bottom w:val="outset" w:sz="6" w:space="0" w:color="414142"/>
              <w:right w:val="outset" w:sz="6" w:space="0" w:color="414142"/>
            </w:tcBorders>
          </w:tcPr>
          <w:p w14:paraId="01FCD7A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5BE9529E" w14:textId="6CEF2ABF"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2.4.1.</w:t>
            </w:r>
          </w:p>
        </w:tc>
        <w:tc>
          <w:tcPr>
            <w:tcW w:w="2369" w:type="pct"/>
            <w:tcBorders>
              <w:top w:val="outset" w:sz="6" w:space="0" w:color="414142"/>
              <w:left w:val="outset" w:sz="6" w:space="0" w:color="414142"/>
              <w:bottom w:val="outset" w:sz="6" w:space="0" w:color="414142"/>
              <w:right w:val="outset" w:sz="6" w:space="0" w:color="414142"/>
            </w:tcBorders>
          </w:tcPr>
          <w:p w14:paraId="21135F6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Saturs:</w:t>
            </w:r>
            <w:r w:rsidRPr="00867DED">
              <w:rPr>
                <w:rFonts w:ascii="Times New Roman" w:eastAsia="Times New Roman" w:hAnsi="Times New Roman" w:cs="Times New Roman"/>
                <w:sz w:val="20"/>
                <w:szCs w:val="20"/>
                <w:lang w:eastAsia="lv-LV"/>
              </w:rPr>
              <w:t xml:space="preserve"> </w:t>
            </w:r>
            <w:r w:rsidRPr="00867DED">
              <w:rPr>
                <w:rFonts w:ascii="Times New Roman" w:eastAsia="Times New Roman" w:hAnsi="Times New Roman" w:cs="Times New Roman"/>
                <w:sz w:val="20"/>
                <w:szCs w:val="20"/>
                <w:u w:val="single"/>
                <w:lang w:eastAsia="lv-LV"/>
              </w:rPr>
              <w:t>Potenciālie partneri</w:t>
            </w:r>
          </w:p>
          <w:p w14:paraId="7F3FC16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Organizācijas un iestādes nacionālā, reģionālā un vietējā līmenī, ar transporta mezglu/koridoru uzlabošanu un CO2 emisiju daudzuma samazināšanu saistīti privātie uzņēmumi.</w:t>
            </w:r>
            <w:r w:rsidRPr="00867DED">
              <w:rPr>
                <w:rFonts w:ascii="Times New Roman" w:eastAsia="Times New Roman" w:hAnsi="Times New Roman" w:cs="Times New Roman"/>
                <w:sz w:val="20"/>
                <w:szCs w:val="20"/>
                <w:lang w:eastAsia="lv-LV"/>
              </w:rPr>
              <w:tab/>
            </w:r>
          </w:p>
          <w:p w14:paraId="4BEB0466"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 xml:space="preserve">Komentārs: </w:t>
            </w:r>
            <w:r w:rsidRPr="00867DED">
              <w:rPr>
                <w:rFonts w:ascii="Times New Roman" w:eastAsia="Times New Roman" w:hAnsi="Times New Roman" w:cs="Times New Roman"/>
                <w:i/>
                <w:iCs/>
                <w:sz w:val="20"/>
                <w:szCs w:val="20"/>
                <w:lang w:eastAsia="lv-LV"/>
              </w:rPr>
              <w:t>Lūdzam izskatīt iespēju papildināt esošo redakciju, izsakot to sekojoši:</w:t>
            </w:r>
            <w:r w:rsidRPr="00867DED">
              <w:rPr>
                <w:rFonts w:ascii="Times New Roman" w:eastAsia="Times New Roman" w:hAnsi="Times New Roman" w:cs="Times New Roman"/>
                <w:b/>
                <w:bCs/>
                <w:sz w:val="20"/>
                <w:szCs w:val="20"/>
                <w:lang w:eastAsia="lv-LV"/>
              </w:rPr>
              <w:t xml:space="preserve"> Publiskas un bezpeļņas</w:t>
            </w:r>
            <w:r w:rsidRPr="00867DED">
              <w:rPr>
                <w:rFonts w:ascii="Times New Roman" w:eastAsia="Times New Roman" w:hAnsi="Times New Roman" w:cs="Times New Roman"/>
                <w:sz w:val="20"/>
                <w:szCs w:val="20"/>
                <w:lang w:eastAsia="lv-LV"/>
              </w:rPr>
              <w:t xml:space="preserve"> organizācijas un iestādes nacionālā, reģionālā un vietējā līmenī, ar transporta mezglu/koridoru uzlabošanu un CO2 emisiju daudzuma samazināšanu saistīti privātie uzņēmumi.</w:t>
            </w:r>
          </w:p>
        </w:tc>
        <w:tc>
          <w:tcPr>
            <w:tcW w:w="539" w:type="pct"/>
            <w:tcBorders>
              <w:top w:val="outset" w:sz="6" w:space="0" w:color="414142"/>
              <w:left w:val="outset" w:sz="6" w:space="0" w:color="414142"/>
              <w:bottom w:val="outset" w:sz="6" w:space="0" w:color="414142"/>
              <w:right w:val="outset" w:sz="6" w:space="0" w:color="414142"/>
            </w:tcBorders>
          </w:tcPr>
          <w:p w14:paraId="1214ACA0" w14:textId="04AD7E68" w:rsidR="006404DD" w:rsidRPr="00644780" w:rsidRDefault="00644780" w:rsidP="00BA6961">
            <w:pPr>
              <w:spacing w:after="0" w:line="240" w:lineRule="auto"/>
              <w:rPr>
                <w:rFonts w:ascii="Times New Roman" w:eastAsia="Times New Roman" w:hAnsi="Times New Roman" w:cs="Times New Roman"/>
                <w:b/>
                <w:sz w:val="20"/>
                <w:szCs w:val="20"/>
                <w:lang w:eastAsia="lv-LV"/>
              </w:rPr>
            </w:pPr>
            <w:r w:rsidRPr="00644780">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3E2F3B5C"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r>
      <w:tr w:rsidR="006D55E0" w:rsidRPr="00D73B87" w14:paraId="00FB7500"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D7BF937" w14:textId="2EDB67C6" w:rsidR="006D55E0"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43.</w:t>
            </w:r>
          </w:p>
        </w:tc>
        <w:tc>
          <w:tcPr>
            <w:tcW w:w="700" w:type="pct"/>
            <w:tcBorders>
              <w:top w:val="outset" w:sz="6" w:space="0" w:color="414142"/>
              <w:left w:val="outset" w:sz="6" w:space="0" w:color="414142"/>
              <w:bottom w:val="outset" w:sz="6" w:space="0" w:color="414142"/>
              <w:right w:val="outset" w:sz="6" w:space="0" w:color="414142"/>
            </w:tcBorders>
          </w:tcPr>
          <w:p w14:paraId="68146BD9"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727A5EDD" w14:textId="2E47CEDC" w:rsidR="006D55E0" w:rsidRPr="00867DED" w:rsidRDefault="006D55E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tcPr>
          <w:p w14:paraId="5B9627DD"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Vēršam uzmanību, ka ar kuģošanu saistītie jautājumi Eiropas Savienības Stratēģijas Baltijas jūras reģionam ietvaros tiek izskatīti divu politikas jomu – </w:t>
            </w:r>
            <w:r w:rsidRPr="00867DED">
              <w:rPr>
                <w:rFonts w:ascii="Times New Roman" w:eastAsia="Times New Roman" w:hAnsi="Times New Roman" w:cs="Times New Roman"/>
                <w:i/>
                <w:iCs/>
                <w:sz w:val="20"/>
                <w:szCs w:val="20"/>
                <w:lang w:eastAsia="lv-LV"/>
              </w:rPr>
              <w:t xml:space="preserve">PA </w:t>
            </w:r>
            <w:proofErr w:type="spellStart"/>
            <w:r w:rsidRPr="00867DED">
              <w:rPr>
                <w:rFonts w:ascii="Times New Roman" w:eastAsia="Times New Roman" w:hAnsi="Times New Roman" w:cs="Times New Roman"/>
                <w:i/>
                <w:iCs/>
                <w:sz w:val="20"/>
                <w:szCs w:val="20"/>
                <w:lang w:eastAsia="lv-LV"/>
              </w:rPr>
              <w:t>Safe</w:t>
            </w:r>
            <w:proofErr w:type="spellEnd"/>
            <w:r w:rsidRPr="00867DED">
              <w:rPr>
                <w:rFonts w:ascii="Times New Roman" w:eastAsia="Times New Roman" w:hAnsi="Times New Roman" w:cs="Times New Roman"/>
                <w:sz w:val="20"/>
                <w:szCs w:val="20"/>
                <w:lang w:eastAsia="lv-LV"/>
              </w:rPr>
              <w:t xml:space="preserve"> un </w:t>
            </w:r>
            <w:r w:rsidRPr="00867DED">
              <w:rPr>
                <w:rFonts w:ascii="Times New Roman" w:eastAsia="Times New Roman" w:hAnsi="Times New Roman" w:cs="Times New Roman"/>
                <w:i/>
                <w:iCs/>
                <w:sz w:val="20"/>
                <w:szCs w:val="20"/>
                <w:lang w:eastAsia="lv-LV"/>
              </w:rPr>
              <w:t xml:space="preserve">PA </w:t>
            </w:r>
            <w:proofErr w:type="spellStart"/>
            <w:r w:rsidRPr="00867DED">
              <w:rPr>
                <w:rFonts w:ascii="Times New Roman" w:eastAsia="Times New Roman" w:hAnsi="Times New Roman" w:cs="Times New Roman"/>
                <w:i/>
                <w:iCs/>
                <w:sz w:val="20"/>
                <w:szCs w:val="20"/>
                <w:lang w:eastAsia="lv-LV"/>
              </w:rPr>
              <w:t>Ship</w:t>
            </w:r>
            <w:proofErr w:type="spellEnd"/>
            <w:r w:rsidRPr="00867DED">
              <w:rPr>
                <w:rFonts w:ascii="Times New Roman" w:eastAsia="Times New Roman" w:hAnsi="Times New Roman" w:cs="Times New Roman"/>
                <w:sz w:val="20"/>
                <w:szCs w:val="20"/>
                <w:lang w:eastAsia="lv-LV"/>
              </w:rPr>
              <w:t xml:space="preserve"> – ietvaros. Šīs politikas jomas oficiāli (piemēram, Ārlietu ministrijas sagatavotajā informatīvajā ziņojumā  „Par Eiropas Savienības Stratēģijas Baltijas jūras reģionam nacionālās koordinācijas mehānismu Latvijā”, apstiprināts Ministru kabineta 28.06.2016. sēdē, prot.Nr.32#31) tiek tulkotas kā “Jūras drošības (</w:t>
            </w:r>
            <w:proofErr w:type="spellStart"/>
            <w:r w:rsidRPr="00867DED">
              <w:rPr>
                <w:rFonts w:ascii="Times New Roman" w:eastAsia="Times New Roman" w:hAnsi="Times New Roman" w:cs="Times New Roman"/>
                <w:i/>
                <w:iCs/>
                <w:sz w:val="20"/>
                <w:szCs w:val="20"/>
                <w:lang w:eastAsia="lv-LV"/>
              </w:rPr>
              <w:t>Safe</w:t>
            </w:r>
            <w:proofErr w:type="spellEnd"/>
            <w:r w:rsidRPr="00867DED">
              <w:rPr>
                <w:rFonts w:ascii="Times New Roman" w:eastAsia="Times New Roman" w:hAnsi="Times New Roman" w:cs="Times New Roman"/>
                <w:sz w:val="20"/>
                <w:szCs w:val="20"/>
                <w:lang w:eastAsia="lv-LV"/>
              </w:rPr>
              <w:t>) politikas joma” un “Kuģošanas (</w:t>
            </w:r>
            <w:proofErr w:type="spellStart"/>
            <w:r w:rsidRPr="00867DED">
              <w:rPr>
                <w:rFonts w:ascii="Times New Roman" w:eastAsia="Times New Roman" w:hAnsi="Times New Roman" w:cs="Times New Roman"/>
                <w:i/>
                <w:iCs/>
                <w:sz w:val="20"/>
                <w:szCs w:val="20"/>
                <w:lang w:eastAsia="lv-LV"/>
              </w:rPr>
              <w:t>Ship</w:t>
            </w:r>
            <w:proofErr w:type="spellEnd"/>
            <w:r w:rsidRPr="00867DED">
              <w:rPr>
                <w:rFonts w:ascii="Times New Roman" w:eastAsia="Times New Roman" w:hAnsi="Times New Roman" w:cs="Times New Roman"/>
                <w:sz w:val="20"/>
                <w:szCs w:val="20"/>
                <w:lang w:eastAsia="lv-LV"/>
              </w:rPr>
              <w:t>) politikas joma”. Ņemot vērā minēto, lūdzam precizēt projektā ietverto norādi uz “PA Kuģniecība” (1.2.6. nodaļā un 2.4.1. nodaļā).</w:t>
            </w:r>
          </w:p>
          <w:p w14:paraId="2A843290"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C9479A8" w14:textId="20C76AF3" w:rsidR="006D55E0" w:rsidRPr="00867DED" w:rsidRDefault="00632E52" w:rsidP="00BA6961">
            <w:pPr>
              <w:spacing w:after="0" w:line="240" w:lineRule="auto"/>
              <w:rPr>
                <w:rFonts w:ascii="Times New Roman" w:eastAsia="Times New Roman" w:hAnsi="Times New Roman" w:cs="Times New Roman"/>
                <w:b/>
                <w:sz w:val="20"/>
                <w:szCs w:val="20"/>
                <w:lang w:eastAsia="lv-LV"/>
              </w:rPr>
            </w:pPr>
            <w:r w:rsidRPr="00867DE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570BF679"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p>
        </w:tc>
      </w:tr>
      <w:tr w:rsidR="004A0A38" w:rsidRPr="00D73B87" w14:paraId="2E63CC0A"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DF3B164" w14:textId="77777777" w:rsidR="00433448" w:rsidRPr="00867DED" w:rsidRDefault="00433448" w:rsidP="00433448">
            <w:pPr>
              <w:pStyle w:val="Heading1"/>
              <w:tabs>
                <w:tab w:val="left" w:pos="654"/>
              </w:tabs>
              <w:ind w:left="653"/>
              <w:jc w:val="center"/>
              <w:rPr>
                <w:rFonts w:ascii="Times New Roman" w:hAnsi="Times New Roman" w:cs="Times New Roman"/>
              </w:rPr>
            </w:pPr>
          </w:p>
          <w:p w14:paraId="48475A44" w14:textId="745EC215" w:rsidR="00433448" w:rsidRPr="00867DED" w:rsidRDefault="00433448" w:rsidP="00433448">
            <w:pPr>
              <w:pStyle w:val="Heading1"/>
              <w:tabs>
                <w:tab w:val="left" w:pos="654"/>
              </w:tabs>
              <w:ind w:left="653"/>
              <w:jc w:val="center"/>
              <w:rPr>
                <w:rFonts w:ascii="Times New Roman" w:hAnsi="Times New Roman" w:cs="Times New Roman"/>
              </w:rPr>
            </w:pPr>
            <w:r w:rsidRPr="00867DED">
              <w:rPr>
                <w:rFonts w:ascii="Times New Roman" w:hAnsi="Times New Roman" w:cs="Times New Roman"/>
              </w:rPr>
              <w:t>2.5.Uzlabota Centrālā Baltijas jūras reģiona piekrastes un jūras vide</w:t>
            </w:r>
          </w:p>
          <w:p w14:paraId="32F9A60B" w14:textId="23A33C27"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6404DD" w:rsidRPr="00D73B87" w14:paraId="28EF897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630D901" w14:textId="3228ECE0"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44.</w:t>
            </w:r>
          </w:p>
        </w:tc>
        <w:tc>
          <w:tcPr>
            <w:tcW w:w="700" w:type="pct"/>
            <w:tcBorders>
              <w:top w:val="outset" w:sz="6" w:space="0" w:color="414142"/>
              <w:left w:val="outset" w:sz="6" w:space="0" w:color="414142"/>
              <w:bottom w:val="outset" w:sz="6" w:space="0" w:color="414142"/>
              <w:right w:val="outset" w:sz="6" w:space="0" w:color="414142"/>
            </w:tcBorders>
          </w:tcPr>
          <w:p w14:paraId="5B01D44D"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Dabas aizsardzības pārvalde</w:t>
            </w:r>
          </w:p>
        </w:tc>
        <w:tc>
          <w:tcPr>
            <w:tcW w:w="519" w:type="pct"/>
            <w:tcBorders>
              <w:top w:val="outset" w:sz="6" w:space="0" w:color="414142"/>
              <w:left w:val="outset" w:sz="6" w:space="0" w:color="414142"/>
              <w:bottom w:val="outset" w:sz="6" w:space="0" w:color="414142"/>
              <w:right w:val="outset" w:sz="6" w:space="0" w:color="414142"/>
            </w:tcBorders>
          </w:tcPr>
          <w:p w14:paraId="703A7F1D" w14:textId="13D78FF0"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2.5. </w:t>
            </w:r>
          </w:p>
        </w:tc>
        <w:tc>
          <w:tcPr>
            <w:tcW w:w="2369" w:type="pct"/>
            <w:tcBorders>
              <w:top w:val="outset" w:sz="6" w:space="0" w:color="414142"/>
              <w:left w:val="outset" w:sz="6" w:space="0" w:color="414142"/>
              <w:bottom w:val="outset" w:sz="6" w:space="0" w:color="414142"/>
              <w:right w:val="outset" w:sz="6" w:space="0" w:color="414142"/>
            </w:tcBorders>
          </w:tcPr>
          <w:p w14:paraId="0F2B600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Programmas konkrētais mērķis (vii) “Dabas aizsardzības, bioloģiskās daudzveidības un zaļās infrastruktūras veicināšana, sevišķi pilsētvidē, un piesārņojuma samazināšana” un tam atbilstošā 2.5. prioritāte “Uzlabota Centrālā Baltijas jūras reģiona piekrastes un jūras vide” galveno uzmanību pievērš Baltijas jūras eitrofikācijai un piesārņojuma problēmām. Konkrētā mērķa (vii) un 2.5. prioritātes apraksts, kā arī 2.5. prioritātē minētie rādītāji attiecas uz problēmām, kas saistītas ar eitrofikāciju un piesārņojumu, un apstiprina atbalstu pasākumiem, kas samazina barības vielu, bīstamo vielu, plastmasas un toksīnu ieplūdes Baltijas jūrā.</w:t>
            </w:r>
          </w:p>
          <w:p w14:paraId="0E0F4343"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Pārvaldes ieskatā eitrofikācija un Baltijas jūras piesārņošana ir prioritāri risināmas problēmas. Tomēr dabas aizsardzības un bioloģiskās daudzveidības veicināšana Baltijas jūrā un tās piekrastē aptver plašāku aktuālo jautājumu loku. Arī saskaņā ar jauno HELCOM Baltijas jūras rīcības plāna projektu</w:t>
            </w:r>
            <w:r w:rsidRPr="00867DED">
              <w:rPr>
                <w:rFonts w:ascii="Times New Roman" w:eastAsia="Times New Roman" w:hAnsi="Times New Roman" w:cs="Times New Roman"/>
                <w:sz w:val="20"/>
                <w:szCs w:val="20"/>
                <w:vertAlign w:val="superscript"/>
                <w:lang w:eastAsia="lv-LV"/>
              </w:rPr>
              <w:footnoteReference w:id="1"/>
            </w:r>
            <w:r w:rsidRPr="00867DED">
              <w:rPr>
                <w:rFonts w:ascii="Times New Roman" w:eastAsia="Times New Roman" w:hAnsi="Times New Roman" w:cs="Times New Roman"/>
                <w:sz w:val="20"/>
                <w:szCs w:val="20"/>
                <w:lang w:eastAsia="lv-LV"/>
              </w:rPr>
              <w:t xml:space="preserve"> (13 lpp.): “Visas darbības, kas risina jautājumus saistībā ar eitrofikāciju, bīstamām vielām un atkritumiem, ir būtiski nozīmīgas, lai uzlabotu bioloģiskās daudzveidības stāvokli Baltijas jūrā. Ņemot vērā pieaugošo vispārējo spiedienu un efektu, ko Baltijas jūrā radījušas daudzas cilvēku darbības, daudzām sugām un biotopiem steidzami nepieciešama aizsardzība, </w:t>
            </w:r>
            <w:r w:rsidRPr="00867DED">
              <w:rPr>
                <w:rFonts w:ascii="Times New Roman" w:eastAsia="Times New Roman" w:hAnsi="Times New Roman" w:cs="Times New Roman"/>
                <w:sz w:val="20"/>
                <w:szCs w:val="20"/>
                <w:u w:val="single"/>
                <w:lang w:eastAsia="lv-LV"/>
              </w:rPr>
              <w:t>tādēļ vienlaikus ar spiediena samazināšanu nepieciešams pastiprināt dabas aizsardzības aktivitātes</w:t>
            </w:r>
            <w:r w:rsidRPr="00867DED">
              <w:rPr>
                <w:rFonts w:ascii="Times New Roman" w:eastAsia="Times New Roman" w:hAnsi="Times New Roman" w:cs="Times New Roman"/>
                <w:sz w:val="20"/>
                <w:szCs w:val="20"/>
                <w:lang w:eastAsia="lv-LV"/>
              </w:rPr>
              <w:t xml:space="preserve">.” </w:t>
            </w:r>
          </w:p>
          <w:p w14:paraId="7A94119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vertAlign w:val="superscript"/>
                <w:lang w:eastAsia="lv-LV"/>
              </w:rPr>
              <w:footnoteRef/>
            </w:r>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Second</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draft</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of</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the</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updated</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Baltic</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Sea</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Action</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Plan</w:t>
            </w:r>
            <w:proofErr w:type="spellEnd"/>
            <w:r w:rsidRPr="00867DED">
              <w:rPr>
                <w:rFonts w:ascii="Times New Roman" w:eastAsia="Times New Roman" w:hAnsi="Times New Roman" w:cs="Times New Roman"/>
                <w:sz w:val="20"/>
                <w:szCs w:val="20"/>
                <w:lang w:eastAsia="lv-LV"/>
              </w:rPr>
              <w:t xml:space="preserve">: </w:t>
            </w:r>
            <w:hyperlink r:id="rId15" w:history="1">
              <w:r w:rsidRPr="00867DED">
                <w:rPr>
                  <w:rStyle w:val="Hyperlink"/>
                  <w:rFonts w:ascii="Times New Roman" w:eastAsia="Times New Roman" w:hAnsi="Times New Roman" w:cs="Times New Roman"/>
                  <w:color w:val="auto"/>
                  <w:sz w:val="20"/>
                  <w:szCs w:val="20"/>
                  <w:lang w:eastAsia="lv-LV"/>
                </w:rPr>
                <w:t>https://portal.helcom.fi/meetings/HELCOM%2042-2021-746/MeetingDocuments/4-3%20Draft%20updated%20Baltic%20Sea%20Action%20Plan.pdf</w:t>
              </w:r>
            </w:hyperlink>
          </w:p>
          <w:p w14:paraId="1D73CD29"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p w14:paraId="7E9268BF"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1C952D5" w14:textId="55BC9CDA" w:rsidR="006404DD" w:rsidRPr="001D78F7" w:rsidRDefault="006827E8" w:rsidP="00BA6961">
            <w:pPr>
              <w:spacing w:after="0" w:line="240" w:lineRule="auto"/>
              <w:rPr>
                <w:rFonts w:ascii="Times New Roman" w:eastAsia="Times New Roman" w:hAnsi="Times New Roman" w:cs="Times New Roman"/>
                <w:b/>
                <w:sz w:val="20"/>
                <w:szCs w:val="20"/>
                <w:lang w:eastAsia="lv-LV"/>
              </w:rPr>
            </w:pPr>
            <w:r w:rsidRPr="001D78F7">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305E7A87" w14:textId="77777777" w:rsidR="006404DD" w:rsidRPr="001D78F7" w:rsidRDefault="006827E8" w:rsidP="00BA6961">
            <w:pPr>
              <w:spacing w:after="0" w:line="240" w:lineRule="auto"/>
              <w:rPr>
                <w:rFonts w:ascii="Times New Roman" w:eastAsia="Times New Roman" w:hAnsi="Times New Roman" w:cs="Times New Roman"/>
                <w:b/>
                <w:sz w:val="20"/>
                <w:szCs w:val="20"/>
                <w:lang w:eastAsia="lv-LV"/>
              </w:rPr>
            </w:pPr>
            <w:r w:rsidRPr="001D78F7">
              <w:rPr>
                <w:rFonts w:ascii="Times New Roman" w:eastAsia="Times New Roman" w:hAnsi="Times New Roman" w:cs="Times New Roman"/>
                <w:b/>
                <w:sz w:val="20"/>
                <w:szCs w:val="20"/>
                <w:lang w:eastAsia="lv-LV"/>
              </w:rPr>
              <w:t>Sniegts skaidrojums.</w:t>
            </w:r>
          </w:p>
          <w:p w14:paraId="63F50B76" w14:textId="24F39856" w:rsidR="006827E8" w:rsidRDefault="006827E8"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Programmas Vadošā iestāde/Kopīgais sekretariāts skaidro, ka izvēlētās tēmas tieši un netieši atbalsta arī bioloģisko daudzveidību un dabas aizsardzību. Tāpat Programmas mērķa “Uzlaboti publiskie pakalpojumi un risinājumi pilsoņiem” ietvaros var tikt atbalstīti kopīgas plānošanas un regulēšanas darbības arī bioloģiskās daudzveidības un dabas aizsardzības jomā.</w:t>
            </w:r>
          </w:p>
          <w:p w14:paraId="337BA180" w14:textId="1D47BB9C" w:rsidR="006827E8" w:rsidRPr="00867DED" w:rsidRDefault="006827E8" w:rsidP="00BA6961">
            <w:pPr>
              <w:spacing w:after="0" w:line="240" w:lineRule="auto"/>
              <w:rPr>
                <w:rFonts w:ascii="Times New Roman" w:eastAsia="Times New Roman" w:hAnsi="Times New Roman" w:cs="Times New Roman"/>
                <w:sz w:val="20"/>
                <w:szCs w:val="20"/>
                <w:lang w:eastAsia="lv-LV"/>
              </w:rPr>
            </w:pPr>
          </w:p>
        </w:tc>
      </w:tr>
      <w:tr w:rsidR="00FA41E6" w:rsidRPr="00D73B87" w14:paraId="3EA79CB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4ADE364" w14:textId="67140DF6"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w:t>
            </w:r>
          </w:p>
        </w:tc>
        <w:tc>
          <w:tcPr>
            <w:tcW w:w="700" w:type="pct"/>
            <w:tcBorders>
              <w:top w:val="outset" w:sz="6" w:space="0" w:color="414142"/>
              <w:left w:val="outset" w:sz="6" w:space="0" w:color="414142"/>
              <w:bottom w:val="outset" w:sz="6" w:space="0" w:color="414142"/>
              <w:right w:val="outset" w:sz="6" w:space="0" w:color="414142"/>
            </w:tcBorders>
          </w:tcPr>
          <w:p w14:paraId="2DF96320"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535C84C9" w14:textId="4FB99EA3"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2.5. </w:t>
            </w:r>
          </w:p>
        </w:tc>
        <w:tc>
          <w:tcPr>
            <w:tcW w:w="2369" w:type="pct"/>
            <w:tcBorders>
              <w:top w:val="outset" w:sz="6" w:space="0" w:color="414142"/>
              <w:left w:val="outset" w:sz="6" w:space="0" w:color="414142"/>
              <w:bottom w:val="outset" w:sz="6" w:space="0" w:color="414142"/>
              <w:right w:val="outset" w:sz="6" w:space="0" w:color="414142"/>
            </w:tcBorders>
          </w:tcPr>
          <w:p w14:paraId="1F5EFBC6"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Aicinām precizēt 2.5. prioritātes “Uzlabota Centrālā Baltijas jūras reģiona piekrastes un jūras vide” atbalstīto indikatīvo kopīgu darbību sarakstu, iekļaujot tajā akcentu uz zaļo infrastruktūru.</w:t>
            </w:r>
          </w:p>
          <w:p w14:paraId="19ED8BDC"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C2D5589" w14:textId="77777777" w:rsidR="00C37163" w:rsidRDefault="00C37163" w:rsidP="00BA6961">
            <w:pPr>
              <w:spacing w:after="0" w:line="240" w:lineRule="auto"/>
              <w:rPr>
                <w:rFonts w:ascii="Times New Roman" w:eastAsia="Times New Roman" w:hAnsi="Times New Roman" w:cs="Times New Roman"/>
                <w:b/>
                <w:sz w:val="20"/>
                <w:szCs w:val="20"/>
                <w:lang w:eastAsia="lv-LV"/>
              </w:rPr>
            </w:pPr>
            <w:r w:rsidRPr="00C37163">
              <w:rPr>
                <w:rFonts w:ascii="Times New Roman" w:eastAsia="Times New Roman" w:hAnsi="Times New Roman" w:cs="Times New Roman"/>
                <w:b/>
                <w:sz w:val="20"/>
                <w:szCs w:val="20"/>
                <w:lang w:eastAsia="lv-LV"/>
              </w:rPr>
              <w:t>Ņemts vērā.</w:t>
            </w:r>
            <w:r>
              <w:rPr>
                <w:rFonts w:ascii="Times New Roman" w:eastAsia="Times New Roman" w:hAnsi="Times New Roman" w:cs="Times New Roman"/>
                <w:b/>
                <w:sz w:val="20"/>
                <w:szCs w:val="20"/>
                <w:lang w:eastAsia="lv-LV"/>
              </w:rPr>
              <w:t xml:space="preserve"> Sniegts skaidrojums. </w:t>
            </w:r>
          </w:p>
          <w:p w14:paraId="3237301A" w14:textId="77777777" w:rsidR="00C37163" w:rsidRDefault="00C37163" w:rsidP="00BA6961">
            <w:pPr>
              <w:spacing w:after="0" w:line="240" w:lineRule="auto"/>
              <w:rPr>
                <w:rFonts w:ascii="Times New Roman" w:eastAsia="Times New Roman" w:hAnsi="Times New Roman" w:cs="Times New Roman"/>
                <w:b/>
                <w:sz w:val="20"/>
                <w:szCs w:val="20"/>
                <w:lang w:eastAsia="lv-LV"/>
              </w:rPr>
            </w:pPr>
          </w:p>
          <w:p w14:paraId="491B41DA" w14:textId="6F984DFE" w:rsidR="00C37163" w:rsidRPr="00C37163" w:rsidRDefault="00C37163" w:rsidP="00BA6961">
            <w:pPr>
              <w:spacing w:after="0" w:line="240" w:lineRule="auto"/>
              <w:rPr>
                <w:rFonts w:ascii="Times New Roman" w:eastAsia="Times New Roman" w:hAnsi="Times New Roman" w:cs="Times New Roman"/>
                <w:sz w:val="20"/>
                <w:szCs w:val="20"/>
                <w:lang w:eastAsia="lv-LV"/>
              </w:rPr>
            </w:pPr>
            <w:r w:rsidRPr="00C37163">
              <w:rPr>
                <w:rFonts w:ascii="Times New Roman" w:eastAsia="Times New Roman" w:hAnsi="Times New Roman" w:cs="Times New Roman"/>
                <w:sz w:val="20"/>
                <w:szCs w:val="20"/>
                <w:lang w:eastAsia="lv-LV"/>
              </w:rPr>
              <w:t>Indikatīvo darbību saraksts tiks papildināts Programmas rokasgrāmatā.</w:t>
            </w:r>
            <w:r w:rsidR="001D78F7">
              <w:rPr>
                <w:rFonts w:ascii="Times New Roman" w:eastAsia="Times New Roman" w:hAnsi="Times New Roman" w:cs="Times New Roman"/>
                <w:sz w:val="20"/>
                <w:szCs w:val="20"/>
                <w:lang w:eastAsia="lv-LV"/>
              </w:rPr>
              <w:t xml:space="preserve"> </w:t>
            </w:r>
            <w:r w:rsidR="001D78F7">
              <w:rPr>
                <w:rFonts w:ascii="Times New Roman" w:eastAsia="Times New Roman" w:hAnsi="Times New Roman" w:cs="Times New Roman"/>
                <w:sz w:val="20"/>
                <w:szCs w:val="20"/>
                <w:lang w:eastAsia="lv-LV"/>
              </w:rPr>
              <w:lastRenderedPageBreak/>
              <w:t>Vienlaikus vēršam uzmanību, ka indikatīvā darbība nevar būt vienīgais projekta saturs. Visām uzskaitītajām aktivitātēm jābūt saistītām un saskaņā ar Programmas mērķi. Tāpat visiem projektiem jābūt vērstiem uz barības vielu, toksīnu, plastmasas un bīstamo vielu emisiju samazināšanu.</w:t>
            </w:r>
          </w:p>
        </w:tc>
        <w:tc>
          <w:tcPr>
            <w:tcW w:w="754" w:type="pct"/>
            <w:tcBorders>
              <w:top w:val="outset" w:sz="6" w:space="0" w:color="414142"/>
              <w:left w:val="outset" w:sz="6" w:space="0" w:color="414142"/>
              <w:bottom w:val="outset" w:sz="6" w:space="0" w:color="414142"/>
              <w:right w:val="outset" w:sz="6" w:space="0" w:color="414142"/>
            </w:tcBorders>
          </w:tcPr>
          <w:p w14:paraId="35BA1440" w14:textId="105A4306" w:rsidR="00FA41E6" w:rsidRPr="00867DED" w:rsidRDefault="00FA41E6" w:rsidP="001D78F7">
            <w:pPr>
              <w:spacing w:after="0" w:line="240" w:lineRule="auto"/>
              <w:rPr>
                <w:rFonts w:ascii="Times New Roman" w:eastAsia="Times New Roman" w:hAnsi="Times New Roman" w:cs="Times New Roman"/>
                <w:sz w:val="20"/>
                <w:szCs w:val="20"/>
                <w:lang w:eastAsia="lv-LV"/>
              </w:rPr>
            </w:pPr>
          </w:p>
        </w:tc>
      </w:tr>
      <w:tr w:rsidR="00FA41E6" w:rsidRPr="00D73B87" w14:paraId="265E5399"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F34CF0F" w14:textId="0768863D"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46.</w:t>
            </w:r>
          </w:p>
        </w:tc>
        <w:tc>
          <w:tcPr>
            <w:tcW w:w="700" w:type="pct"/>
            <w:tcBorders>
              <w:top w:val="outset" w:sz="6" w:space="0" w:color="414142"/>
              <w:left w:val="outset" w:sz="6" w:space="0" w:color="414142"/>
              <w:bottom w:val="outset" w:sz="6" w:space="0" w:color="414142"/>
              <w:right w:val="outset" w:sz="6" w:space="0" w:color="414142"/>
            </w:tcBorders>
          </w:tcPr>
          <w:p w14:paraId="67F84877"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3B00EB27" w14:textId="1F07B2C0"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2.5. </w:t>
            </w:r>
          </w:p>
        </w:tc>
        <w:tc>
          <w:tcPr>
            <w:tcW w:w="2369" w:type="pct"/>
            <w:tcBorders>
              <w:top w:val="outset" w:sz="6" w:space="0" w:color="414142"/>
              <w:left w:val="outset" w:sz="6" w:space="0" w:color="414142"/>
              <w:bottom w:val="outset" w:sz="6" w:space="0" w:color="414142"/>
              <w:right w:val="outset" w:sz="6" w:space="0" w:color="414142"/>
            </w:tcBorders>
          </w:tcPr>
          <w:p w14:paraId="2D49FC8E"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Vēršam uzmanību, ka 2.5. prioritātei “Uzlabota Centrālā Baltijas jūras reģiona piekrastes un jūras vide” noteiktais rezultātu rādītājs “Uzlaboto pilsētas un lauksaimniecības virszemes noteces avotu skaits” lielā mērā prasa investīcijas infrastruktūrā, taču pie atbalstāmajām darbībām uzsvars ir likts lielākoties uz tā sauktajām “mīkstajām” aktivitātēm. Būtu nepieciešams vairāk salāgot šo rezultāta rādītāju ar atbalstāmajām darbībām.</w:t>
            </w:r>
          </w:p>
          <w:p w14:paraId="0A6A8EB5"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4F1754B" w14:textId="115DF8FC" w:rsidR="00FA41E6" w:rsidRPr="00186BEB" w:rsidRDefault="00186BEB" w:rsidP="00186BEB">
            <w:pPr>
              <w:spacing w:after="0" w:line="240" w:lineRule="auto"/>
              <w:rPr>
                <w:rFonts w:ascii="Times New Roman" w:eastAsia="Times New Roman" w:hAnsi="Times New Roman" w:cs="Times New Roman"/>
                <w:b/>
                <w:sz w:val="20"/>
                <w:szCs w:val="20"/>
                <w:lang w:eastAsia="lv-LV"/>
              </w:rPr>
            </w:pPr>
            <w:r w:rsidRPr="00186BEB">
              <w:rPr>
                <w:rFonts w:ascii="Times New Roman" w:eastAsia="Times New Roman" w:hAnsi="Times New Roman" w:cs="Times New Roman"/>
                <w:b/>
                <w:sz w:val="20"/>
                <w:szCs w:val="20"/>
                <w:lang w:eastAsia="lv-LV"/>
              </w:rPr>
              <w:t xml:space="preserve">Nav ņemts vērā. </w:t>
            </w:r>
          </w:p>
        </w:tc>
        <w:tc>
          <w:tcPr>
            <w:tcW w:w="754" w:type="pct"/>
            <w:tcBorders>
              <w:top w:val="outset" w:sz="6" w:space="0" w:color="414142"/>
              <w:left w:val="outset" w:sz="6" w:space="0" w:color="414142"/>
              <w:bottom w:val="outset" w:sz="6" w:space="0" w:color="414142"/>
              <w:right w:val="outset" w:sz="6" w:space="0" w:color="414142"/>
            </w:tcBorders>
          </w:tcPr>
          <w:p w14:paraId="0767EE46" w14:textId="77777777" w:rsidR="00FA41E6" w:rsidRDefault="00186BEB" w:rsidP="00BA6961">
            <w:pPr>
              <w:spacing w:after="0" w:line="240" w:lineRule="auto"/>
              <w:rPr>
                <w:rFonts w:ascii="Times New Roman" w:eastAsia="Times New Roman" w:hAnsi="Times New Roman" w:cs="Times New Roman"/>
                <w:b/>
                <w:sz w:val="20"/>
                <w:szCs w:val="20"/>
                <w:lang w:eastAsia="lv-LV"/>
              </w:rPr>
            </w:pPr>
            <w:r w:rsidRPr="00186BEB">
              <w:rPr>
                <w:rFonts w:ascii="Times New Roman" w:eastAsia="Times New Roman" w:hAnsi="Times New Roman" w:cs="Times New Roman"/>
                <w:b/>
                <w:sz w:val="20"/>
                <w:szCs w:val="20"/>
                <w:lang w:eastAsia="lv-LV"/>
              </w:rPr>
              <w:t>Sniegts skaidrojums.</w:t>
            </w:r>
          </w:p>
          <w:p w14:paraId="392CB06C" w14:textId="77777777" w:rsidR="00186BEB" w:rsidRDefault="00186BEB" w:rsidP="00BA6961">
            <w:pPr>
              <w:spacing w:after="0" w:line="240" w:lineRule="auto"/>
              <w:rPr>
                <w:rFonts w:ascii="Times New Roman" w:eastAsia="Times New Roman" w:hAnsi="Times New Roman" w:cs="Times New Roman"/>
                <w:b/>
                <w:sz w:val="20"/>
                <w:szCs w:val="20"/>
                <w:lang w:eastAsia="lv-LV"/>
              </w:rPr>
            </w:pPr>
          </w:p>
          <w:p w14:paraId="2E2D9949" w14:textId="07424FB4" w:rsidR="00186BEB" w:rsidRPr="00186BEB" w:rsidRDefault="00186BEB" w:rsidP="00BA6961">
            <w:pPr>
              <w:spacing w:after="0" w:line="240" w:lineRule="auto"/>
              <w:rPr>
                <w:rFonts w:ascii="Times New Roman" w:eastAsia="Times New Roman" w:hAnsi="Times New Roman" w:cs="Times New Roman"/>
                <w:sz w:val="20"/>
                <w:szCs w:val="20"/>
                <w:lang w:eastAsia="lv-LV"/>
              </w:rPr>
            </w:pPr>
            <w:r w:rsidRPr="00186BEB">
              <w:rPr>
                <w:rFonts w:ascii="Times New Roman" w:eastAsia="Times New Roman" w:hAnsi="Times New Roman" w:cs="Times New Roman"/>
                <w:sz w:val="20"/>
                <w:szCs w:val="20"/>
                <w:lang w:eastAsia="lv-LV"/>
              </w:rPr>
              <w:t>Neliela mēroga investīcijas tiek uzskatītas par būtisku projekta rezultātu sasniegšanas sastāvdaļu attiecībā uz barības vielu, bīstamo vielu un toksīnu daudzuma samazināšanu. Detalizētāks apraksts tiks sniegts Programmas rokasgrāmatā.</w:t>
            </w:r>
          </w:p>
        </w:tc>
      </w:tr>
      <w:tr w:rsidR="004A0A38" w:rsidRPr="00D73B87" w14:paraId="390BFE70"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01A316B" w14:textId="77777777" w:rsidR="00433448" w:rsidRPr="00867DED" w:rsidRDefault="00433448" w:rsidP="00433448">
            <w:pPr>
              <w:pStyle w:val="BodyText"/>
              <w:spacing w:before="2"/>
              <w:rPr>
                <w:sz w:val="23"/>
              </w:rPr>
            </w:pPr>
          </w:p>
          <w:p w14:paraId="47E6AFEF" w14:textId="0B4B1E73" w:rsidR="00433448" w:rsidRPr="00867DED" w:rsidRDefault="00433448" w:rsidP="00433448">
            <w:pPr>
              <w:pStyle w:val="Heading1"/>
              <w:numPr>
                <w:ilvl w:val="1"/>
                <w:numId w:val="7"/>
              </w:numPr>
              <w:tabs>
                <w:tab w:val="left" w:pos="657"/>
              </w:tabs>
              <w:spacing w:line="249" w:lineRule="auto"/>
              <w:ind w:right="412"/>
              <w:jc w:val="center"/>
              <w:rPr>
                <w:rFonts w:ascii="Times New Roman" w:hAnsi="Times New Roman" w:cs="Times New Roman"/>
              </w:rPr>
            </w:pPr>
            <w:r w:rsidRPr="00867DED">
              <w:rPr>
                <w:rFonts w:ascii="Times New Roman" w:hAnsi="Times New Roman" w:cs="Times New Roman"/>
              </w:rPr>
              <w:t>Centrālā Baltijas jūras reģiona centieni stiprināt un uzlabot nodarbinātības iespējas darba tirgū</w:t>
            </w:r>
          </w:p>
          <w:p w14:paraId="0EC8665F" w14:textId="51CCFD31"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4A0A38" w:rsidRPr="00D73B87" w14:paraId="28818DE0"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2329A30" w14:textId="07EC0EC9" w:rsidR="00433448" w:rsidRPr="00867DED" w:rsidRDefault="00433448" w:rsidP="00433448">
            <w:pPr>
              <w:widowControl w:val="0"/>
              <w:tabs>
                <w:tab w:val="left" w:pos="1606"/>
              </w:tabs>
              <w:autoSpaceDE w:val="0"/>
              <w:autoSpaceDN w:val="0"/>
              <w:spacing w:before="155" w:after="0" w:line="247" w:lineRule="auto"/>
              <w:ind w:left="851" w:right="178"/>
              <w:jc w:val="center"/>
              <w:rPr>
                <w:rFonts w:ascii="Times New Roman" w:hAnsi="Times New Roman" w:cs="Times New Roman"/>
                <w:b/>
                <w:sz w:val="20"/>
              </w:rPr>
            </w:pPr>
            <w:r w:rsidRPr="00867DED">
              <w:rPr>
                <w:rFonts w:ascii="Times New Roman" w:hAnsi="Times New Roman" w:cs="Times New Roman"/>
                <w:b/>
                <w:sz w:val="20"/>
              </w:rPr>
              <w:t xml:space="preserve">2.6.1.Saistītie rīcības veidi un to paredzamais ieguldījums šajos konkrētajos mērķos un </w:t>
            </w:r>
            <w:proofErr w:type="spellStart"/>
            <w:r w:rsidRPr="00867DED">
              <w:rPr>
                <w:rFonts w:ascii="Times New Roman" w:hAnsi="Times New Roman" w:cs="Times New Roman"/>
                <w:b/>
                <w:sz w:val="20"/>
              </w:rPr>
              <w:t>makroreģionālajās</w:t>
            </w:r>
            <w:proofErr w:type="spellEnd"/>
            <w:r w:rsidRPr="00867DED">
              <w:rPr>
                <w:rFonts w:ascii="Times New Roman" w:hAnsi="Times New Roman" w:cs="Times New Roman"/>
                <w:b/>
                <w:sz w:val="20"/>
              </w:rPr>
              <w:t xml:space="preserve"> stratēģijās un, ja nepieciešams, jūras stratēģijās</w:t>
            </w:r>
          </w:p>
          <w:p w14:paraId="674A4D3A" w14:textId="79D74302"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6404DD" w:rsidRPr="00D73B87" w14:paraId="46C01A0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AF18ACC" w14:textId="4FF28CE7"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47.</w:t>
            </w:r>
          </w:p>
        </w:tc>
        <w:tc>
          <w:tcPr>
            <w:tcW w:w="700" w:type="pct"/>
            <w:tcBorders>
              <w:top w:val="outset" w:sz="6" w:space="0" w:color="414142"/>
              <w:left w:val="outset" w:sz="6" w:space="0" w:color="414142"/>
              <w:bottom w:val="outset" w:sz="6" w:space="0" w:color="414142"/>
              <w:right w:val="outset" w:sz="6" w:space="0" w:color="414142"/>
            </w:tcBorders>
          </w:tcPr>
          <w:p w14:paraId="5F66964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D9F8697" w14:textId="056139EF"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2.6.1. </w:t>
            </w:r>
          </w:p>
        </w:tc>
        <w:tc>
          <w:tcPr>
            <w:tcW w:w="2369" w:type="pct"/>
            <w:tcBorders>
              <w:top w:val="outset" w:sz="6" w:space="0" w:color="414142"/>
              <w:left w:val="outset" w:sz="6" w:space="0" w:color="414142"/>
              <w:bottom w:val="outset" w:sz="6" w:space="0" w:color="414142"/>
              <w:right w:val="outset" w:sz="6" w:space="0" w:color="414142"/>
            </w:tcBorders>
          </w:tcPr>
          <w:p w14:paraId="6BFB518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Saturs:</w:t>
            </w:r>
            <w:r w:rsidRPr="00867DED">
              <w:rPr>
                <w:rFonts w:ascii="Times New Roman" w:eastAsia="Times New Roman" w:hAnsi="Times New Roman" w:cs="Times New Roman"/>
                <w:sz w:val="20"/>
                <w:szCs w:val="20"/>
                <w:lang w:eastAsia="lv-LV"/>
              </w:rPr>
              <w:t xml:space="preserve"> -Sociālās uzņēmējdarbības veicināšanas aktivitātes</w:t>
            </w:r>
          </w:p>
          <w:p w14:paraId="23739FDB" w14:textId="77777777" w:rsidR="006404DD" w:rsidRPr="00867DED" w:rsidRDefault="006404DD" w:rsidP="00BA6961">
            <w:pPr>
              <w:tabs>
                <w:tab w:val="left" w:pos="1620"/>
              </w:tabs>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Komentārs:</w:t>
            </w:r>
            <w:r w:rsidRPr="00867DED">
              <w:rPr>
                <w:rFonts w:ascii="Times New Roman" w:eastAsia="Times New Roman" w:hAnsi="Times New Roman" w:cs="Times New Roman"/>
                <w:sz w:val="20"/>
                <w:szCs w:val="20"/>
                <w:lang w:eastAsia="lv-LV"/>
              </w:rPr>
              <w:t xml:space="preserve"> Ierosinām papildināt ar sociālās uzņēmējdarbības aktivitātēm.</w:t>
            </w:r>
          </w:p>
          <w:p w14:paraId="25C8591F" w14:textId="77777777" w:rsidR="006404DD" w:rsidRPr="00867DED" w:rsidRDefault="006404DD" w:rsidP="00BA6961">
            <w:pPr>
              <w:tabs>
                <w:tab w:val="left" w:pos="1620"/>
              </w:tabs>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F9B7C0D" w14:textId="77777777" w:rsidR="006404DD" w:rsidRPr="000028E1" w:rsidRDefault="000028E1" w:rsidP="00BA6961">
            <w:pPr>
              <w:spacing w:after="0" w:line="240" w:lineRule="auto"/>
              <w:rPr>
                <w:rFonts w:ascii="Times New Roman" w:eastAsia="Times New Roman" w:hAnsi="Times New Roman" w:cs="Times New Roman"/>
                <w:b/>
                <w:sz w:val="20"/>
                <w:szCs w:val="20"/>
                <w:lang w:eastAsia="lv-LV"/>
              </w:rPr>
            </w:pPr>
            <w:r w:rsidRPr="000028E1">
              <w:rPr>
                <w:rFonts w:ascii="Times New Roman" w:eastAsia="Times New Roman" w:hAnsi="Times New Roman" w:cs="Times New Roman"/>
                <w:b/>
                <w:sz w:val="20"/>
                <w:szCs w:val="20"/>
                <w:lang w:eastAsia="lv-LV"/>
              </w:rPr>
              <w:t>Ņemts vērā. Sniegts skaidrojums.</w:t>
            </w:r>
          </w:p>
          <w:p w14:paraId="2907C661" w14:textId="77777777" w:rsidR="000028E1" w:rsidRDefault="000028E1" w:rsidP="00BA6961">
            <w:pPr>
              <w:spacing w:after="0" w:line="240" w:lineRule="auto"/>
              <w:rPr>
                <w:rFonts w:ascii="Times New Roman" w:eastAsia="Times New Roman" w:hAnsi="Times New Roman" w:cs="Times New Roman"/>
                <w:sz w:val="20"/>
                <w:szCs w:val="20"/>
                <w:lang w:eastAsia="lv-LV"/>
              </w:rPr>
            </w:pPr>
          </w:p>
          <w:p w14:paraId="120FB575" w14:textId="0A35C385" w:rsidR="000028E1" w:rsidRPr="00867DED" w:rsidRDefault="000028E1"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Sociālās uzņēmējdarbības aktivitātes jau ir iekļautas šajā plašākajā definīcijā “organizācijas ar kompetenci un pieredzi uzņēmējdarbībā”.</w:t>
            </w:r>
          </w:p>
        </w:tc>
        <w:tc>
          <w:tcPr>
            <w:tcW w:w="754" w:type="pct"/>
            <w:tcBorders>
              <w:top w:val="outset" w:sz="6" w:space="0" w:color="414142"/>
              <w:left w:val="outset" w:sz="6" w:space="0" w:color="414142"/>
              <w:bottom w:val="outset" w:sz="6" w:space="0" w:color="414142"/>
              <w:right w:val="outset" w:sz="6" w:space="0" w:color="414142"/>
            </w:tcBorders>
          </w:tcPr>
          <w:p w14:paraId="7FB11002"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r>
      <w:tr w:rsidR="006404DD" w:rsidRPr="00D73B87" w14:paraId="51D37FA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2B28D2D" w14:textId="27146358"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48.</w:t>
            </w:r>
          </w:p>
        </w:tc>
        <w:tc>
          <w:tcPr>
            <w:tcW w:w="700" w:type="pct"/>
            <w:tcBorders>
              <w:top w:val="outset" w:sz="6" w:space="0" w:color="414142"/>
              <w:left w:val="outset" w:sz="6" w:space="0" w:color="414142"/>
              <w:bottom w:val="outset" w:sz="6" w:space="0" w:color="414142"/>
              <w:right w:val="outset" w:sz="6" w:space="0" w:color="414142"/>
            </w:tcBorders>
          </w:tcPr>
          <w:p w14:paraId="26DED802"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4E118457" w14:textId="7DF8328E"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2.6.1. </w:t>
            </w:r>
          </w:p>
        </w:tc>
        <w:tc>
          <w:tcPr>
            <w:tcW w:w="2369" w:type="pct"/>
            <w:tcBorders>
              <w:top w:val="outset" w:sz="6" w:space="0" w:color="414142"/>
              <w:left w:val="outset" w:sz="6" w:space="0" w:color="414142"/>
              <w:bottom w:val="outset" w:sz="6" w:space="0" w:color="414142"/>
              <w:right w:val="outset" w:sz="6" w:space="0" w:color="414142"/>
            </w:tcBorders>
          </w:tcPr>
          <w:p w14:paraId="110EDF9D"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Saturs:</w:t>
            </w:r>
            <w:r w:rsidRPr="00867DED">
              <w:rPr>
                <w:rFonts w:ascii="Times New Roman" w:eastAsia="Times New Roman" w:hAnsi="Times New Roman" w:cs="Times New Roman"/>
                <w:sz w:val="20"/>
                <w:szCs w:val="20"/>
                <w:lang w:eastAsia="lv-LV"/>
              </w:rPr>
              <w:t xml:space="preserve"> Potenciālie partneri</w:t>
            </w:r>
          </w:p>
          <w:p w14:paraId="02A553FE"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Organizācijas ar kompetenci un pieredzi darba tirgus jomā, darbiniekus pārstāvošas organizācijas, darba devēji, valsts iestādes, nelabvēlīgākā stāvoklī esošās grupas pārstāvošās organizācijas, kā arī organizācijas ar kompetenci un pieredzi uzņēmējdarbībā, tai skaitā sociālās uzņēmējdarbības jomā .</w:t>
            </w:r>
          </w:p>
          <w:p w14:paraId="1B93F57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Komentārs:</w:t>
            </w:r>
            <w:r w:rsidRPr="00867DED">
              <w:rPr>
                <w:rFonts w:ascii="Times New Roman" w:eastAsia="Times New Roman" w:hAnsi="Times New Roman" w:cs="Times New Roman"/>
                <w:sz w:val="20"/>
                <w:szCs w:val="20"/>
                <w:lang w:eastAsia="lv-LV"/>
              </w:rPr>
              <w:t xml:space="preserve"> Ierosinām papildināt ar sociālās uzņēmējdarbības jomas organizācijām.</w:t>
            </w:r>
          </w:p>
          <w:p w14:paraId="163CA6EF"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BADF999" w14:textId="77777777" w:rsidR="003951AE" w:rsidRPr="000028E1" w:rsidRDefault="003951AE" w:rsidP="003951AE">
            <w:pPr>
              <w:spacing w:after="0" w:line="240" w:lineRule="auto"/>
              <w:rPr>
                <w:rFonts w:ascii="Times New Roman" w:eastAsia="Times New Roman" w:hAnsi="Times New Roman" w:cs="Times New Roman"/>
                <w:b/>
                <w:sz w:val="20"/>
                <w:szCs w:val="20"/>
                <w:lang w:eastAsia="lv-LV"/>
              </w:rPr>
            </w:pPr>
            <w:r w:rsidRPr="000028E1">
              <w:rPr>
                <w:rFonts w:ascii="Times New Roman" w:eastAsia="Times New Roman" w:hAnsi="Times New Roman" w:cs="Times New Roman"/>
                <w:b/>
                <w:sz w:val="20"/>
                <w:szCs w:val="20"/>
                <w:lang w:eastAsia="lv-LV"/>
              </w:rPr>
              <w:t>Ņemts vērā. Sniegts skaidrojums.</w:t>
            </w:r>
          </w:p>
          <w:p w14:paraId="0C4D5C32" w14:textId="77777777" w:rsidR="003951AE" w:rsidRDefault="003951AE" w:rsidP="003951AE">
            <w:pPr>
              <w:spacing w:after="0" w:line="240" w:lineRule="auto"/>
              <w:rPr>
                <w:rFonts w:ascii="Times New Roman" w:eastAsia="Times New Roman" w:hAnsi="Times New Roman" w:cs="Times New Roman"/>
                <w:sz w:val="20"/>
                <w:szCs w:val="20"/>
                <w:lang w:eastAsia="lv-LV"/>
              </w:rPr>
            </w:pPr>
          </w:p>
          <w:p w14:paraId="2FDCDAFE" w14:textId="0ED69626" w:rsidR="006404DD" w:rsidRPr="00867DED" w:rsidRDefault="003951AE" w:rsidP="003951AE">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Sociālās uzņēmējdarbības aktivitātes jau ir iekļautas šajā plašākajā definīcijā “organizācijas ar kompetenci un pieredzi uzņēmējdarbībā”.</w:t>
            </w:r>
          </w:p>
        </w:tc>
        <w:tc>
          <w:tcPr>
            <w:tcW w:w="754" w:type="pct"/>
            <w:tcBorders>
              <w:top w:val="outset" w:sz="6" w:space="0" w:color="414142"/>
              <w:left w:val="outset" w:sz="6" w:space="0" w:color="414142"/>
              <w:bottom w:val="outset" w:sz="6" w:space="0" w:color="414142"/>
              <w:right w:val="outset" w:sz="6" w:space="0" w:color="414142"/>
            </w:tcBorders>
          </w:tcPr>
          <w:p w14:paraId="46CA16A5"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r>
      <w:tr w:rsidR="004A0A38" w:rsidRPr="00D73B87" w14:paraId="71032306"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ACD0215" w14:textId="77777777" w:rsidR="00433448" w:rsidRPr="00867DED" w:rsidRDefault="00433448" w:rsidP="00433448">
            <w:pPr>
              <w:pStyle w:val="BodyText"/>
              <w:spacing w:before="11"/>
              <w:rPr>
                <w:sz w:val="22"/>
              </w:rPr>
            </w:pPr>
          </w:p>
          <w:p w14:paraId="15D5A863" w14:textId="46627505" w:rsidR="00433448" w:rsidRPr="00867DED" w:rsidRDefault="00433448" w:rsidP="00433448">
            <w:pPr>
              <w:pStyle w:val="Heading1"/>
              <w:numPr>
                <w:ilvl w:val="1"/>
                <w:numId w:val="7"/>
              </w:numPr>
              <w:tabs>
                <w:tab w:val="left" w:pos="654"/>
              </w:tabs>
              <w:jc w:val="center"/>
              <w:rPr>
                <w:rFonts w:ascii="Times New Roman" w:hAnsi="Times New Roman" w:cs="Times New Roman"/>
              </w:rPr>
            </w:pPr>
            <w:r w:rsidRPr="00867DED">
              <w:rPr>
                <w:rFonts w:ascii="Times New Roman" w:hAnsi="Times New Roman" w:cs="Times New Roman"/>
              </w:rPr>
              <w:t>Uzlaboti Centrālā Baltijas jūras reģiona publiskie pakalpojumi un risinājumi pilsoņiem</w:t>
            </w:r>
          </w:p>
          <w:p w14:paraId="0D57812C" w14:textId="72791950"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2D47F0" w:rsidRPr="00D73B87" w14:paraId="2AFDBB0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B560AF1" w14:textId="5433F03F" w:rsidR="002D47F0"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49.</w:t>
            </w:r>
          </w:p>
        </w:tc>
        <w:tc>
          <w:tcPr>
            <w:tcW w:w="700" w:type="pct"/>
            <w:tcBorders>
              <w:top w:val="outset" w:sz="6" w:space="0" w:color="414142"/>
              <w:left w:val="outset" w:sz="6" w:space="0" w:color="414142"/>
              <w:bottom w:val="outset" w:sz="6" w:space="0" w:color="414142"/>
              <w:right w:val="outset" w:sz="6" w:space="0" w:color="414142"/>
            </w:tcBorders>
          </w:tcPr>
          <w:p w14:paraId="2EEEB32B"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165C3697" w14:textId="35B85C49" w:rsidR="002D47F0" w:rsidRPr="00867DED" w:rsidRDefault="002D47F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2.7. </w:t>
            </w:r>
          </w:p>
        </w:tc>
        <w:tc>
          <w:tcPr>
            <w:tcW w:w="2369" w:type="pct"/>
            <w:tcBorders>
              <w:top w:val="outset" w:sz="6" w:space="0" w:color="414142"/>
              <w:left w:val="outset" w:sz="6" w:space="0" w:color="414142"/>
              <w:bottom w:val="outset" w:sz="6" w:space="0" w:color="414142"/>
              <w:right w:val="outset" w:sz="6" w:space="0" w:color="414142"/>
            </w:tcBorders>
          </w:tcPr>
          <w:p w14:paraId="6AA6FAA5"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Lūdzam precizēt CBJR programmas projekta 2.7.nodaļu, norādot kuru ESSBJR politikas jomu īstenošanu šī prioritāte veicinās. Informējam, ka ESSBJR Rīcības plāns kopumā ietver 14 politikas jomas.</w:t>
            </w:r>
          </w:p>
          <w:p w14:paraId="22EA8A33"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AC47C7A" w14:textId="4F2F60D9" w:rsidR="002D47F0" w:rsidRPr="00574448" w:rsidRDefault="00574448" w:rsidP="00BA6961">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7EE825C4"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p>
        </w:tc>
      </w:tr>
      <w:tr w:rsidR="00D97A2B" w:rsidRPr="00D73B87" w14:paraId="3687575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3E743F8" w14:textId="67949373" w:rsidR="00D97A2B" w:rsidRPr="00867DED" w:rsidRDefault="00C00E55" w:rsidP="00D97A2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w:t>
            </w:r>
          </w:p>
        </w:tc>
        <w:tc>
          <w:tcPr>
            <w:tcW w:w="700" w:type="pct"/>
            <w:tcBorders>
              <w:top w:val="outset" w:sz="6" w:space="0" w:color="414142"/>
              <w:left w:val="outset" w:sz="6" w:space="0" w:color="414142"/>
              <w:bottom w:val="outset" w:sz="6" w:space="0" w:color="414142"/>
              <w:right w:val="outset" w:sz="6" w:space="0" w:color="414142"/>
            </w:tcBorders>
          </w:tcPr>
          <w:p w14:paraId="4A274BA6" w14:textId="401B81B8" w:rsidR="00D97A2B" w:rsidRPr="00867DED" w:rsidRDefault="00D97A2B" w:rsidP="00D97A2B">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608DEEE0" w14:textId="7CB9292B" w:rsidR="00D97A2B" w:rsidRPr="00867DED" w:rsidRDefault="000D2A3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2.7.</w:t>
            </w:r>
            <w:r w:rsidR="00486700" w:rsidRPr="00867DED">
              <w:rPr>
                <w:rFonts w:ascii="Times New Roman" w:eastAsia="Times New Roman" w:hAnsi="Times New Roman" w:cs="Times New Roman"/>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tcPr>
          <w:p w14:paraId="4ACE5DED" w14:textId="45A3AAAD" w:rsidR="00D97A2B" w:rsidRPr="00867DED" w:rsidRDefault="00D97A2B" w:rsidP="00D97A2B">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Lūdzam precizēt CBJR programmas projekta 2.7.nodaļā “Uzlaboti Centrālā Baltijas jūras reģiona publiskie pakalpojumi un risinājumi pilsoņiem” (turpmāk – </w:t>
            </w:r>
            <w:r w:rsidRPr="00867DED">
              <w:rPr>
                <w:rFonts w:ascii="Times New Roman" w:eastAsia="Times New Roman" w:hAnsi="Times New Roman" w:cs="Times New Roman"/>
                <w:sz w:val="20"/>
                <w:szCs w:val="20"/>
                <w:lang w:eastAsia="lv-LV"/>
              </w:rPr>
              <w:lastRenderedPageBreak/>
              <w:t>2.7.nodaļa) minēto “ārpus politikas mērķiem 1, 2 un 4)”, lai skaidri un nepārprotami būtu saprotams, kas ar to tiek domāts. Vienlaikus lūdzam atšifrēt saīsinājuma “PSO” nozīmi.</w:t>
            </w:r>
          </w:p>
          <w:p w14:paraId="401203D5" w14:textId="77777777" w:rsidR="00D97A2B" w:rsidRPr="00867DED" w:rsidRDefault="00D97A2B" w:rsidP="00D97A2B">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E29D0E8" w14:textId="70EC7260" w:rsidR="00D97A2B" w:rsidRPr="00574448" w:rsidRDefault="00574448" w:rsidP="00721B5D">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lastRenderedPageBreak/>
              <w:t>Ņemts vērā.</w:t>
            </w:r>
          </w:p>
        </w:tc>
        <w:tc>
          <w:tcPr>
            <w:tcW w:w="754" w:type="pct"/>
            <w:tcBorders>
              <w:top w:val="outset" w:sz="6" w:space="0" w:color="414142"/>
              <w:left w:val="outset" w:sz="6" w:space="0" w:color="414142"/>
              <w:bottom w:val="outset" w:sz="6" w:space="0" w:color="414142"/>
              <w:right w:val="outset" w:sz="6" w:space="0" w:color="414142"/>
            </w:tcBorders>
          </w:tcPr>
          <w:p w14:paraId="7540158A" w14:textId="77777777" w:rsidR="00D97A2B" w:rsidRPr="00867DED" w:rsidRDefault="00D97A2B" w:rsidP="00D97A2B">
            <w:pPr>
              <w:spacing w:after="0" w:line="240" w:lineRule="auto"/>
              <w:rPr>
                <w:rFonts w:ascii="Times New Roman" w:eastAsia="Times New Roman" w:hAnsi="Times New Roman" w:cs="Times New Roman"/>
                <w:sz w:val="20"/>
                <w:szCs w:val="20"/>
                <w:lang w:eastAsia="lv-LV"/>
              </w:rPr>
            </w:pPr>
          </w:p>
        </w:tc>
      </w:tr>
      <w:tr w:rsidR="00125599" w:rsidRPr="00D73B87" w14:paraId="1D96E525"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CA787FC" w14:textId="49E99890" w:rsidR="00125599" w:rsidRPr="00867DED" w:rsidRDefault="00C00E55" w:rsidP="00125599">
            <w:pPr>
              <w:spacing w:after="0" w:line="240" w:lineRule="auto"/>
              <w:rPr>
                <w:rFonts w:ascii="Times New Roman" w:eastAsia="Times New Roman" w:hAnsi="Times New Roman" w:cs="Times New Roman"/>
                <w:sz w:val="20"/>
                <w:szCs w:val="20"/>
                <w:lang w:eastAsia="lv-LV"/>
              </w:rPr>
            </w:pPr>
            <w:bookmarkStart w:id="8" w:name="_Hlk68767086"/>
            <w:r>
              <w:rPr>
                <w:rFonts w:ascii="Times New Roman" w:eastAsia="Times New Roman" w:hAnsi="Times New Roman" w:cs="Times New Roman"/>
                <w:sz w:val="20"/>
                <w:szCs w:val="20"/>
                <w:lang w:eastAsia="lv-LV"/>
              </w:rPr>
              <w:t>51.</w:t>
            </w:r>
          </w:p>
        </w:tc>
        <w:tc>
          <w:tcPr>
            <w:tcW w:w="700" w:type="pct"/>
            <w:tcBorders>
              <w:top w:val="outset" w:sz="6" w:space="0" w:color="414142"/>
              <w:left w:val="outset" w:sz="6" w:space="0" w:color="414142"/>
              <w:bottom w:val="outset" w:sz="6" w:space="0" w:color="414142"/>
              <w:right w:val="outset" w:sz="6" w:space="0" w:color="414142"/>
            </w:tcBorders>
          </w:tcPr>
          <w:p w14:paraId="3218AB3C" w14:textId="1BBD205D" w:rsidR="00125599" w:rsidRPr="00867DED" w:rsidRDefault="00264BFA" w:rsidP="00125599">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776DEAB8" w14:textId="666D4FDA" w:rsidR="00125599" w:rsidRPr="00867DED" w:rsidRDefault="00E22E1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2.7. </w:t>
            </w:r>
          </w:p>
        </w:tc>
        <w:tc>
          <w:tcPr>
            <w:tcW w:w="2369" w:type="pct"/>
            <w:tcBorders>
              <w:top w:val="outset" w:sz="6" w:space="0" w:color="414142"/>
              <w:left w:val="outset" w:sz="6" w:space="0" w:color="414142"/>
              <w:bottom w:val="outset" w:sz="6" w:space="0" w:color="414142"/>
              <w:right w:val="outset" w:sz="6" w:space="0" w:color="414142"/>
            </w:tcBorders>
          </w:tcPr>
          <w:p w14:paraId="7DE40CF4" w14:textId="7171DBCB" w:rsidR="00125599" w:rsidRPr="00867DED" w:rsidRDefault="00125599" w:rsidP="00125599">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Aicinām papildināt 2.7. prioritātes “Uzlaboti Centrālā Baltijas jūras reģiona publiskie pakalpojumi un risinājumi pilsoņiem” atbalstīto indikatīvo kopīgo darbību uzskaitījumu, iekļaujot tajā “Jaunu un inovatīvu pakalpojumu izstrāde”.</w:t>
            </w:r>
          </w:p>
          <w:p w14:paraId="4ED29173" w14:textId="188693E2" w:rsidR="00264BFA" w:rsidRPr="00867DED" w:rsidRDefault="00264BFA" w:rsidP="00125599">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C24FA73" w14:textId="77777777" w:rsidR="00574448" w:rsidRPr="00574448" w:rsidRDefault="00574448" w:rsidP="00125599">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Ņemts vērā. Sniegts skaidrojums.</w:t>
            </w:r>
          </w:p>
          <w:p w14:paraId="0623DD16" w14:textId="77777777" w:rsidR="00574448" w:rsidRDefault="00574448" w:rsidP="00125599">
            <w:pPr>
              <w:spacing w:after="0" w:line="240" w:lineRule="auto"/>
              <w:rPr>
                <w:rFonts w:ascii="Times New Roman" w:eastAsia="Times New Roman" w:hAnsi="Times New Roman" w:cs="Times New Roman"/>
                <w:sz w:val="20"/>
                <w:szCs w:val="20"/>
                <w:lang w:eastAsia="lv-LV"/>
              </w:rPr>
            </w:pPr>
          </w:p>
          <w:p w14:paraId="4C1C76B1" w14:textId="3D4F1755" w:rsidR="00574448" w:rsidRDefault="00574448" w:rsidP="0012559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Prioritātes ietvaros plānoti divu veidu atbalsts: 1) mazo projektu ietvaros, kurā tiek atbalstīta pieredzes apmaiņa un </w:t>
            </w:r>
          </w:p>
          <w:p w14:paraId="1E3EDCAA" w14:textId="0C66ADDF" w:rsidR="00574448" w:rsidRDefault="00574448" w:rsidP="0012559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Mācīšanās vienam no otra, ko papildina praktiski risinājumi un 2) regulāro projektu ietvaros tiktu izveidoti pārrobežu sabiedriskie pakalpojumi un sabiedrisko pakalpojumu </w:t>
            </w:r>
            <w:proofErr w:type="spellStart"/>
            <w:r>
              <w:rPr>
                <w:rFonts w:ascii="Times New Roman" w:eastAsia="Times New Roman" w:hAnsi="Times New Roman" w:cs="Times New Roman"/>
                <w:sz w:val="20"/>
                <w:szCs w:val="20"/>
                <w:lang w:eastAsia="lv-LV"/>
              </w:rPr>
              <w:t>digitalizācija</w:t>
            </w:r>
            <w:proofErr w:type="spellEnd"/>
            <w:r>
              <w:rPr>
                <w:rFonts w:ascii="Times New Roman" w:eastAsia="Times New Roman" w:hAnsi="Times New Roman" w:cs="Times New Roman"/>
                <w:sz w:val="20"/>
                <w:szCs w:val="20"/>
                <w:lang w:eastAsia="lv-LV"/>
              </w:rPr>
              <w:t>.</w:t>
            </w:r>
          </w:p>
          <w:p w14:paraId="34DF9A52" w14:textId="77777777" w:rsidR="00574448" w:rsidRDefault="00574448" w:rsidP="00125599">
            <w:pPr>
              <w:spacing w:after="0" w:line="240" w:lineRule="auto"/>
              <w:rPr>
                <w:rFonts w:ascii="Times New Roman" w:eastAsia="Times New Roman" w:hAnsi="Times New Roman" w:cs="Times New Roman"/>
                <w:sz w:val="20"/>
                <w:szCs w:val="20"/>
                <w:lang w:eastAsia="lv-LV"/>
              </w:rPr>
            </w:pPr>
          </w:p>
          <w:p w14:paraId="7F22C54F" w14:textId="7E7FA7FA" w:rsidR="00574448" w:rsidRPr="00867DED" w:rsidRDefault="00574448" w:rsidP="0057444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Atbalstīto indikatīvo kopīgo darbību uzskaitījums tiks skaidrots un papildināts Programmas </w:t>
            </w:r>
            <w:r>
              <w:rPr>
                <w:rFonts w:ascii="Times New Roman" w:eastAsia="Times New Roman" w:hAnsi="Times New Roman" w:cs="Times New Roman"/>
                <w:sz w:val="20"/>
                <w:szCs w:val="20"/>
                <w:lang w:eastAsia="lv-LV"/>
              </w:rPr>
              <w:lastRenderedPageBreak/>
              <w:t>rokasgrāmatā.</w:t>
            </w:r>
          </w:p>
        </w:tc>
        <w:tc>
          <w:tcPr>
            <w:tcW w:w="754" w:type="pct"/>
            <w:tcBorders>
              <w:top w:val="outset" w:sz="6" w:space="0" w:color="414142"/>
              <w:left w:val="outset" w:sz="6" w:space="0" w:color="414142"/>
              <w:bottom w:val="outset" w:sz="6" w:space="0" w:color="414142"/>
              <w:right w:val="outset" w:sz="6" w:space="0" w:color="414142"/>
            </w:tcBorders>
          </w:tcPr>
          <w:p w14:paraId="73F87469" w14:textId="77777777" w:rsidR="00125599" w:rsidRPr="00867DED" w:rsidRDefault="00125599" w:rsidP="00125599">
            <w:pPr>
              <w:spacing w:after="0" w:line="240" w:lineRule="auto"/>
              <w:rPr>
                <w:rFonts w:ascii="Times New Roman" w:eastAsia="Times New Roman" w:hAnsi="Times New Roman" w:cs="Times New Roman"/>
                <w:sz w:val="20"/>
                <w:szCs w:val="20"/>
                <w:lang w:eastAsia="lv-LV"/>
              </w:rPr>
            </w:pPr>
          </w:p>
        </w:tc>
      </w:tr>
      <w:tr w:rsidR="005864F5" w:rsidRPr="00D73B87" w14:paraId="4D470C4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3B1E9AE" w14:textId="01301781" w:rsidR="003B4845" w:rsidRPr="00867DED" w:rsidRDefault="003B4845" w:rsidP="003B4845">
            <w:pPr>
              <w:pStyle w:val="Heading1"/>
              <w:tabs>
                <w:tab w:val="left" w:pos="534"/>
              </w:tabs>
              <w:spacing w:line="247" w:lineRule="auto"/>
              <w:ind w:left="390" w:right="454"/>
              <w:jc w:val="center"/>
              <w:rPr>
                <w:rFonts w:ascii="Times New Roman" w:hAnsi="Times New Roman" w:cs="Times New Roman"/>
              </w:rPr>
            </w:pPr>
            <w:bookmarkStart w:id="9" w:name="_Hlk69280852"/>
          </w:p>
          <w:p w14:paraId="32BE69C8" w14:textId="3D05D465" w:rsidR="00433448" w:rsidRPr="00867DED" w:rsidRDefault="003B4845" w:rsidP="003B4845">
            <w:pPr>
              <w:pStyle w:val="Heading1"/>
              <w:tabs>
                <w:tab w:val="left" w:pos="534"/>
              </w:tabs>
              <w:spacing w:line="247" w:lineRule="auto"/>
              <w:ind w:left="390" w:right="454"/>
              <w:jc w:val="center"/>
              <w:rPr>
                <w:rFonts w:ascii="Times New Roman" w:hAnsi="Times New Roman" w:cs="Times New Roman"/>
              </w:rPr>
            </w:pPr>
            <w:r w:rsidRPr="00867DED">
              <w:rPr>
                <w:rFonts w:ascii="Times New Roman" w:hAnsi="Times New Roman" w:cs="Times New Roman"/>
              </w:rPr>
              <w:t>3.</w:t>
            </w:r>
            <w:r w:rsidR="00433448" w:rsidRPr="00867DED">
              <w:rPr>
                <w:rFonts w:ascii="Times New Roman" w:hAnsi="Times New Roman" w:cs="Times New Roman"/>
              </w:rPr>
              <w:t>Norādes par atbalstu maza mēroga projektiem, tostarp maziem projektiem ar mazu projekta finansējumu</w:t>
            </w:r>
          </w:p>
          <w:p w14:paraId="5349B239" w14:textId="514081BF" w:rsidR="005864F5" w:rsidRPr="00867DED" w:rsidRDefault="005864F5" w:rsidP="00BA6961">
            <w:pPr>
              <w:spacing w:after="0" w:line="240" w:lineRule="auto"/>
              <w:jc w:val="center"/>
              <w:rPr>
                <w:rFonts w:ascii="Times New Roman" w:eastAsia="Times New Roman" w:hAnsi="Times New Roman" w:cs="Times New Roman"/>
                <w:b/>
                <w:bCs/>
                <w:sz w:val="20"/>
                <w:szCs w:val="20"/>
                <w:lang w:eastAsia="lv-LV"/>
              </w:rPr>
            </w:pPr>
          </w:p>
        </w:tc>
      </w:tr>
      <w:bookmarkEnd w:id="9"/>
      <w:tr w:rsidR="00125599" w:rsidRPr="00D73B87" w14:paraId="060718BE"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2D4FD2A" w14:textId="218EBAD5" w:rsidR="00125599" w:rsidRPr="00867DED" w:rsidRDefault="00C00E55" w:rsidP="0012559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52.</w:t>
            </w:r>
          </w:p>
        </w:tc>
        <w:tc>
          <w:tcPr>
            <w:tcW w:w="700" w:type="pct"/>
            <w:tcBorders>
              <w:top w:val="outset" w:sz="6" w:space="0" w:color="414142"/>
              <w:left w:val="outset" w:sz="6" w:space="0" w:color="414142"/>
              <w:bottom w:val="outset" w:sz="6" w:space="0" w:color="414142"/>
              <w:right w:val="outset" w:sz="6" w:space="0" w:color="414142"/>
            </w:tcBorders>
          </w:tcPr>
          <w:p w14:paraId="0001058F" w14:textId="27DE7551" w:rsidR="00125599" w:rsidRPr="00867DED" w:rsidRDefault="00945420" w:rsidP="00125599">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Veselības ministrija</w:t>
            </w:r>
          </w:p>
        </w:tc>
        <w:tc>
          <w:tcPr>
            <w:tcW w:w="519" w:type="pct"/>
            <w:tcBorders>
              <w:top w:val="outset" w:sz="6" w:space="0" w:color="414142"/>
              <w:left w:val="outset" w:sz="6" w:space="0" w:color="414142"/>
              <w:bottom w:val="outset" w:sz="6" w:space="0" w:color="414142"/>
              <w:right w:val="outset" w:sz="6" w:space="0" w:color="414142"/>
            </w:tcBorders>
          </w:tcPr>
          <w:p w14:paraId="14805F89" w14:textId="77777777" w:rsidR="00125599" w:rsidRPr="00867DED" w:rsidRDefault="00945420" w:rsidP="00125599">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Vispārīgi</w:t>
            </w:r>
          </w:p>
          <w:p w14:paraId="423EF57F" w14:textId="0A9D5A81" w:rsidR="00945420" w:rsidRPr="00867DED" w:rsidRDefault="0094542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3. nodaļa </w:t>
            </w:r>
          </w:p>
        </w:tc>
        <w:tc>
          <w:tcPr>
            <w:tcW w:w="2369" w:type="pct"/>
            <w:tcBorders>
              <w:top w:val="outset" w:sz="6" w:space="0" w:color="414142"/>
              <w:left w:val="outset" w:sz="6" w:space="0" w:color="414142"/>
              <w:bottom w:val="outset" w:sz="6" w:space="0" w:color="414142"/>
              <w:right w:val="outset" w:sz="6" w:space="0" w:color="414142"/>
            </w:tcBorders>
          </w:tcPr>
          <w:p w14:paraId="01A9BB99" w14:textId="77777777" w:rsidR="00945420" w:rsidRPr="00867DED" w:rsidRDefault="00945420" w:rsidP="00945420">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Būtisku iebildumu vai komentāru Veselības ministrijai nav. Vienīgi aicinām:</w:t>
            </w:r>
          </w:p>
          <w:p w14:paraId="678E9AB2" w14:textId="5CDE76FC" w:rsidR="00945420" w:rsidRPr="00867DED" w:rsidRDefault="00945420" w:rsidP="00945420">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Dokumenta projekta pēdējā, 3. nodaļā norādīt, kas skaitīsies maza mēroga projekts - cik liels finansējums veido šo nošķirumu</w:t>
            </w:r>
            <w:r w:rsidR="00252B17" w:rsidRPr="00867DED">
              <w:rPr>
                <w:rFonts w:ascii="Times New Roman" w:eastAsia="Times New Roman" w:hAnsi="Times New Roman" w:cs="Times New Roman"/>
                <w:sz w:val="20"/>
                <w:szCs w:val="20"/>
                <w:lang w:eastAsia="lv-LV"/>
              </w:rPr>
              <w:t>?</w:t>
            </w:r>
          </w:p>
          <w:p w14:paraId="1D183E1E" w14:textId="77777777" w:rsidR="00125599" w:rsidRPr="00867DED" w:rsidRDefault="00945420" w:rsidP="00945420">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Pārskatīt dokumentu valodu, jo dažviet ir novērojams tiešais tulkojums no angļu valodas, kas latviešu valodā rada ne līdz galam labskanīgas konstrukcijas.</w:t>
            </w:r>
          </w:p>
          <w:p w14:paraId="045CEBF9" w14:textId="4F12BE38" w:rsidR="00632299" w:rsidRPr="00867DED" w:rsidRDefault="00632299" w:rsidP="00945420">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BF02334" w14:textId="77777777" w:rsidR="00125599" w:rsidRPr="00574448" w:rsidRDefault="00574448" w:rsidP="00125599">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Ņemts vērā.</w:t>
            </w:r>
          </w:p>
          <w:p w14:paraId="0EAFD0E4" w14:textId="77777777" w:rsidR="00574448" w:rsidRPr="00574448" w:rsidRDefault="00574448" w:rsidP="00125599">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Sniegts skaidrojums.</w:t>
            </w:r>
          </w:p>
          <w:p w14:paraId="74E9D54A" w14:textId="77777777" w:rsidR="00574448" w:rsidRDefault="00574448" w:rsidP="00125599">
            <w:pPr>
              <w:spacing w:after="0" w:line="240" w:lineRule="auto"/>
              <w:rPr>
                <w:rFonts w:ascii="Times New Roman" w:eastAsia="Times New Roman" w:hAnsi="Times New Roman" w:cs="Times New Roman"/>
                <w:sz w:val="20"/>
                <w:szCs w:val="20"/>
                <w:lang w:eastAsia="lv-LV"/>
              </w:rPr>
            </w:pPr>
          </w:p>
          <w:p w14:paraId="7BD560D5" w14:textId="6D35C834" w:rsidR="00574448" w:rsidRPr="00867DED" w:rsidRDefault="00574448" w:rsidP="00EC1F45">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Maza mēroga projekti tiks atbalstīti tikai Programmas mērķa “Uzlaboti publiskie pakalpojumi un risinājumi pilsoņiem” ietvaros. Maksimālais </w:t>
            </w:r>
            <w:r w:rsidR="00EC1F45">
              <w:rPr>
                <w:rFonts w:ascii="Times New Roman" w:eastAsia="Times New Roman" w:hAnsi="Times New Roman" w:cs="Times New Roman"/>
                <w:sz w:val="20"/>
                <w:szCs w:val="20"/>
                <w:lang w:eastAsia="lv-LV"/>
              </w:rPr>
              <w:t xml:space="preserve">maza mēroga </w:t>
            </w:r>
            <w:r>
              <w:rPr>
                <w:rFonts w:ascii="Times New Roman" w:eastAsia="Times New Roman" w:hAnsi="Times New Roman" w:cs="Times New Roman"/>
                <w:sz w:val="20"/>
                <w:szCs w:val="20"/>
                <w:lang w:eastAsia="lv-LV"/>
              </w:rPr>
              <w:t xml:space="preserve">projekta lielums ir 150 000 EUR. Apvienotā Programmēšanas komiteja lēmusi detalizēti mazos projektus </w:t>
            </w:r>
            <w:r w:rsidR="00EC1F45">
              <w:rPr>
                <w:rFonts w:ascii="Times New Roman" w:eastAsia="Times New Roman" w:hAnsi="Times New Roman" w:cs="Times New Roman"/>
                <w:sz w:val="20"/>
                <w:szCs w:val="20"/>
                <w:lang w:eastAsia="lv-LV"/>
              </w:rPr>
              <w:t xml:space="preserve">skaidrot </w:t>
            </w:r>
            <w:r>
              <w:rPr>
                <w:rFonts w:ascii="Times New Roman" w:eastAsia="Times New Roman" w:hAnsi="Times New Roman" w:cs="Times New Roman"/>
                <w:sz w:val="20"/>
                <w:szCs w:val="20"/>
                <w:lang w:eastAsia="lv-LV"/>
              </w:rPr>
              <w:t>Programmas rokasgrāmatā.</w:t>
            </w:r>
          </w:p>
        </w:tc>
        <w:tc>
          <w:tcPr>
            <w:tcW w:w="754" w:type="pct"/>
            <w:tcBorders>
              <w:top w:val="outset" w:sz="6" w:space="0" w:color="414142"/>
              <w:left w:val="outset" w:sz="6" w:space="0" w:color="414142"/>
              <w:bottom w:val="outset" w:sz="6" w:space="0" w:color="414142"/>
              <w:right w:val="outset" w:sz="6" w:space="0" w:color="414142"/>
            </w:tcBorders>
          </w:tcPr>
          <w:p w14:paraId="43F0C01E" w14:textId="77777777" w:rsidR="00125599" w:rsidRPr="00867DED" w:rsidRDefault="00125599" w:rsidP="00125599">
            <w:pPr>
              <w:spacing w:after="0" w:line="240" w:lineRule="auto"/>
              <w:rPr>
                <w:rFonts w:ascii="Times New Roman" w:eastAsia="Times New Roman" w:hAnsi="Times New Roman" w:cs="Times New Roman"/>
                <w:sz w:val="20"/>
                <w:szCs w:val="20"/>
                <w:lang w:eastAsia="lv-LV"/>
              </w:rPr>
            </w:pPr>
          </w:p>
        </w:tc>
      </w:tr>
      <w:bookmarkEnd w:id="8"/>
    </w:tbl>
    <w:p w14:paraId="1A41500E" w14:textId="09ED6FE2" w:rsidR="00642721" w:rsidRDefault="00642721">
      <w:pPr>
        <w:rPr>
          <w:rFonts w:ascii="Arial" w:eastAsia="Times New Roman" w:hAnsi="Arial" w:cs="Arial"/>
          <w:b/>
          <w:bCs/>
          <w:color w:val="414142"/>
          <w:sz w:val="27"/>
          <w:szCs w:val="27"/>
          <w:lang w:eastAsia="lv-LV"/>
        </w:rPr>
      </w:pPr>
      <w:r>
        <w:rPr>
          <w:rFonts w:ascii="Arial" w:eastAsia="Times New Roman" w:hAnsi="Arial" w:cs="Arial"/>
          <w:b/>
          <w:bCs/>
          <w:color w:val="414142"/>
          <w:sz w:val="27"/>
          <w:szCs w:val="27"/>
          <w:lang w:eastAsia="lv-LV"/>
        </w:rPr>
        <w:br w:type="page"/>
      </w:r>
    </w:p>
    <w:p w14:paraId="1F0EC384" w14:textId="4305AD7A" w:rsidR="004B19BE" w:rsidRPr="009E0C81" w:rsidRDefault="000E1076" w:rsidP="0064272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lv-LV"/>
        </w:rPr>
      </w:pPr>
      <w:r w:rsidRPr="009E0C81">
        <w:rPr>
          <w:rFonts w:ascii="Times New Roman" w:eastAsia="Times New Roman" w:hAnsi="Times New Roman" w:cs="Times New Roman"/>
          <w:b/>
          <w:bCs/>
          <w:sz w:val="28"/>
          <w:szCs w:val="28"/>
          <w:lang w:eastAsia="lv-LV"/>
        </w:rPr>
        <w:lastRenderedPageBreak/>
        <w:t xml:space="preserve">Stratēģiskā ietekmes uz vidi novērtējuma </w:t>
      </w:r>
      <w:r w:rsidR="004B19BE" w:rsidRPr="009E0C81">
        <w:rPr>
          <w:rFonts w:ascii="Times New Roman" w:eastAsia="Times New Roman" w:hAnsi="Times New Roman" w:cs="Times New Roman"/>
          <w:b/>
          <w:bCs/>
          <w:sz w:val="28"/>
          <w:szCs w:val="28"/>
          <w:lang w:eastAsia="lv-LV"/>
        </w:rPr>
        <w:t xml:space="preserve">Vides pārskata projekts </w:t>
      </w:r>
    </w:p>
    <w:p w14:paraId="146F6D42" w14:textId="77777777" w:rsidR="004B19BE" w:rsidRPr="009E0C81" w:rsidRDefault="004B19BE" w:rsidP="004B19B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lv-LV"/>
        </w:rPr>
      </w:pPr>
    </w:p>
    <w:p w14:paraId="11BF2956" w14:textId="77777777" w:rsidR="004B19BE" w:rsidRPr="009E0C81" w:rsidRDefault="004B19BE" w:rsidP="004B19BE">
      <w:pPr>
        <w:shd w:val="clear" w:color="auto" w:fill="FFFFFF"/>
        <w:spacing w:after="0" w:line="240" w:lineRule="auto"/>
        <w:textAlignment w:val="baseline"/>
        <w:rPr>
          <w:rFonts w:ascii="Times New Roman" w:eastAsia="Times New Roman" w:hAnsi="Times New Roman" w:cs="Times New Roman"/>
          <w:b/>
          <w:bCs/>
          <w:sz w:val="20"/>
          <w:szCs w:val="20"/>
          <w:bdr w:val="none" w:sz="0" w:space="0" w:color="auto" w:frame="1"/>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15" w:type="dxa"/>
          <w:left w:w="15" w:type="dxa"/>
          <w:bottom w:w="15" w:type="dxa"/>
          <w:right w:w="15" w:type="dxa"/>
        </w:tblCellMar>
        <w:tblLook w:val="04A0" w:firstRow="1" w:lastRow="0" w:firstColumn="1" w:lastColumn="0" w:noHBand="0" w:noVBand="1"/>
      </w:tblPr>
      <w:tblGrid>
        <w:gridCol w:w="330"/>
        <w:gridCol w:w="1947"/>
        <w:gridCol w:w="1413"/>
        <w:gridCol w:w="6683"/>
        <w:gridCol w:w="1424"/>
        <w:gridCol w:w="2191"/>
      </w:tblGrid>
      <w:tr w:rsidR="004B19BE" w:rsidRPr="009E0C81" w14:paraId="4F0375F7"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vAlign w:val="center"/>
            <w:hideMark/>
          </w:tcPr>
          <w:p w14:paraId="6DA19019"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Nr.</w:t>
            </w:r>
            <w:r w:rsidRPr="009E0C81">
              <w:rPr>
                <w:rFonts w:ascii="Times New Roman" w:eastAsia="Times New Roman" w:hAnsi="Times New Roman" w:cs="Times New Roman"/>
                <w:sz w:val="20"/>
                <w:szCs w:val="20"/>
                <w:bdr w:val="none" w:sz="0" w:space="0" w:color="auto" w:frame="1"/>
                <w:lang w:eastAsia="lv-LV"/>
              </w:rPr>
              <w:br/>
              <w:t>p.k.</w:t>
            </w:r>
          </w:p>
        </w:tc>
        <w:tc>
          <w:tcPr>
            <w:tcW w:w="696" w:type="pct"/>
            <w:tcBorders>
              <w:top w:val="outset" w:sz="6" w:space="0" w:color="414142"/>
              <w:left w:val="outset" w:sz="6" w:space="0" w:color="414142"/>
              <w:bottom w:val="outset" w:sz="6" w:space="0" w:color="414142"/>
              <w:right w:val="outset" w:sz="6" w:space="0" w:color="414142"/>
            </w:tcBorders>
            <w:vAlign w:val="center"/>
            <w:hideMark/>
          </w:tcPr>
          <w:p w14:paraId="6A21F056"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Iebilduma/priekšlikuma iesniedzējs</w:t>
            </w:r>
          </w:p>
        </w:tc>
        <w:tc>
          <w:tcPr>
            <w:tcW w:w="505" w:type="pct"/>
            <w:tcBorders>
              <w:top w:val="outset" w:sz="6" w:space="0" w:color="414142"/>
              <w:left w:val="outset" w:sz="6" w:space="0" w:color="414142"/>
              <w:bottom w:val="outset" w:sz="6" w:space="0" w:color="414142"/>
              <w:right w:val="outset" w:sz="6" w:space="0" w:color="414142"/>
            </w:tcBorders>
          </w:tcPr>
          <w:p w14:paraId="330E0AC1" w14:textId="027CAF10" w:rsidR="004B19BE" w:rsidRPr="009E0C81" w:rsidRDefault="00D97A2B"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 xml:space="preserve">Vides pārskata projekta </w:t>
            </w:r>
            <w:r w:rsidR="000E1076" w:rsidRPr="009E0C81">
              <w:rPr>
                <w:rFonts w:ascii="Times New Roman" w:eastAsia="Times New Roman" w:hAnsi="Times New Roman" w:cs="Times New Roman"/>
                <w:sz w:val="20"/>
                <w:szCs w:val="20"/>
                <w:bdr w:val="none" w:sz="0" w:space="0" w:color="auto" w:frame="1"/>
                <w:lang w:eastAsia="lv-LV"/>
              </w:rPr>
              <w:t>nodaļa</w:t>
            </w:r>
          </w:p>
        </w:tc>
        <w:tc>
          <w:tcPr>
            <w:tcW w:w="2389" w:type="pct"/>
            <w:tcBorders>
              <w:top w:val="outset" w:sz="6" w:space="0" w:color="414142"/>
              <w:left w:val="outset" w:sz="6" w:space="0" w:color="414142"/>
              <w:bottom w:val="outset" w:sz="6" w:space="0" w:color="414142"/>
              <w:right w:val="outset" w:sz="6" w:space="0" w:color="414142"/>
            </w:tcBorders>
            <w:vAlign w:val="center"/>
            <w:hideMark/>
          </w:tcPr>
          <w:p w14:paraId="3CBF5D17"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Iesniegtā iebilduma/</w:t>
            </w:r>
            <w:r w:rsidRPr="009E0C81">
              <w:rPr>
                <w:rFonts w:ascii="Times New Roman" w:eastAsia="Times New Roman" w:hAnsi="Times New Roman" w:cs="Times New Roman"/>
                <w:sz w:val="20"/>
                <w:szCs w:val="20"/>
                <w:bdr w:val="none" w:sz="0" w:space="0" w:color="auto" w:frame="1"/>
                <w:lang w:eastAsia="lv-LV"/>
              </w:rPr>
              <w:br/>
              <w:t>priekšlikuma būtība</w:t>
            </w:r>
          </w:p>
        </w:tc>
        <w:tc>
          <w:tcPr>
            <w:tcW w:w="509" w:type="pct"/>
            <w:tcBorders>
              <w:top w:val="outset" w:sz="6" w:space="0" w:color="414142"/>
              <w:left w:val="outset" w:sz="6" w:space="0" w:color="414142"/>
              <w:bottom w:val="outset" w:sz="6" w:space="0" w:color="414142"/>
              <w:right w:val="outset" w:sz="6" w:space="0" w:color="414142"/>
            </w:tcBorders>
            <w:vAlign w:val="center"/>
            <w:hideMark/>
          </w:tcPr>
          <w:p w14:paraId="14630011"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Ņemts vērā/</w:t>
            </w:r>
            <w:r w:rsidRPr="009E0C81">
              <w:rPr>
                <w:rFonts w:ascii="Times New Roman" w:eastAsia="Times New Roman" w:hAnsi="Times New Roman" w:cs="Times New Roman"/>
                <w:sz w:val="20"/>
                <w:szCs w:val="20"/>
                <w:bdr w:val="none" w:sz="0" w:space="0" w:color="auto" w:frame="1"/>
                <w:lang w:eastAsia="lv-LV"/>
              </w:rPr>
              <w:br/>
              <w:t>nav ņemts vērā</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3506554F"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Pamatojums, ja iebildums/priekšlikums</w:t>
            </w:r>
            <w:r w:rsidRPr="009E0C81">
              <w:rPr>
                <w:rFonts w:ascii="Times New Roman" w:eastAsia="Times New Roman" w:hAnsi="Times New Roman" w:cs="Times New Roman"/>
                <w:sz w:val="20"/>
                <w:szCs w:val="20"/>
                <w:bdr w:val="none" w:sz="0" w:space="0" w:color="auto" w:frame="1"/>
                <w:lang w:eastAsia="lv-LV"/>
              </w:rPr>
              <w:br/>
              <w:t>nav ņemts vērā</w:t>
            </w:r>
          </w:p>
        </w:tc>
      </w:tr>
      <w:tr w:rsidR="00266F64" w:rsidRPr="00867DED" w14:paraId="62E24F81"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vAlign w:val="center"/>
          </w:tcPr>
          <w:p w14:paraId="337E4AF5"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696" w:type="pct"/>
            <w:tcBorders>
              <w:top w:val="outset" w:sz="6" w:space="0" w:color="414142"/>
              <w:left w:val="outset" w:sz="6" w:space="0" w:color="414142"/>
              <w:bottom w:val="outset" w:sz="6" w:space="0" w:color="414142"/>
              <w:right w:val="outset" w:sz="6" w:space="0" w:color="414142"/>
            </w:tcBorders>
            <w:vAlign w:val="center"/>
          </w:tcPr>
          <w:p w14:paraId="0F0E74B8"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505" w:type="pct"/>
            <w:tcBorders>
              <w:top w:val="outset" w:sz="6" w:space="0" w:color="414142"/>
              <w:left w:val="outset" w:sz="6" w:space="0" w:color="414142"/>
              <w:bottom w:val="outset" w:sz="6" w:space="0" w:color="414142"/>
              <w:right w:val="outset" w:sz="6" w:space="0" w:color="414142"/>
            </w:tcBorders>
          </w:tcPr>
          <w:p w14:paraId="38A076E9"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2389" w:type="pct"/>
            <w:tcBorders>
              <w:top w:val="outset" w:sz="6" w:space="0" w:color="414142"/>
              <w:left w:val="outset" w:sz="6" w:space="0" w:color="414142"/>
              <w:bottom w:val="outset" w:sz="6" w:space="0" w:color="414142"/>
              <w:right w:val="outset" w:sz="6" w:space="0" w:color="414142"/>
            </w:tcBorders>
            <w:vAlign w:val="center"/>
          </w:tcPr>
          <w:p w14:paraId="7EFE87BB"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vAlign w:val="center"/>
          </w:tcPr>
          <w:p w14:paraId="05AA0EE4"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783" w:type="pct"/>
            <w:tcBorders>
              <w:top w:val="outset" w:sz="6" w:space="0" w:color="414142"/>
              <w:left w:val="outset" w:sz="6" w:space="0" w:color="414142"/>
              <w:bottom w:val="outset" w:sz="6" w:space="0" w:color="414142"/>
              <w:right w:val="outset" w:sz="6" w:space="0" w:color="414142"/>
            </w:tcBorders>
            <w:vAlign w:val="center"/>
          </w:tcPr>
          <w:p w14:paraId="680A0157"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r>
      <w:tr w:rsidR="00266F64" w:rsidRPr="00867DED" w14:paraId="0E81E2F1" w14:textId="77777777" w:rsidTr="005C47D6">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3D28696" w14:textId="2B8A99DD" w:rsidR="00266F64" w:rsidRPr="00867DED" w:rsidRDefault="00266F64" w:rsidP="00BA6961">
            <w:pPr>
              <w:spacing w:after="0" w:line="240" w:lineRule="auto"/>
              <w:jc w:val="center"/>
              <w:rPr>
                <w:rFonts w:ascii="Times New Roman" w:eastAsia="Times New Roman" w:hAnsi="Times New Roman" w:cs="Times New Roman"/>
                <w:b/>
                <w:bCs/>
                <w:sz w:val="20"/>
                <w:szCs w:val="20"/>
                <w:lang w:eastAsia="lv-LV"/>
              </w:rPr>
            </w:pPr>
            <w:r w:rsidRPr="00867DED">
              <w:rPr>
                <w:rFonts w:ascii="Times New Roman" w:eastAsia="Times New Roman" w:hAnsi="Times New Roman" w:cs="Times New Roman"/>
                <w:b/>
                <w:bCs/>
                <w:sz w:val="20"/>
                <w:szCs w:val="20"/>
                <w:lang w:eastAsia="lv-LV"/>
              </w:rPr>
              <w:t>Vispārīgi</w:t>
            </w:r>
          </w:p>
        </w:tc>
      </w:tr>
      <w:tr w:rsidR="004B19BE" w:rsidRPr="00867DED" w14:paraId="7E5CC640"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hideMark/>
          </w:tcPr>
          <w:p w14:paraId="52D15C65" w14:textId="5FE176A5" w:rsidR="004B19BE" w:rsidRPr="00867DED" w:rsidRDefault="00C00E55"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1.</w:t>
            </w:r>
          </w:p>
        </w:tc>
        <w:tc>
          <w:tcPr>
            <w:tcW w:w="696" w:type="pct"/>
            <w:tcBorders>
              <w:top w:val="outset" w:sz="6" w:space="0" w:color="414142"/>
              <w:left w:val="outset" w:sz="6" w:space="0" w:color="414142"/>
              <w:bottom w:val="outset" w:sz="6" w:space="0" w:color="414142"/>
              <w:right w:val="outset" w:sz="6" w:space="0" w:color="414142"/>
            </w:tcBorders>
            <w:hideMark/>
          </w:tcPr>
          <w:p w14:paraId="44D27C76"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Finanšu ministrija</w:t>
            </w:r>
          </w:p>
        </w:tc>
        <w:tc>
          <w:tcPr>
            <w:tcW w:w="505" w:type="pct"/>
            <w:tcBorders>
              <w:top w:val="outset" w:sz="6" w:space="0" w:color="414142"/>
              <w:left w:val="outset" w:sz="6" w:space="0" w:color="414142"/>
              <w:bottom w:val="outset" w:sz="6" w:space="0" w:color="414142"/>
              <w:right w:val="outset" w:sz="6" w:space="0" w:color="414142"/>
            </w:tcBorders>
          </w:tcPr>
          <w:p w14:paraId="59FD98AD" w14:textId="351A26F9" w:rsidR="004B19BE" w:rsidRPr="00867DED" w:rsidRDefault="006F1AF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lang w:eastAsia="lv-LV"/>
              </w:rPr>
              <w:t>Vispārīgi</w:t>
            </w:r>
          </w:p>
        </w:tc>
        <w:tc>
          <w:tcPr>
            <w:tcW w:w="2389" w:type="pct"/>
            <w:tcBorders>
              <w:top w:val="outset" w:sz="6" w:space="0" w:color="414142"/>
              <w:left w:val="outset" w:sz="6" w:space="0" w:color="414142"/>
              <w:bottom w:val="outset" w:sz="6" w:space="0" w:color="414142"/>
              <w:right w:val="outset" w:sz="6" w:space="0" w:color="414142"/>
            </w:tcBorders>
          </w:tcPr>
          <w:p w14:paraId="7BC2791F" w14:textId="5694D8E3"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Aicinām precizēt vides pārskata projektā lietotos terminus atbilstoši Ministru kabineta 2004.gada 23.marta noteikumos Nr.157 “Kārtība, kādā veicams ietekmes uz vidi stratēģiskais novērtējums” minētajiem, kā arī ievērot tajos noteikto saturu un ietekmes vērtēšanu. Papildus lūdzam lietot Eiropas Sociālā fonda nosaukumu atbilstoši attiecīgās regulas priekšlikumā [5]  lietotajam “Eiropas Sociālais fonds plus”.</w:t>
            </w:r>
          </w:p>
          <w:p w14:paraId="488E1366"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F5B9F66" w14:textId="1ABEA40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[5] Eiropas Parlamenta un Padomes 2018.gada 30.maija priekšlikums Regulai Par Eiropas Sociālo fondu Plus </w:t>
            </w:r>
            <w:r w:rsidRPr="00867DED">
              <w:rPr>
                <w:rFonts w:ascii="Times New Roman" w:eastAsia="Times New Roman" w:hAnsi="Times New Roman" w:cs="Times New Roman"/>
                <w:sz w:val="20"/>
                <w:szCs w:val="20"/>
                <w:lang w:eastAsia="lv-LV"/>
              </w:rPr>
              <w:t>(ESF+)</w:t>
            </w:r>
            <w:r w:rsidRPr="00867DED">
              <w:rPr>
                <w:rFonts w:ascii="Times New Roman" w:eastAsia="Times New Roman" w:hAnsi="Times New Roman" w:cs="Times New Roman"/>
                <w:sz w:val="20"/>
                <w:szCs w:val="20"/>
                <w:bdr w:val="none" w:sz="0" w:space="0" w:color="auto" w:frame="1"/>
                <w:lang w:eastAsia="lv-LV"/>
              </w:rPr>
              <w:t>.</w:t>
            </w:r>
          </w:p>
          <w:p w14:paraId="61303140" w14:textId="58FF000B"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hyperlink r:id="rId16" w:history="1">
              <w:r w:rsidRPr="00867DED">
                <w:rPr>
                  <w:rStyle w:val="Hyperlink"/>
                  <w:rFonts w:ascii="Times New Roman" w:eastAsia="Times New Roman" w:hAnsi="Times New Roman" w:cs="Times New Roman"/>
                  <w:color w:val="auto"/>
                  <w:sz w:val="20"/>
                  <w:szCs w:val="20"/>
                  <w:bdr w:val="none" w:sz="0" w:space="0" w:color="auto" w:frame="1"/>
                  <w:lang w:eastAsia="lv-LV"/>
                </w:rPr>
                <w:t>https://eur-lex.europa.eu/legal-content/LV/TXT/HTML/?uri=CELEX:52018PC0382&amp;from=en</w:t>
              </w:r>
            </w:hyperlink>
          </w:p>
          <w:p w14:paraId="704A2607" w14:textId="1CC83B0D"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hideMark/>
          </w:tcPr>
          <w:p w14:paraId="67A1DFC3" w14:textId="6AC390F4" w:rsidR="004B19BE" w:rsidRPr="00525A07" w:rsidRDefault="00525A07" w:rsidP="004B19BE">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Ņemts vērā.</w:t>
            </w:r>
          </w:p>
        </w:tc>
        <w:tc>
          <w:tcPr>
            <w:tcW w:w="783" w:type="pct"/>
            <w:tcBorders>
              <w:top w:val="outset" w:sz="6" w:space="0" w:color="414142"/>
              <w:left w:val="outset" w:sz="6" w:space="0" w:color="414142"/>
              <w:bottom w:val="outset" w:sz="6" w:space="0" w:color="414142"/>
              <w:right w:val="outset" w:sz="6" w:space="0" w:color="414142"/>
            </w:tcBorders>
            <w:hideMark/>
          </w:tcPr>
          <w:p w14:paraId="48123A8B"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p>
        </w:tc>
      </w:tr>
      <w:tr w:rsidR="00266F64" w:rsidRPr="00867DED" w14:paraId="5175F926" w14:textId="77777777" w:rsidTr="005C47D6">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88098C3" w14:textId="77777777" w:rsidR="003B4845" w:rsidRPr="00867DED" w:rsidRDefault="003B4845" w:rsidP="003B4845">
            <w:pPr>
              <w:pStyle w:val="ListParagraph"/>
              <w:spacing w:after="0" w:line="240" w:lineRule="auto"/>
              <w:ind w:left="893"/>
              <w:jc w:val="center"/>
              <w:rPr>
                <w:rFonts w:ascii="Times New Roman" w:eastAsia="Times New Roman" w:hAnsi="Times New Roman" w:cs="Times New Roman"/>
                <w:b/>
                <w:bCs/>
                <w:sz w:val="20"/>
                <w:szCs w:val="20"/>
                <w:lang w:eastAsia="lv-LV"/>
              </w:rPr>
            </w:pPr>
          </w:p>
          <w:p w14:paraId="78715CE2" w14:textId="77777777" w:rsidR="00266F64" w:rsidRPr="00867DED" w:rsidRDefault="003B4845" w:rsidP="003B4845">
            <w:pPr>
              <w:pStyle w:val="ListParagraph"/>
              <w:spacing w:after="0" w:line="240" w:lineRule="auto"/>
              <w:ind w:left="893"/>
              <w:jc w:val="center"/>
              <w:rPr>
                <w:rFonts w:ascii="Times New Roman" w:eastAsia="Times New Roman" w:hAnsi="Times New Roman" w:cs="Times New Roman"/>
                <w:b/>
                <w:bCs/>
                <w:sz w:val="20"/>
                <w:szCs w:val="20"/>
                <w:lang w:eastAsia="lv-LV"/>
              </w:rPr>
            </w:pPr>
            <w:r w:rsidRPr="00867DED">
              <w:rPr>
                <w:rFonts w:ascii="Times New Roman" w:eastAsia="Times New Roman" w:hAnsi="Times New Roman" w:cs="Times New Roman"/>
                <w:b/>
                <w:bCs/>
                <w:sz w:val="20"/>
                <w:szCs w:val="20"/>
                <w:lang w:eastAsia="lv-LV"/>
              </w:rPr>
              <w:t>2.Centrālā Baltijas jūras reģiona programmas struktūra</w:t>
            </w:r>
          </w:p>
          <w:p w14:paraId="319F9077" w14:textId="06AEBC75" w:rsidR="003B4845" w:rsidRPr="00867DED" w:rsidRDefault="003B4845" w:rsidP="003B4845">
            <w:pPr>
              <w:pStyle w:val="ListParagraph"/>
              <w:spacing w:after="0" w:line="240" w:lineRule="auto"/>
              <w:ind w:left="893"/>
              <w:jc w:val="center"/>
              <w:rPr>
                <w:rFonts w:ascii="Times New Roman" w:eastAsia="Times New Roman" w:hAnsi="Times New Roman" w:cs="Times New Roman"/>
                <w:b/>
                <w:bCs/>
                <w:sz w:val="20"/>
                <w:szCs w:val="20"/>
                <w:lang w:eastAsia="lv-LV"/>
              </w:rPr>
            </w:pPr>
          </w:p>
        </w:tc>
      </w:tr>
      <w:tr w:rsidR="004B19BE" w:rsidRPr="00867DED" w14:paraId="19852D8C"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hideMark/>
          </w:tcPr>
          <w:p w14:paraId="482E8AB2" w14:textId="6791790C" w:rsidR="004B19BE" w:rsidRPr="00867DED" w:rsidRDefault="00C00E55"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2.</w:t>
            </w:r>
          </w:p>
        </w:tc>
        <w:tc>
          <w:tcPr>
            <w:tcW w:w="696" w:type="pct"/>
            <w:tcBorders>
              <w:top w:val="outset" w:sz="6" w:space="0" w:color="414142"/>
              <w:left w:val="outset" w:sz="6" w:space="0" w:color="414142"/>
              <w:bottom w:val="outset" w:sz="6" w:space="0" w:color="414142"/>
              <w:right w:val="outset" w:sz="6" w:space="0" w:color="414142"/>
            </w:tcBorders>
            <w:hideMark/>
          </w:tcPr>
          <w:p w14:paraId="3C8BBBD6" w14:textId="4943FF58"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r w:rsidR="00642721" w:rsidRPr="00867DED">
              <w:rPr>
                <w:rFonts w:ascii="Times New Roman" w:eastAsia="Times New Roman" w:hAnsi="Times New Roman" w:cs="Times New Roman"/>
                <w:sz w:val="20"/>
                <w:szCs w:val="20"/>
                <w:bdr w:val="none" w:sz="0" w:space="0" w:color="auto" w:frame="1"/>
                <w:lang w:eastAsia="lv-LV"/>
              </w:rPr>
              <w:t>Finanšu ministrija</w:t>
            </w:r>
          </w:p>
        </w:tc>
        <w:tc>
          <w:tcPr>
            <w:tcW w:w="505" w:type="pct"/>
            <w:tcBorders>
              <w:top w:val="outset" w:sz="6" w:space="0" w:color="414142"/>
              <w:left w:val="outset" w:sz="6" w:space="0" w:color="414142"/>
              <w:bottom w:val="outset" w:sz="6" w:space="0" w:color="414142"/>
              <w:right w:val="outset" w:sz="6" w:space="0" w:color="414142"/>
            </w:tcBorders>
          </w:tcPr>
          <w:p w14:paraId="57B1CD2B" w14:textId="51A5C773" w:rsidR="004B19BE" w:rsidRPr="00867DED" w:rsidRDefault="006F1AFE" w:rsidP="00C00E55">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2.2. </w:t>
            </w:r>
          </w:p>
        </w:tc>
        <w:tc>
          <w:tcPr>
            <w:tcW w:w="2389" w:type="pct"/>
            <w:tcBorders>
              <w:top w:val="outset" w:sz="6" w:space="0" w:color="414142"/>
              <w:left w:val="outset" w:sz="6" w:space="0" w:color="414142"/>
              <w:bottom w:val="outset" w:sz="6" w:space="0" w:color="414142"/>
              <w:right w:val="outset" w:sz="6" w:space="0" w:color="414142"/>
            </w:tcBorders>
            <w:hideMark/>
          </w:tcPr>
          <w:p w14:paraId="55DDD437" w14:textId="25A9290E"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Lūdzam papildināt vides pārskata projekta 2.2.sadaļas “Saistība ar citām būtiskām programmām un stratēģijām” noslēgumā ietverto tabulu, norādot, vai CBJR programmas projekts paredz sasaisti ar DP 2014.–2020.gadam  un DP 2021.–2027.gadam.  Vienlaikus aicinām izvērtēt un, nepieciešamības gadījumā norādīt atbalsta instrumentus, kas saistīti ar CBJR programmas projektā plānotajām darbībām, piemēram, Eiropas Reģionālās attīstības fonds, Taisnīgās pārkārtošanās fonds.</w:t>
            </w:r>
          </w:p>
          <w:p w14:paraId="6598B6A8"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3A231E4B"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hideMark/>
          </w:tcPr>
          <w:p w14:paraId="704DF4B1" w14:textId="74772963" w:rsidR="004B19BE" w:rsidRPr="00867DED" w:rsidRDefault="00525A07"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Ņemts vērā.</w:t>
            </w:r>
          </w:p>
        </w:tc>
        <w:tc>
          <w:tcPr>
            <w:tcW w:w="783" w:type="pct"/>
            <w:tcBorders>
              <w:top w:val="outset" w:sz="6" w:space="0" w:color="414142"/>
              <w:left w:val="outset" w:sz="6" w:space="0" w:color="414142"/>
              <w:bottom w:val="outset" w:sz="6" w:space="0" w:color="414142"/>
              <w:right w:val="outset" w:sz="6" w:space="0" w:color="414142"/>
            </w:tcBorders>
            <w:hideMark/>
          </w:tcPr>
          <w:p w14:paraId="79B11525"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p>
        </w:tc>
      </w:tr>
      <w:tr w:rsidR="00266F64" w:rsidRPr="00867DED" w14:paraId="38806118" w14:textId="77777777" w:rsidTr="005C47D6">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EBA9F5B" w14:textId="3155D0A3" w:rsidR="00266F64" w:rsidRPr="00867DED" w:rsidRDefault="00266F64" w:rsidP="00BA6961">
            <w:pPr>
              <w:spacing w:after="0" w:line="240" w:lineRule="auto"/>
              <w:jc w:val="center"/>
              <w:rPr>
                <w:rFonts w:ascii="Times New Roman" w:eastAsia="Times New Roman" w:hAnsi="Times New Roman" w:cs="Times New Roman"/>
                <w:b/>
                <w:bCs/>
                <w:sz w:val="20"/>
                <w:szCs w:val="20"/>
                <w:lang w:eastAsia="lv-LV"/>
              </w:rPr>
            </w:pPr>
            <w:bookmarkStart w:id="10" w:name="_Hlk69281114"/>
            <w:r w:rsidRPr="00867DED">
              <w:rPr>
                <w:rFonts w:ascii="Times New Roman" w:eastAsia="Times New Roman" w:hAnsi="Times New Roman" w:cs="Times New Roman"/>
                <w:b/>
                <w:bCs/>
                <w:sz w:val="20"/>
                <w:szCs w:val="20"/>
                <w:lang w:eastAsia="lv-LV"/>
              </w:rPr>
              <w:t>3</w:t>
            </w:r>
            <w:r w:rsidR="003B4845" w:rsidRPr="00867DED">
              <w:rPr>
                <w:rFonts w:ascii="Times New Roman" w:eastAsia="Times New Roman" w:hAnsi="Times New Roman" w:cs="Times New Roman"/>
                <w:b/>
                <w:bCs/>
                <w:sz w:val="20"/>
                <w:szCs w:val="20"/>
                <w:lang w:eastAsia="lv-LV"/>
              </w:rPr>
              <w:t>.Būtiski vides mērķi</w:t>
            </w:r>
            <w:r w:rsidRPr="00867DED">
              <w:rPr>
                <w:rFonts w:ascii="Times New Roman" w:eastAsia="Times New Roman" w:hAnsi="Times New Roman" w:cs="Times New Roman"/>
                <w:b/>
                <w:bCs/>
                <w:sz w:val="20"/>
                <w:szCs w:val="20"/>
                <w:lang w:eastAsia="lv-LV"/>
              </w:rPr>
              <w:t xml:space="preserve"> </w:t>
            </w:r>
          </w:p>
        </w:tc>
      </w:tr>
      <w:bookmarkEnd w:id="10"/>
      <w:tr w:rsidR="00255968" w:rsidRPr="00867DED" w14:paraId="786C72CB"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tcPr>
          <w:p w14:paraId="79093BB3" w14:textId="52DDAAC8" w:rsidR="00255968" w:rsidRPr="00867DED" w:rsidRDefault="00C00E55"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3.</w:t>
            </w:r>
          </w:p>
        </w:tc>
        <w:tc>
          <w:tcPr>
            <w:tcW w:w="696" w:type="pct"/>
            <w:tcBorders>
              <w:top w:val="outset" w:sz="6" w:space="0" w:color="414142"/>
              <w:left w:val="outset" w:sz="6" w:space="0" w:color="414142"/>
              <w:bottom w:val="outset" w:sz="6" w:space="0" w:color="414142"/>
              <w:right w:val="outset" w:sz="6" w:space="0" w:color="414142"/>
            </w:tcBorders>
          </w:tcPr>
          <w:p w14:paraId="72443D82" w14:textId="1BF8F185" w:rsidR="00255968" w:rsidRPr="00867DED" w:rsidRDefault="00D30EF8"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Dabas aizsardzības pārvalde</w:t>
            </w:r>
          </w:p>
        </w:tc>
        <w:tc>
          <w:tcPr>
            <w:tcW w:w="505" w:type="pct"/>
            <w:tcBorders>
              <w:top w:val="outset" w:sz="6" w:space="0" w:color="414142"/>
              <w:left w:val="outset" w:sz="6" w:space="0" w:color="414142"/>
              <w:bottom w:val="outset" w:sz="6" w:space="0" w:color="414142"/>
              <w:right w:val="outset" w:sz="6" w:space="0" w:color="414142"/>
            </w:tcBorders>
          </w:tcPr>
          <w:p w14:paraId="3EF88B41" w14:textId="64AB182C" w:rsidR="00255968" w:rsidRPr="00867DED" w:rsidRDefault="00D30EF8" w:rsidP="00C00E55">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3</w:t>
            </w:r>
            <w:r w:rsidR="00C00E55">
              <w:rPr>
                <w:rFonts w:ascii="Times New Roman" w:eastAsia="Times New Roman" w:hAnsi="Times New Roman" w:cs="Times New Roman"/>
                <w:sz w:val="20"/>
                <w:szCs w:val="20"/>
                <w:bdr w:val="none" w:sz="0" w:space="0" w:color="auto" w:frame="1"/>
                <w:lang w:eastAsia="lv-LV"/>
              </w:rPr>
              <w:t>.</w:t>
            </w:r>
          </w:p>
        </w:tc>
        <w:tc>
          <w:tcPr>
            <w:tcW w:w="2389" w:type="pct"/>
            <w:tcBorders>
              <w:top w:val="outset" w:sz="6" w:space="0" w:color="414142"/>
              <w:left w:val="outset" w:sz="6" w:space="0" w:color="414142"/>
              <w:bottom w:val="outset" w:sz="6" w:space="0" w:color="414142"/>
              <w:right w:val="outset" w:sz="6" w:space="0" w:color="414142"/>
            </w:tcBorders>
          </w:tcPr>
          <w:p w14:paraId="316198F7" w14:textId="7A71F2C2" w:rsidR="00252B17" w:rsidRPr="00867DED" w:rsidRDefault="00252B17" w:rsidP="00D30EF8">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Pārvalde atbalsta Programmas īstenošanas Vides alternatīvu, kas nerada negatīvas ietekmes risku uz bioloģisko daudzveidību un jūras vidi, kā arī neveicina piesārņojumu un klimata pārmaiņas</w:t>
            </w:r>
          </w:p>
          <w:p w14:paraId="56B6F804" w14:textId="5D877A09" w:rsidR="009F42DF" w:rsidRPr="00867DED" w:rsidRDefault="009F42DF" w:rsidP="00D30EF8">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Programmas konkrētais mērķis (vii) “Dabas aizsardzības, bioloģiskās daudzveidības un zaļās infrastruktūras veicināšana, sevišķi pilsētvidē, un </w:t>
            </w:r>
            <w:r w:rsidRPr="00867DED">
              <w:rPr>
                <w:rFonts w:ascii="Times New Roman" w:eastAsia="Times New Roman" w:hAnsi="Times New Roman" w:cs="Times New Roman"/>
                <w:sz w:val="20"/>
                <w:szCs w:val="20"/>
                <w:bdr w:val="none" w:sz="0" w:space="0" w:color="auto" w:frame="1"/>
                <w:lang w:eastAsia="lv-LV"/>
              </w:rPr>
              <w:lastRenderedPageBreak/>
              <w:t>piesārņojuma samazināšana” un tam atbilstošā 2.5. prioritāte “Uzlabota Centrālā Baltijas jūras reģiona piekrastes un jūras vide” galveno uzmanību pievērš Baltijas jūras eitrofikācijai un piesārņojuma problēmām. Konkrētā mērķa (vii) un 2.5. prioritātes apraksts, kā arī 2.5. prioritātē minētie rādītāji attiecas uz problēmām, kas saistītas ar eitrofikāciju un piesārņojumu, un apstiprina atbalstu pasākumiem, kas samazina barības vielu, bīstamo vielu, plastmasas un toksīnu ieplūdes Baltijas jūrā.</w:t>
            </w:r>
          </w:p>
          <w:p w14:paraId="445584D9" w14:textId="77777777" w:rsidR="009F42DF" w:rsidRPr="00867DED" w:rsidRDefault="009F42DF" w:rsidP="009F42DF">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Pārvaldes ieskatā eitrofikācija un Baltijas jūras piesārņošana ir prioritāri risināmas problēmas. Tomēr dabas aizsardzības un bioloģiskās daudzveidības veicināšana Baltijas jūrā un tās piekrastē aptver plašāku aktuālo jautājumu loku. Arī saskaņā ar jauno HELCOM Baltijas jūras rīcības plāna projektu</w:t>
            </w:r>
            <w:r w:rsidRPr="00867DED">
              <w:rPr>
                <w:rFonts w:ascii="Times New Roman" w:eastAsia="Times New Roman" w:hAnsi="Times New Roman" w:cs="Times New Roman"/>
                <w:sz w:val="20"/>
                <w:szCs w:val="20"/>
                <w:bdr w:val="none" w:sz="0" w:space="0" w:color="auto" w:frame="1"/>
                <w:vertAlign w:val="superscript"/>
                <w:lang w:eastAsia="lv-LV"/>
              </w:rPr>
              <w:footnoteReference w:id="2"/>
            </w:r>
            <w:r w:rsidRPr="00867DED">
              <w:rPr>
                <w:rFonts w:ascii="Times New Roman" w:eastAsia="Times New Roman" w:hAnsi="Times New Roman" w:cs="Times New Roman"/>
                <w:sz w:val="20"/>
                <w:szCs w:val="20"/>
                <w:bdr w:val="none" w:sz="0" w:space="0" w:color="auto" w:frame="1"/>
                <w:lang w:eastAsia="lv-LV"/>
              </w:rPr>
              <w:t xml:space="preserve"> (13 lpp.): “Visas darbības, kas risina jautājumus saistībā ar eitrofikāciju, bīstamām vielām un atkritumiem, ir būtiski nozīmīgas, lai uzlabotu bioloģiskās daudzveidības stāvokli Baltijas jūrā. Ņemot vērā pieaugošo vispārējo spiedienu un efektu, ko Baltijas jūrā radījušas daudzas cilvēku darbības, daudzām sugām un biotopiem steidzami nepieciešama aizsardzība, </w:t>
            </w:r>
            <w:r w:rsidRPr="00867DED">
              <w:rPr>
                <w:rFonts w:ascii="Times New Roman" w:eastAsia="Times New Roman" w:hAnsi="Times New Roman" w:cs="Times New Roman"/>
                <w:sz w:val="20"/>
                <w:szCs w:val="20"/>
                <w:u w:val="single"/>
                <w:bdr w:val="none" w:sz="0" w:space="0" w:color="auto" w:frame="1"/>
                <w:lang w:eastAsia="lv-LV"/>
              </w:rPr>
              <w:t>tādēļ vienlaikus ar spiediena samazināšanu nepieciešams pastiprināt dabas aizsardzības aktivitātes</w:t>
            </w:r>
            <w:r w:rsidRPr="00867DED">
              <w:rPr>
                <w:rFonts w:ascii="Times New Roman" w:eastAsia="Times New Roman" w:hAnsi="Times New Roman" w:cs="Times New Roman"/>
                <w:sz w:val="20"/>
                <w:szCs w:val="20"/>
                <w:bdr w:val="none" w:sz="0" w:space="0" w:color="auto" w:frame="1"/>
                <w:lang w:eastAsia="lv-LV"/>
              </w:rPr>
              <w:t xml:space="preserve">.” </w:t>
            </w:r>
          </w:p>
          <w:p w14:paraId="1FD6590B" w14:textId="77777777" w:rsidR="009F42DF" w:rsidRPr="00867DED" w:rsidRDefault="009F42DF" w:rsidP="009F42DF">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vertAlign w:val="superscript"/>
                <w:lang w:eastAsia="lv-LV"/>
              </w:rPr>
              <w:footnoteRef/>
            </w:r>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Second</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draft</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of</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the</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updated</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Baltic</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Sea</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Action</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Plan</w:t>
            </w:r>
            <w:proofErr w:type="spellEnd"/>
            <w:r w:rsidRPr="00867DED">
              <w:rPr>
                <w:rFonts w:ascii="Times New Roman" w:eastAsia="Times New Roman" w:hAnsi="Times New Roman" w:cs="Times New Roman"/>
                <w:sz w:val="20"/>
                <w:szCs w:val="20"/>
                <w:bdr w:val="none" w:sz="0" w:space="0" w:color="auto" w:frame="1"/>
                <w:lang w:eastAsia="lv-LV"/>
              </w:rPr>
              <w:t xml:space="preserve">: </w:t>
            </w:r>
            <w:hyperlink r:id="rId17" w:history="1">
              <w:r w:rsidRPr="00867DED">
                <w:rPr>
                  <w:rStyle w:val="Hyperlink"/>
                  <w:rFonts w:ascii="Times New Roman" w:eastAsia="Times New Roman" w:hAnsi="Times New Roman" w:cs="Times New Roman"/>
                  <w:color w:val="auto"/>
                  <w:sz w:val="20"/>
                  <w:szCs w:val="20"/>
                  <w:bdr w:val="none" w:sz="0" w:space="0" w:color="auto" w:frame="1"/>
                  <w:lang w:eastAsia="lv-LV"/>
                </w:rPr>
                <w:t>https://portal.helcom.fi/meetings/HELCOM%2042-2021-746/MeetingDocuments/4-3%20Draft%20updated%20Baltic%20Sea%20Action%20Plan.pdf</w:t>
              </w:r>
            </w:hyperlink>
          </w:p>
          <w:p w14:paraId="60030D29" w14:textId="77777777" w:rsidR="00255968" w:rsidRPr="00867DED" w:rsidRDefault="00255968"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tcPr>
          <w:p w14:paraId="1BABC982" w14:textId="77777777" w:rsidR="00255968" w:rsidRDefault="00525A07" w:rsidP="004B19BE">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lastRenderedPageBreak/>
              <w:t>Ņemts vērā.</w:t>
            </w:r>
          </w:p>
          <w:p w14:paraId="4A948DD2" w14:textId="77777777" w:rsidR="00ED5A3F" w:rsidRDefault="00ED5A3F" w:rsidP="004B19BE">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p w14:paraId="701CC1D9" w14:textId="25D72AE0" w:rsidR="00525A07" w:rsidRPr="00867DED" w:rsidRDefault="00ED5A3F" w:rsidP="00525A07">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Papildināts Vides </w:t>
            </w:r>
            <w:proofErr w:type="spellStart"/>
            <w:r>
              <w:rPr>
                <w:rFonts w:ascii="Times New Roman" w:eastAsia="Times New Roman" w:hAnsi="Times New Roman" w:cs="Times New Roman"/>
                <w:sz w:val="20"/>
                <w:szCs w:val="20"/>
                <w:bdr w:val="none" w:sz="0" w:space="0" w:color="auto" w:frame="1"/>
                <w:lang w:eastAsia="lv-LV"/>
              </w:rPr>
              <w:t>izvērtējuma</w:t>
            </w:r>
            <w:proofErr w:type="spellEnd"/>
            <w:r>
              <w:rPr>
                <w:rFonts w:ascii="Times New Roman" w:eastAsia="Times New Roman" w:hAnsi="Times New Roman" w:cs="Times New Roman"/>
                <w:sz w:val="20"/>
                <w:szCs w:val="20"/>
                <w:bdr w:val="none" w:sz="0" w:space="0" w:color="auto" w:frame="1"/>
                <w:lang w:eastAsia="lv-LV"/>
              </w:rPr>
              <w:t xml:space="preserve"> </w:t>
            </w:r>
            <w:r>
              <w:rPr>
                <w:rFonts w:ascii="Times New Roman" w:eastAsia="Times New Roman" w:hAnsi="Times New Roman" w:cs="Times New Roman"/>
                <w:sz w:val="20"/>
                <w:szCs w:val="20"/>
                <w:bdr w:val="none" w:sz="0" w:space="0" w:color="auto" w:frame="1"/>
                <w:lang w:eastAsia="lv-LV"/>
              </w:rPr>
              <w:lastRenderedPageBreak/>
              <w:t>teksts.</w:t>
            </w:r>
          </w:p>
        </w:tc>
        <w:tc>
          <w:tcPr>
            <w:tcW w:w="783" w:type="pct"/>
            <w:tcBorders>
              <w:top w:val="outset" w:sz="6" w:space="0" w:color="414142"/>
              <w:left w:val="outset" w:sz="6" w:space="0" w:color="414142"/>
              <w:bottom w:val="outset" w:sz="6" w:space="0" w:color="414142"/>
              <w:right w:val="outset" w:sz="6" w:space="0" w:color="414142"/>
            </w:tcBorders>
          </w:tcPr>
          <w:p w14:paraId="1A458783" w14:textId="77777777" w:rsidR="00255968" w:rsidRPr="00867DED" w:rsidRDefault="00255968"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r>
      <w:tr w:rsidR="00F852A5" w:rsidRPr="00867DED" w14:paraId="2C1AB372" w14:textId="77777777" w:rsidTr="00BA6961">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F4F3114" w14:textId="5F5357A0" w:rsidR="00F852A5" w:rsidRPr="00867DED" w:rsidRDefault="00F852A5" w:rsidP="00BA6961">
            <w:pPr>
              <w:spacing w:after="0" w:line="240" w:lineRule="auto"/>
              <w:jc w:val="center"/>
              <w:rPr>
                <w:rFonts w:ascii="Times New Roman" w:eastAsia="Times New Roman" w:hAnsi="Times New Roman" w:cs="Times New Roman"/>
                <w:b/>
                <w:bCs/>
                <w:sz w:val="20"/>
                <w:szCs w:val="20"/>
                <w:lang w:eastAsia="lv-LV"/>
              </w:rPr>
            </w:pPr>
            <w:r w:rsidRPr="00867DED">
              <w:rPr>
                <w:rFonts w:ascii="Times New Roman" w:eastAsia="Times New Roman" w:hAnsi="Times New Roman" w:cs="Times New Roman"/>
                <w:b/>
                <w:bCs/>
                <w:sz w:val="20"/>
                <w:szCs w:val="20"/>
                <w:lang w:eastAsia="lv-LV"/>
              </w:rPr>
              <w:t>4</w:t>
            </w:r>
            <w:r w:rsidR="003B4845" w:rsidRPr="00867DED">
              <w:rPr>
                <w:rFonts w:ascii="Times New Roman" w:eastAsia="Times New Roman" w:hAnsi="Times New Roman" w:cs="Times New Roman"/>
                <w:b/>
                <w:bCs/>
                <w:sz w:val="20"/>
                <w:szCs w:val="20"/>
                <w:lang w:eastAsia="lv-LV"/>
              </w:rPr>
              <w:t>.Esošās vides problēmas un tendences</w:t>
            </w:r>
          </w:p>
        </w:tc>
      </w:tr>
      <w:tr w:rsidR="008F7F64" w:rsidRPr="00867DED" w14:paraId="44F7E5C0"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tcPr>
          <w:p w14:paraId="295E5C05" w14:textId="38B45E8F" w:rsidR="008F7F64" w:rsidRPr="00867DED" w:rsidRDefault="00C00E55"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lastRenderedPageBreak/>
              <w:t>4.</w:t>
            </w:r>
          </w:p>
        </w:tc>
        <w:tc>
          <w:tcPr>
            <w:tcW w:w="696" w:type="pct"/>
            <w:tcBorders>
              <w:top w:val="outset" w:sz="6" w:space="0" w:color="414142"/>
              <w:left w:val="outset" w:sz="6" w:space="0" w:color="414142"/>
              <w:bottom w:val="outset" w:sz="6" w:space="0" w:color="414142"/>
              <w:right w:val="outset" w:sz="6" w:space="0" w:color="414142"/>
            </w:tcBorders>
          </w:tcPr>
          <w:p w14:paraId="23FD0249" w14:textId="3D48BB04"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lang w:eastAsia="lv-LV"/>
              </w:rPr>
              <w:t>Latvijas Lielo pilsētu asociācija</w:t>
            </w:r>
          </w:p>
        </w:tc>
        <w:tc>
          <w:tcPr>
            <w:tcW w:w="505" w:type="pct"/>
            <w:tcBorders>
              <w:top w:val="outset" w:sz="6" w:space="0" w:color="414142"/>
              <w:left w:val="outset" w:sz="6" w:space="0" w:color="414142"/>
              <w:bottom w:val="outset" w:sz="6" w:space="0" w:color="414142"/>
              <w:right w:val="outset" w:sz="6" w:space="0" w:color="414142"/>
            </w:tcBorders>
          </w:tcPr>
          <w:p w14:paraId="3C4D7586" w14:textId="7A9C605F" w:rsidR="008F7F64" w:rsidRPr="00867DED" w:rsidRDefault="008F7F64" w:rsidP="00C00E55">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 </w:t>
            </w:r>
            <w:r w:rsidR="00F852A5" w:rsidRPr="00867DED">
              <w:rPr>
                <w:rFonts w:ascii="Times New Roman" w:eastAsia="Times New Roman" w:hAnsi="Times New Roman" w:cs="Times New Roman"/>
                <w:sz w:val="20"/>
                <w:szCs w:val="20"/>
                <w:bdr w:val="none" w:sz="0" w:space="0" w:color="auto" w:frame="1"/>
                <w:lang w:eastAsia="lv-LV"/>
              </w:rPr>
              <w:t xml:space="preserve">4. </w:t>
            </w:r>
          </w:p>
        </w:tc>
        <w:tc>
          <w:tcPr>
            <w:tcW w:w="2389" w:type="pct"/>
            <w:tcBorders>
              <w:top w:val="outset" w:sz="6" w:space="0" w:color="414142"/>
              <w:left w:val="outset" w:sz="6" w:space="0" w:color="414142"/>
              <w:bottom w:val="outset" w:sz="6" w:space="0" w:color="414142"/>
              <w:right w:val="outset" w:sz="6" w:space="0" w:color="414142"/>
            </w:tcBorders>
          </w:tcPr>
          <w:p w14:paraId="0536E02E"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bCs/>
                <w:sz w:val="20"/>
                <w:szCs w:val="20"/>
                <w:bdr w:val="none" w:sz="0" w:space="0" w:color="auto" w:frame="1"/>
                <w:lang w:eastAsia="lv-LV"/>
              </w:rPr>
            </w:pPr>
            <w:r w:rsidRPr="00867DED">
              <w:rPr>
                <w:rFonts w:ascii="Times New Roman" w:eastAsia="Times New Roman" w:hAnsi="Times New Roman" w:cs="Times New Roman"/>
                <w:bCs/>
                <w:sz w:val="20"/>
                <w:szCs w:val="20"/>
                <w:bdr w:val="none" w:sz="0" w:space="0" w:color="auto" w:frame="1"/>
                <w:lang w:eastAsia="lv-LV"/>
              </w:rPr>
              <w:t>Pašreizējais novērtējums Igaunijai:</w:t>
            </w:r>
          </w:p>
          <w:p w14:paraId="7AADDC9A"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bCs/>
                <w:sz w:val="20"/>
                <w:szCs w:val="20"/>
                <w:bdr w:val="none" w:sz="0" w:space="0" w:color="auto" w:frame="1"/>
                <w:lang w:eastAsia="lv-LV"/>
              </w:rPr>
            </w:pPr>
            <w:r w:rsidRPr="00867DED">
              <w:rPr>
                <w:rFonts w:ascii="Times New Roman" w:eastAsia="Times New Roman" w:hAnsi="Times New Roman" w:cs="Times New Roman"/>
                <w:noProof/>
                <w:sz w:val="20"/>
                <w:szCs w:val="20"/>
                <w:bdr w:val="none" w:sz="0" w:space="0" w:color="auto" w:frame="1"/>
                <w:lang w:eastAsia="lv-LV"/>
              </w:rPr>
              <w:drawing>
                <wp:anchor distT="0" distB="0" distL="114300" distR="114300" simplePos="0" relativeHeight="251659264" behindDoc="0" locked="0" layoutInCell="1" allowOverlap="1" wp14:anchorId="48EBA552" wp14:editId="24125B30">
                  <wp:simplePos x="0" y="0"/>
                  <wp:positionH relativeFrom="margin">
                    <wp:posOffset>1184275</wp:posOffset>
                  </wp:positionH>
                  <wp:positionV relativeFrom="margin">
                    <wp:posOffset>457200</wp:posOffset>
                  </wp:positionV>
                  <wp:extent cx="778510" cy="1480185"/>
                  <wp:effectExtent l="0" t="0" r="254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851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ED">
              <w:rPr>
                <w:rFonts w:ascii="Times New Roman" w:eastAsia="Times New Roman" w:hAnsi="Times New Roman" w:cs="Times New Roman"/>
                <w:noProof/>
                <w:sz w:val="20"/>
                <w:szCs w:val="20"/>
                <w:bdr w:val="none" w:sz="0" w:space="0" w:color="auto" w:frame="1"/>
                <w:lang w:eastAsia="lv-LV"/>
              </w:rPr>
              <w:drawing>
                <wp:anchor distT="0" distB="0" distL="114300" distR="114300" simplePos="0" relativeHeight="251660288" behindDoc="1" locked="0" layoutInCell="1" allowOverlap="1" wp14:anchorId="1332215E" wp14:editId="1A9B2F76">
                  <wp:simplePos x="0" y="0"/>
                  <wp:positionH relativeFrom="margin">
                    <wp:posOffset>255905</wp:posOffset>
                  </wp:positionH>
                  <wp:positionV relativeFrom="margin">
                    <wp:posOffset>441960</wp:posOffset>
                  </wp:positionV>
                  <wp:extent cx="80010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ED">
              <w:rPr>
                <w:rFonts w:ascii="Times New Roman" w:eastAsia="Times New Roman" w:hAnsi="Times New Roman" w:cs="Times New Roman"/>
                <w:bCs/>
                <w:sz w:val="20"/>
                <w:szCs w:val="20"/>
                <w:bdr w:val="none" w:sz="0" w:space="0" w:color="auto" w:frame="1"/>
                <w:lang w:eastAsia="lv-LV"/>
              </w:rPr>
              <w:t>Pašreizējais novērtējums Latvijai</w:t>
            </w:r>
          </w:p>
          <w:p w14:paraId="242A8285"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511B7BB"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2B3C3F02"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00D54F8"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4642EDC1"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44BFADE"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9BFCB74"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77E3BB29"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1E10381"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B876D06"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60F32792"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9F47C38"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40551E28"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7E00D681"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Komentārs: Lūdzam labot tehnisku kļūdu 4. nodaļas sadaļā, proti Latvijas un Igaunijas novērtējumā 1. un 10. mērķis pie “Pašreizējā novērtējuma” ir vienādi.</w:t>
            </w:r>
          </w:p>
          <w:p w14:paraId="02A268B4" w14:textId="22504F59" w:rsidR="00632299" w:rsidRPr="00867DED" w:rsidRDefault="00632299"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tcPr>
          <w:p w14:paraId="2B977EC2" w14:textId="760D3753" w:rsidR="008F7F64" w:rsidRPr="00525A07" w:rsidRDefault="00525A07" w:rsidP="00D72DA7">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Nav ņemts vērā.</w:t>
            </w:r>
          </w:p>
        </w:tc>
        <w:tc>
          <w:tcPr>
            <w:tcW w:w="783" w:type="pct"/>
            <w:tcBorders>
              <w:top w:val="outset" w:sz="6" w:space="0" w:color="414142"/>
              <w:left w:val="outset" w:sz="6" w:space="0" w:color="414142"/>
              <w:bottom w:val="outset" w:sz="6" w:space="0" w:color="414142"/>
              <w:right w:val="outset" w:sz="6" w:space="0" w:color="414142"/>
            </w:tcBorders>
          </w:tcPr>
          <w:p w14:paraId="43B8197F" w14:textId="77777777" w:rsidR="008F7F64"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Sniegts skaidrojums.</w:t>
            </w:r>
          </w:p>
          <w:p w14:paraId="3B71D1D2" w14:textId="77777777" w:rsidR="00525A07"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p w14:paraId="188B274E" w14:textId="653C7D7B" w:rsidR="00525A07" w:rsidRPr="00525A07" w:rsidRDefault="00525A07"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525A07">
              <w:rPr>
                <w:rFonts w:ascii="Times New Roman" w:eastAsia="Times New Roman" w:hAnsi="Times New Roman" w:cs="Times New Roman"/>
                <w:sz w:val="20"/>
                <w:szCs w:val="20"/>
                <w:bdr w:val="none" w:sz="0" w:space="0" w:color="auto" w:frame="1"/>
                <w:lang w:eastAsia="lv-LV"/>
              </w:rPr>
              <w:t xml:space="preserve">Pašreizējā stāvokļa novērtējumā izmantots ANO Ilgtspējīgas attīstības mērķu indekss (2020) un veikta atsauce uz to. </w:t>
            </w:r>
            <w:r>
              <w:rPr>
                <w:rFonts w:ascii="Times New Roman" w:eastAsia="Times New Roman" w:hAnsi="Times New Roman" w:cs="Times New Roman"/>
                <w:sz w:val="20"/>
                <w:szCs w:val="20"/>
                <w:bdr w:val="none" w:sz="0" w:space="0" w:color="auto" w:frame="1"/>
                <w:lang w:eastAsia="lv-LV"/>
              </w:rPr>
              <w:t>Citi skaitļi tajā nav iekļauti, līdz ar t</w:t>
            </w:r>
            <w:r w:rsidR="00F34A4B">
              <w:rPr>
                <w:rFonts w:ascii="Times New Roman" w:eastAsia="Times New Roman" w:hAnsi="Times New Roman" w:cs="Times New Roman"/>
                <w:sz w:val="20"/>
                <w:szCs w:val="20"/>
                <w:bdr w:val="none" w:sz="0" w:space="0" w:color="auto" w:frame="1"/>
                <w:lang w:eastAsia="lv-LV"/>
              </w:rPr>
              <w:t>o</w:t>
            </w:r>
            <w:r>
              <w:rPr>
                <w:rFonts w:ascii="Times New Roman" w:eastAsia="Times New Roman" w:hAnsi="Times New Roman" w:cs="Times New Roman"/>
                <w:sz w:val="20"/>
                <w:szCs w:val="20"/>
                <w:bdr w:val="none" w:sz="0" w:space="0" w:color="auto" w:frame="1"/>
                <w:lang w:eastAsia="lv-LV"/>
              </w:rPr>
              <w:t xml:space="preserve"> tiek saglabāta esošā redakcija.</w:t>
            </w:r>
          </w:p>
          <w:p w14:paraId="08B6F1A9" w14:textId="77777777" w:rsidR="00525A07"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p w14:paraId="6DE6A940" w14:textId="2B7F3E90" w:rsidR="00525A07" w:rsidRPr="00525A07"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tc>
      </w:tr>
    </w:tbl>
    <w:p w14:paraId="60F7B4FB" w14:textId="30608AEA" w:rsidR="00D858B0" w:rsidRPr="00867DED" w:rsidRDefault="00D858B0" w:rsidP="00D858B0">
      <w:pPr>
        <w:shd w:val="clear" w:color="auto" w:fill="FFFFFF"/>
        <w:spacing w:after="0" w:line="240" w:lineRule="auto"/>
        <w:textAlignment w:val="baseline"/>
        <w:rPr>
          <w:rFonts w:ascii="Arial" w:eastAsia="Times New Roman" w:hAnsi="Arial" w:cs="Arial"/>
          <w:sz w:val="20"/>
          <w:szCs w:val="20"/>
          <w:bdr w:val="none" w:sz="0" w:space="0" w:color="auto" w:frame="1"/>
          <w:lang w:eastAsia="lv-LV"/>
        </w:rPr>
      </w:pPr>
    </w:p>
    <w:p w14:paraId="5B1E1827" w14:textId="3882E818" w:rsidR="00633358" w:rsidRPr="00867DED" w:rsidRDefault="00633358">
      <w:r w:rsidRPr="00867DED">
        <w:br w:type="page"/>
      </w:r>
    </w:p>
    <w:p w14:paraId="3B87F5ED" w14:textId="77777777" w:rsidR="00D858B0" w:rsidRPr="00867DED" w:rsidRDefault="00D858B0" w:rsidP="00D858B0"/>
    <w:p w14:paraId="1166FD56" w14:textId="5F4DCED8"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p>
    <w:tbl>
      <w:tblPr>
        <w:tblW w:w="5000" w:type="pct"/>
        <w:tblCellMar>
          <w:top w:w="15" w:type="dxa"/>
          <w:left w:w="15" w:type="dxa"/>
          <w:bottom w:w="15" w:type="dxa"/>
          <w:right w:w="15" w:type="dxa"/>
        </w:tblCellMar>
        <w:tblLook w:val="04A0" w:firstRow="1" w:lastRow="0" w:firstColumn="1" w:lastColumn="0" w:noHBand="0" w:noVBand="1"/>
      </w:tblPr>
      <w:tblGrid>
        <w:gridCol w:w="2518"/>
        <w:gridCol w:w="11470"/>
      </w:tblGrid>
      <w:tr w:rsidR="00D73B87" w:rsidRPr="00867DED" w14:paraId="42662C51" w14:textId="77777777" w:rsidTr="00D73B87">
        <w:trPr>
          <w:trHeight w:val="40"/>
        </w:trPr>
        <w:tc>
          <w:tcPr>
            <w:tcW w:w="900" w:type="pct"/>
            <w:tcBorders>
              <w:top w:val="nil"/>
              <w:left w:val="nil"/>
              <w:bottom w:val="nil"/>
              <w:right w:val="nil"/>
            </w:tcBorders>
            <w:hideMark/>
          </w:tcPr>
          <w:p w14:paraId="371187F6" w14:textId="77777777" w:rsidR="00D73B87" w:rsidRPr="00867DED" w:rsidRDefault="00D73B87" w:rsidP="00D73B87">
            <w:pPr>
              <w:spacing w:before="100" w:beforeAutospacing="1" w:after="100" w:afterAutospacing="1" w:line="293" w:lineRule="atLeast"/>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Datums*</w:t>
            </w:r>
          </w:p>
        </w:tc>
        <w:tc>
          <w:tcPr>
            <w:tcW w:w="4100" w:type="pct"/>
            <w:tcBorders>
              <w:top w:val="nil"/>
              <w:left w:val="nil"/>
              <w:bottom w:val="nil"/>
              <w:right w:val="nil"/>
            </w:tcBorders>
            <w:hideMark/>
          </w:tcPr>
          <w:p w14:paraId="3699B94A" w14:textId="77777777" w:rsidR="00D73B87" w:rsidRPr="00867DED" w:rsidRDefault="00D73B87" w:rsidP="00D73B87">
            <w:pPr>
              <w:spacing w:after="0" w:line="240" w:lineRule="auto"/>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_______________________________________</w:t>
            </w:r>
          </w:p>
        </w:tc>
      </w:tr>
      <w:tr w:rsidR="00D73B87" w:rsidRPr="00867DED" w14:paraId="555B120E" w14:textId="77777777" w:rsidTr="00D73B87">
        <w:trPr>
          <w:trHeight w:val="40"/>
        </w:trPr>
        <w:tc>
          <w:tcPr>
            <w:tcW w:w="900" w:type="pct"/>
            <w:tcBorders>
              <w:top w:val="nil"/>
              <w:left w:val="nil"/>
              <w:bottom w:val="nil"/>
              <w:right w:val="nil"/>
            </w:tcBorders>
            <w:hideMark/>
          </w:tcPr>
          <w:p w14:paraId="64BEF07F" w14:textId="77777777" w:rsidR="00D73B87" w:rsidRPr="00867DED" w:rsidRDefault="00D73B87" w:rsidP="00D73B87">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w:t>
            </w:r>
          </w:p>
        </w:tc>
        <w:tc>
          <w:tcPr>
            <w:tcW w:w="4100" w:type="pct"/>
            <w:tcBorders>
              <w:top w:val="nil"/>
              <w:left w:val="nil"/>
              <w:bottom w:val="nil"/>
              <w:right w:val="nil"/>
            </w:tcBorders>
            <w:hideMark/>
          </w:tcPr>
          <w:p w14:paraId="0C1D2682" w14:textId="77777777" w:rsidR="00D73B87" w:rsidRPr="00867DE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w:t>
            </w:r>
            <w:proofErr w:type="spellStart"/>
            <w:r w:rsidRPr="00867DED">
              <w:rPr>
                <w:rFonts w:ascii="Times New Roman" w:eastAsia="Times New Roman" w:hAnsi="Times New Roman" w:cs="Times New Roman"/>
                <w:sz w:val="20"/>
                <w:szCs w:val="20"/>
                <w:lang w:eastAsia="lv-LV"/>
              </w:rPr>
              <w:t>dd</w:t>
            </w:r>
            <w:proofErr w:type="spellEnd"/>
            <w:r w:rsidRPr="00867DED">
              <w:rPr>
                <w:rFonts w:ascii="Times New Roman" w:eastAsia="Times New Roman" w:hAnsi="Times New Roman" w:cs="Times New Roman"/>
                <w:sz w:val="20"/>
                <w:szCs w:val="20"/>
                <w:lang w:eastAsia="lv-LV"/>
              </w:rPr>
              <w:t>/mm/</w:t>
            </w:r>
            <w:proofErr w:type="spellStart"/>
            <w:r w:rsidRPr="00867DED">
              <w:rPr>
                <w:rFonts w:ascii="Times New Roman" w:eastAsia="Times New Roman" w:hAnsi="Times New Roman" w:cs="Times New Roman"/>
                <w:sz w:val="20"/>
                <w:szCs w:val="20"/>
                <w:lang w:eastAsia="lv-LV"/>
              </w:rPr>
              <w:t>gggg</w:t>
            </w:r>
            <w:proofErr w:type="spellEnd"/>
            <w:r w:rsidRPr="00867DED">
              <w:rPr>
                <w:rFonts w:ascii="Times New Roman" w:eastAsia="Times New Roman" w:hAnsi="Times New Roman" w:cs="Times New Roman"/>
                <w:sz w:val="20"/>
                <w:szCs w:val="20"/>
                <w:lang w:eastAsia="lv-LV"/>
              </w:rPr>
              <w:t>)</w:t>
            </w:r>
          </w:p>
        </w:tc>
      </w:tr>
    </w:tbl>
    <w:p w14:paraId="21D09235" w14:textId="77777777"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r w:rsidRPr="00867DED">
        <w:rPr>
          <w:rFonts w:ascii="Arial" w:eastAsia="Times New Roman" w:hAnsi="Arial" w:cs="Arial"/>
          <w:sz w:val="20"/>
          <w:szCs w:val="20"/>
          <w:bdr w:val="none" w:sz="0" w:space="0" w:color="auto" w:frame="1"/>
          <w:lang w:eastAsia="lv-LV"/>
        </w:rPr>
        <w:t> </w:t>
      </w:r>
    </w:p>
    <w:tbl>
      <w:tblPr>
        <w:tblW w:w="5000" w:type="pct"/>
        <w:tblCellMar>
          <w:top w:w="15" w:type="dxa"/>
          <w:left w:w="15" w:type="dxa"/>
          <w:bottom w:w="15" w:type="dxa"/>
          <w:right w:w="15" w:type="dxa"/>
        </w:tblCellMar>
        <w:tblLook w:val="04A0" w:firstRow="1" w:lastRow="0" w:firstColumn="1" w:lastColumn="0" w:noHBand="0" w:noVBand="1"/>
      </w:tblPr>
      <w:tblGrid>
        <w:gridCol w:w="2658"/>
        <w:gridCol w:w="11330"/>
      </w:tblGrid>
      <w:tr w:rsidR="00D73B87" w:rsidRPr="00867DED" w14:paraId="1CD8CDD1" w14:textId="77777777" w:rsidTr="00D73B87">
        <w:trPr>
          <w:trHeight w:val="40"/>
        </w:trPr>
        <w:tc>
          <w:tcPr>
            <w:tcW w:w="950" w:type="pct"/>
            <w:tcBorders>
              <w:top w:val="nil"/>
              <w:left w:val="nil"/>
              <w:bottom w:val="nil"/>
              <w:right w:val="nil"/>
            </w:tcBorders>
            <w:hideMark/>
          </w:tcPr>
          <w:p w14:paraId="5985BD0A" w14:textId="77777777" w:rsidR="00D73B87" w:rsidRPr="00867DED" w:rsidRDefault="00D73B87" w:rsidP="00D73B87">
            <w:pPr>
              <w:spacing w:before="100" w:beforeAutospacing="1" w:after="100" w:afterAutospacing="1" w:line="293" w:lineRule="atLeast"/>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Atbildīgā amatpersona</w:t>
            </w:r>
          </w:p>
        </w:tc>
        <w:tc>
          <w:tcPr>
            <w:tcW w:w="4050" w:type="pct"/>
            <w:tcBorders>
              <w:top w:val="nil"/>
              <w:left w:val="nil"/>
              <w:bottom w:val="nil"/>
              <w:right w:val="nil"/>
            </w:tcBorders>
            <w:hideMark/>
          </w:tcPr>
          <w:p w14:paraId="7AB214E7" w14:textId="77777777" w:rsidR="00D73B87" w:rsidRPr="00867DED" w:rsidRDefault="00D73B87" w:rsidP="00D73B87">
            <w:pPr>
              <w:spacing w:after="0" w:line="240" w:lineRule="auto"/>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bdr w:val="none" w:sz="0" w:space="0" w:color="auto" w:frame="1"/>
                <w:lang w:eastAsia="lv-LV"/>
              </w:rPr>
              <w:t>_____________________________________</w:t>
            </w:r>
          </w:p>
        </w:tc>
      </w:tr>
      <w:tr w:rsidR="00D73B87" w:rsidRPr="00867DED" w14:paraId="2CD5F742" w14:textId="77777777" w:rsidTr="00D73B87">
        <w:trPr>
          <w:trHeight w:val="40"/>
        </w:trPr>
        <w:tc>
          <w:tcPr>
            <w:tcW w:w="950" w:type="pct"/>
            <w:tcBorders>
              <w:top w:val="nil"/>
              <w:left w:val="nil"/>
              <w:bottom w:val="nil"/>
              <w:right w:val="nil"/>
            </w:tcBorders>
            <w:hideMark/>
          </w:tcPr>
          <w:p w14:paraId="445C93FB" w14:textId="77777777" w:rsidR="00D73B87" w:rsidRPr="00867DED" w:rsidRDefault="00D73B87" w:rsidP="00D73B87">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w:t>
            </w:r>
          </w:p>
        </w:tc>
        <w:tc>
          <w:tcPr>
            <w:tcW w:w="4050" w:type="pct"/>
            <w:tcBorders>
              <w:top w:val="nil"/>
              <w:left w:val="nil"/>
              <w:bottom w:val="nil"/>
              <w:right w:val="nil"/>
            </w:tcBorders>
            <w:hideMark/>
          </w:tcPr>
          <w:p w14:paraId="2EA5E1D8" w14:textId="77777777" w:rsidR="00D73B87" w:rsidRPr="00867DE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(vārds, uzvārds, paraksts*)</w:t>
            </w:r>
          </w:p>
        </w:tc>
      </w:tr>
    </w:tbl>
    <w:p w14:paraId="277B6603" w14:textId="77777777"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r w:rsidRPr="00867DED">
        <w:rPr>
          <w:rFonts w:ascii="Arial" w:eastAsia="Times New Roman" w:hAnsi="Arial" w:cs="Arial"/>
          <w:sz w:val="20"/>
          <w:szCs w:val="20"/>
          <w:lang w:eastAsia="lv-LV"/>
        </w:rPr>
        <w:t> </w:t>
      </w:r>
    </w:p>
    <w:p w14:paraId="44053C0F" w14:textId="77777777"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r w:rsidRPr="00867DED">
        <w:rPr>
          <w:rFonts w:ascii="Arial" w:eastAsia="Times New Roman" w:hAnsi="Arial" w:cs="Arial"/>
          <w:sz w:val="20"/>
          <w:szCs w:val="20"/>
          <w:lang w:eastAsia="lv-LV"/>
        </w:rPr>
        <w:t>Piezīme. * Dokumenta rekvizītus “datums” un “paraksts” neaizpilda, ja elektroniskais dokuments ir sagatavots atbilstoši normatīvajiem aktiem par elektronisko dokumentu noformēšanu.</w:t>
      </w:r>
    </w:p>
    <w:p w14:paraId="594F22C2" w14:textId="77777777" w:rsidR="00607CDE" w:rsidRDefault="00607CDE"/>
    <w:p w14:paraId="0436A16E" w14:textId="58F2ED06" w:rsidR="003160F2" w:rsidRPr="00606C65" w:rsidRDefault="002C43F9" w:rsidP="003160F2">
      <w:pPr>
        <w:tabs>
          <w:tab w:val="left" w:pos="795"/>
          <w:tab w:val="center" w:pos="7007"/>
        </w:tabs>
        <w:rPr>
          <w:rFonts w:ascii="Times New Roman" w:hAnsi="Times New Roman" w:cs="Times New Roman"/>
        </w:rPr>
      </w:pPr>
      <w:r>
        <w:rPr>
          <w:rFonts w:ascii="Times New Roman" w:hAnsi="Times New Roman" w:cs="Times New Roman"/>
        </w:rPr>
        <w:t xml:space="preserve">Datums: </w:t>
      </w:r>
      <w:r w:rsidR="00D11DF4">
        <w:rPr>
          <w:rFonts w:ascii="Times New Roman" w:hAnsi="Times New Roman" w:cs="Times New Roman"/>
        </w:rPr>
        <w:t>2</w:t>
      </w:r>
      <w:r>
        <w:rPr>
          <w:rFonts w:ascii="Times New Roman" w:hAnsi="Times New Roman" w:cs="Times New Roman"/>
        </w:rPr>
        <w:t>3.08</w:t>
      </w:r>
      <w:r w:rsidR="003160F2">
        <w:rPr>
          <w:rFonts w:ascii="Times New Roman" w:hAnsi="Times New Roman" w:cs="Times New Roman"/>
        </w:rPr>
        <w:t>.2021.</w:t>
      </w:r>
    </w:p>
    <w:p w14:paraId="3EDBA997" w14:textId="77777777" w:rsidR="003160F2" w:rsidRPr="00606C65" w:rsidRDefault="003160F2" w:rsidP="003160F2">
      <w:pPr>
        <w:tabs>
          <w:tab w:val="left" w:pos="795"/>
          <w:tab w:val="center" w:pos="7007"/>
        </w:tabs>
        <w:rPr>
          <w:rFonts w:ascii="Times New Roman" w:hAnsi="Times New Roman" w:cs="Times New Roman"/>
        </w:rPr>
      </w:pPr>
    </w:p>
    <w:p w14:paraId="0C05DB47" w14:textId="5C7D5950" w:rsidR="003160F2" w:rsidRPr="00606C65" w:rsidRDefault="003160F2" w:rsidP="003160F2">
      <w:pPr>
        <w:tabs>
          <w:tab w:val="left" w:pos="795"/>
          <w:tab w:val="center" w:pos="7007"/>
        </w:tabs>
        <w:rPr>
          <w:rFonts w:ascii="Times New Roman" w:hAnsi="Times New Roman" w:cs="Times New Roman"/>
        </w:rPr>
      </w:pPr>
      <w:r w:rsidRPr="00606C65">
        <w:rPr>
          <w:rFonts w:ascii="Times New Roman" w:hAnsi="Times New Roman" w:cs="Times New Roman"/>
        </w:rPr>
        <w:t xml:space="preserve">Atbildīgā amatpersona: </w:t>
      </w:r>
      <w:r>
        <w:rPr>
          <w:rFonts w:ascii="Times New Roman" w:hAnsi="Times New Roman" w:cs="Times New Roman"/>
        </w:rPr>
        <w:t>Ilga Gruševa</w:t>
      </w:r>
    </w:p>
    <w:p w14:paraId="03C052D7" w14:textId="77777777" w:rsidR="003160F2" w:rsidRDefault="003160F2"/>
    <w:sectPr w:rsidR="003160F2" w:rsidSect="00642721">
      <w:footerReference w:type="default" r:id="rId20"/>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B2B8" w14:textId="77777777" w:rsidR="00E96D28" w:rsidRDefault="00E96D28" w:rsidP="00D42969">
      <w:pPr>
        <w:spacing w:after="0" w:line="240" w:lineRule="auto"/>
      </w:pPr>
      <w:r>
        <w:separator/>
      </w:r>
    </w:p>
  </w:endnote>
  <w:endnote w:type="continuationSeparator" w:id="0">
    <w:p w14:paraId="306F35E8" w14:textId="77777777" w:rsidR="00E96D28" w:rsidRDefault="00E96D28" w:rsidP="00D4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81110"/>
      <w:docPartObj>
        <w:docPartGallery w:val="Page Numbers (Bottom of Page)"/>
        <w:docPartUnique/>
      </w:docPartObj>
    </w:sdtPr>
    <w:sdtEndPr/>
    <w:sdtContent>
      <w:p w14:paraId="03F6877A" w14:textId="2AE8201A" w:rsidR="003160F2" w:rsidRPr="00FB6CEE" w:rsidRDefault="002C43F9" w:rsidP="003160F2">
        <w:pPr>
          <w:jc w:val="both"/>
          <w:rPr>
            <w:rFonts w:ascii="Times New Roman" w:hAnsi="Times New Roman" w:cs="Times New Roman"/>
            <w:sz w:val="20"/>
            <w:szCs w:val="20"/>
          </w:rPr>
        </w:pPr>
        <w:r>
          <w:rPr>
            <w:rFonts w:ascii="Times New Roman" w:hAnsi="Times New Roman" w:cs="Times New Roman"/>
            <w:sz w:val="20"/>
            <w:szCs w:val="20"/>
          </w:rPr>
          <w:t>VARAMProgp02_</w:t>
        </w:r>
        <w:r w:rsidR="00D11DF4">
          <w:rPr>
            <w:rFonts w:ascii="Times New Roman" w:hAnsi="Times New Roman" w:cs="Times New Roman"/>
            <w:sz w:val="20"/>
            <w:szCs w:val="20"/>
          </w:rPr>
          <w:t>2</w:t>
        </w:r>
        <w:r>
          <w:rPr>
            <w:rFonts w:ascii="Times New Roman" w:hAnsi="Times New Roman" w:cs="Times New Roman"/>
            <w:sz w:val="20"/>
            <w:szCs w:val="20"/>
          </w:rPr>
          <w:t>308</w:t>
        </w:r>
        <w:r w:rsidR="003160F2">
          <w:rPr>
            <w:rFonts w:ascii="Times New Roman" w:hAnsi="Times New Roman" w:cs="Times New Roman"/>
            <w:sz w:val="20"/>
            <w:szCs w:val="20"/>
          </w:rPr>
          <w:t>21</w:t>
        </w:r>
        <w:r w:rsidR="003160F2" w:rsidRPr="00FB6CEE">
          <w:rPr>
            <w:rFonts w:ascii="Times New Roman" w:hAnsi="Times New Roman" w:cs="Times New Roman"/>
            <w:sz w:val="20"/>
            <w:szCs w:val="20"/>
          </w:rPr>
          <w:t>_</w:t>
        </w:r>
        <w:r>
          <w:rPr>
            <w:rFonts w:ascii="Times New Roman" w:hAnsi="Times New Roman" w:cs="Times New Roman"/>
            <w:sz w:val="20"/>
            <w:szCs w:val="20"/>
          </w:rPr>
          <w:t>publisk_</w:t>
        </w:r>
        <w:r w:rsidR="003160F2" w:rsidRPr="00FB6CEE">
          <w:rPr>
            <w:rFonts w:ascii="Times New Roman" w:hAnsi="Times New Roman" w:cs="Times New Roman"/>
            <w:sz w:val="20"/>
            <w:szCs w:val="20"/>
          </w:rPr>
          <w:t xml:space="preserve">CB; Centrālā Baltijas jūras reģiona pārrobežu sadarbības </w:t>
        </w:r>
        <w:r w:rsidR="003160F2">
          <w:rPr>
            <w:rFonts w:ascii="Times New Roman" w:hAnsi="Times New Roman" w:cs="Times New Roman"/>
            <w:sz w:val="20"/>
            <w:szCs w:val="20"/>
          </w:rPr>
          <w:t>programmas 2021.-2027</w:t>
        </w:r>
        <w:r w:rsidR="003160F2" w:rsidRPr="00FB6CEE">
          <w:rPr>
            <w:rFonts w:ascii="Times New Roman" w:hAnsi="Times New Roman" w:cs="Times New Roman"/>
            <w:sz w:val="20"/>
            <w:szCs w:val="20"/>
          </w:rPr>
          <w:t>.gadam projekta un stratēģiskā ietekmes uz vidi novērtējuma Vides pārskata projekta publiskās ap</w:t>
        </w:r>
        <w:r w:rsidR="00541807">
          <w:rPr>
            <w:rFonts w:ascii="Times New Roman" w:hAnsi="Times New Roman" w:cs="Times New Roman"/>
            <w:sz w:val="20"/>
            <w:szCs w:val="20"/>
          </w:rPr>
          <w:t>spriešanas</w:t>
        </w:r>
        <w:r w:rsidR="003160F2" w:rsidRPr="00FB6CEE">
          <w:rPr>
            <w:rFonts w:ascii="Times New Roman" w:hAnsi="Times New Roman" w:cs="Times New Roman"/>
            <w:sz w:val="20"/>
            <w:szCs w:val="20"/>
          </w:rPr>
          <w:t xml:space="preserve"> kopsavilkums</w:t>
        </w:r>
      </w:p>
      <w:p w14:paraId="23B80FCA" w14:textId="77777777" w:rsidR="003160F2" w:rsidRDefault="00E96D28" w:rsidP="003160F2">
        <w:pPr>
          <w:pStyle w:val="Footer"/>
          <w:ind w:left="57"/>
        </w:pPr>
      </w:p>
    </w:sdtContent>
  </w:sdt>
  <w:p w14:paraId="08255664" w14:textId="77777777" w:rsidR="003160F2" w:rsidRDefault="00316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8E50" w14:textId="77777777" w:rsidR="00E96D28" w:rsidRDefault="00E96D28" w:rsidP="00D42969">
      <w:pPr>
        <w:spacing w:after="0" w:line="240" w:lineRule="auto"/>
      </w:pPr>
      <w:r>
        <w:separator/>
      </w:r>
    </w:p>
  </w:footnote>
  <w:footnote w:type="continuationSeparator" w:id="0">
    <w:p w14:paraId="16A00A0B" w14:textId="77777777" w:rsidR="00E96D28" w:rsidRDefault="00E96D28" w:rsidP="00D42969">
      <w:pPr>
        <w:spacing w:after="0" w:line="240" w:lineRule="auto"/>
      </w:pPr>
      <w:r>
        <w:continuationSeparator/>
      </w:r>
    </w:p>
  </w:footnote>
  <w:footnote w:id="1">
    <w:p w14:paraId="0879452B" w14:textId="77777777" w:rsidR="00F753AF" w:rsidRPr="00D87904" w:rsidRDefault="00F753AF" w:rsidP="006404DD">
      <w:pPr>
        <w:pStyle w:val="FootnoteText"/>
        <w:rPr>
          <w:lang w:val="lv-LV"/>
        </w:rPr>
      </w:pPr>
    </w:p>
  </w:footnote>
  <w:footnote w:id="2">
    <w:p w14:paraId="7D22B729" w14:textId="77777777" w:rsidR="00F753AF" w:rsidRPr="00D87904" w:rsidRDefault="00F753AF" w:rsidP="009F42DF">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01A"/>
    <w:multiLevelType w:val="multilevel"/>
    <w:tmpl w:val="C1C40506"/>
    <w:lvl w:ilvl="0">
      <w:start w:val="1"/>
      <w:numFmt w:val="decimal"/>
      <w:lvlText w:val="%1."/>
      <w:lvlJc w:val="left"/>
      <w:pPr>
        <w:ind w:left="2042" w:hanging="360"/>
      </w:pPr>
      <w:rPr>
        <w:rFonts w:ascii="Calibri" w:eastAsia="Calibri" w:hAnsi="Calibri" w:cs="Calibri" w:hint="default"/>
        <w:b/>
        <w:bCs/>
        <w:color w:val="FF671F"/>
        <w:spacing w:val="-1"/>
        <w:w w:val="100"/>
        <w:sz w:val="28"/>
        <w:szCs w:val="28"/>
        <w:lang w:val="en-US" w:eastAsia="en-US" w:bidi="ar-SA"/>
      </w:rPr>
    </w:lvl>
    <w:lvl w:ilvl="1">
      <w:start w:val="1"/>
      <w:numFmt w:val="decimal"/>
      <w:lvlText w:val="%1.%2"/>
      <w:lvlJc w:val="left"/>
      <w:pPr>
        <w:ind w:left="2042" w:hanging="360"/>
      </w:pPr>
      <w:rPr>
        <w:rFonts w:ascii="Calibri" w:eastAsia="Calibri" w:hAnsi="Calibri" w:cs="Calibri" w:hint="default"/>
        <w:b/>
        <w:bCs/>
        <w:color w:val="071D48"/>
        <w:w w:val="100"/>
        <w:sz w:val="24"/>
        <w:szCs w:val="24"/>
        <w:lang w:val="en-US" w:eastAsia="en-US" w:bidi="ar-SA"/>
      </w:rPr>
    </w:lvl>
    <w:lvl w:ilvl="2">
      <w:numFmt w:val="bullet"/>
      <w:lvlText w:val="•"/>
      <w:lvlJc w:val="left"/>
      <w:pPr>
        <w:ind w:left="3689" w:hanging="360"/>
      </w:pPr>
      <w:rPr>
        <w:rFonts w:hint="default"/>
        <w:lang w:val="en-US" w:eastAsia="en-US" w:bidi="ar-SA"/>
      </w:rPr>
    </w:lvl>
    <w:lvl w:ilvl="3">
      <w:numFmt w:val="bullet"/>
      <w:lvlText w:val="•"/>
      <w:lvlJc w:val="left"/>
      <w:pPr>
        <w:ind w:left="4513" w:hanging="360"/>
      </w:pPr>
      <w:rPr>
        <w:rFonts w:hint="default"/>
        <w:lang w:val="en-US" w:eastAsia="en-US" w:bidi="ar-SA"/>
      </w:rPr>
    </w:lvl>
    <w:lvl w:ilvl="4">
      <w:numFmt w:val="bullet"/>
      <w:lvlText w:val="•"/>
      <w:lvlJc w:val="left"/>
      <w:pPr>
        <w:ind w:left="5338" w:hanging="360"/>
      </w:pPr>
      <w:rPr>
        <w:rFonts w:hint="default"/>
        <w:lang w:val="en-US" w:eastAsia="en-US" w:bidi="ar-SA"/>
      </w:rPr>
    </w:lvl>
    <w:lvl w:ilvl="5">
      <w:numFmt w:val="bullet"/>
      <w:lvlText w:val="•"/>
      <w:lvlJc w:val="left"/>
      <w:pPr>
        <w:ind w:left="6163" w:hanging="360"/>
      </w:pPr>
      <w:rPr>
        <w:rFonts w:hint="default"/>
        <w:lang w:val="en-US" w:eastAsia="en-US" w:bidi="ar-SA"/>
      </w:rPr>
    </w:lvl>
    <w:lvl w:ilvl="6">
      <w:numFmt w:val="bullet"/>
      <w:lvlText w:val="•"/>
      <w:lvlJc w:val="left"/>
      <w:pPr>
        <w:ind w:left="6987" w:hanging="360"/>
      </w:pPr>
      <w:rPr>
        <w:rFonts w:hint="default"/>
        <w:lang w:val="en-US" w:eastAsia="en-US" w:bidi="ar-SA"/>
      </w:rPr>
    </w:lvl>
    <w:lvl w:ilvl="7">
      <w:numFmt w:val="bullet"/>
      <w:lvlText w:val="•"/>
      <w:lvlJc w:val="left"/>
      <w:pPr>
        <w:ind w:left="7812"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1" w15:restartNumberingAfterBreak="0">
    <w:nsid w:val="193F3D2C"/>
    <w:multiLevelType w:val="hybridMultilevel"/>
    <w:tmpl w:val="B0FAFDC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27C01CD3"/>
    <w:multiLevelType w:val="hybridMultilevel"/>
    <w:tmpl w:val="C27A7E94"/>
    <w:lvl w:ilvl="0" w:tplc="03E4829A">
      <w:start w:val="2"/>
      <w:numFmt w:val="decimal"/>
      <w:lvlText w:val="%1."/>
      <w:lvlJc w:val="left"/>
      <w:pPr>
        <w:ind w:left="893" w:hanging="360"/>
      </w:pPr>
      <w:rPr>
        <w:rFonts w:hint="default"/>
      </w:rPr>
    </w:lvl>
    <w:lvl w:ilvl="1" w:tplc="04260019" w:tentative="1">
      <w:start w:val="1"/>
      <w:numFmt w:val="lowerLetter"/>
      <w:lvlText w:val="%2."/>
      <w:lvlJc w:val="left"/>
      <w:pPr>
        <w:ind w:left="1613" w:hanging="360"/>
      </w:pPr>
    </w:lvl>
    <w:lvl w:ilvl="2" w:tplc="0426001B" w:tentative="1">
      <w:start w:val="1"/>
      <w:numFmt w:val="lowerRoman"/>
      <w:lvlText w:val="%3."/>
      <w:lvlJc w:val="right"/>
      <w:pPr>
        <w:ind w:left="2333" w:hanging="180"/>
      </w:pPr>
    </w:lvl>
    <w:lvl w:ilvl="3" w:tplc="0426000F" w:tentative="1">
      <w:start w:val="1"/>
      <w:numFmt w:val="decimal"/>
      <w:lvlText w:val="%4."/>
      <w:lvlJc w:val="left"/>
      <w:pPr>
        <w:ind w:left="3053" w:hanging="360"/>
      </w:pPr>
    </w:lvl>
    <w:lvl w:ilvl="4" w:tplc="04260019" w:tentative="1">
      <w:start w:val="1"/>
      <w:numFmt w:val="lowerLetter"/>
      <w:lvlText w:val="%5."/>
      <w:lvlJc w:val="left"/>
      <w:pPr>
        <w:ind w:left="3773" w:hanging="360"/>
      </w:pPr>
    </w:lvl>
    <w:lvl w:ilvl="5" w:tplc="0426001B" w:tentative="1">
      <w:start w:val="1"/>
      <w:numFmt w:val="lowerRoman"/>
      <w:lvlText w:val="%6."/>
      <w:lvlJc w:val="right"/>
      <w:pPr>
        <w:ind w:left="4493" w:hanging="180"/>
      </w:pPr>
    </w:lvl>
    <w:lvl w:ilvl="6" w:tplc="0426000F" w:tentative="1">
      <w:start w:val="1"/>
      <w:numFmt w:val="decimal"/>
      <w:lvlText w:val="%7."/>
      <w:lvlJc w:val="left"/>
      <w:pPr>
        <w:ind w:left="5213" w:hanging="360"/>
      </w:pPr>
    </w:lvl>
    <w:lvl w:ilvl="7" w:tplc="04260019" w:tentative="1">
      <w:start w:val="1"/>
      <w:numFmt w:val="lowerLetter"/>
      <w:lvlText w:val="%8."/>
      <w:lvlJc w:val="left"/>
      <w:pPr>
        <w:ind w:left="5933" w:hanging="360"/>
      </w:pPr>
    </w:lvl>
    <w:lvl w:ilvl="8" w:tplc="0426001B" w:tentative="1">
      <w:start w:val="1"/>
      <w:numFmt w:val="lowerRoman"/>
      <w:lvlText w:val="%9."/>
      <w:lvlJc w:val="right"/>
      <w:pPr>
        <w:ind w:left="6653" w:hanging="180"/>
      </w:pPr>
    </w:lvl>
  </w:abstractNum>
  <w:abstractNum w:abstractNumId="3" w15:restartNumberingAfterBreak="0">
    <w:nsid w:val="2CD34417"/>
    <w:multiLevelType w:val="hybridMultilevel"/>
    <w:tmpl w:val="E20219EC"/>
    <w:lvl w:ilvl="0" w:tplc="B5F05C18">
      <w:start w:val="1"/>
      <w:numFmt w:val="decimal"/>
      <w:lvlText w:val="%1."/>
      <w:lvlJc w:val="left"/>
      <w:pPr>
        <w:ind w:left="948" w:hanging="248"/>
        <w:jc w:val="right"/>
      </w:pPr>
      <w:rPr>
        <w:rFonts w:hint="default"/>
        <w:i/>
        <w:spacing w:val="-1"/>
        <w:w w:val="103"/>
        <w:lang w:val="en-US" w:eastAsia="en-US" w:bidi="en-US"/>
      </w:rPr>
    </w:lvl>
    <w:lvl w:ilvl="1" w:tplc="7FC0712A">
      <w:numFmt w:val="bullet"/>
      <w:lvlText w:val="•"/>
      <w:lvlJc w:val="left"/>
      <w:pPr>
        <w:ind w:left="1738" w:hanging="248"/>
      </w:pPr>
      <w:rPr>
        <w:rFonts w:hint="default"/>
        <w:lang w:val="en-US" w:eastAsia="en-US" w:bidi="en-US"/>
      </w:rPr>
    </w:lvl>
    <w:lvl w:ilvl="2" w:tplc="F26CE11A">
      <w:numFmt w:val="bullet"/>
      <w:lvlText w:val="•"/>
      <w:lvlJc w:val="left"/>
      <w:pPr>
        <w:ind w:left="2536" w:hanging="248"/>
      </w:pPr>
      <w:rPr>
        <w:rFonts w:hint="default"/>
        <w:lang w:val="en-US" w:eastAsia="en-US" w:bidi="en-US"/>
      </w:rPr>
    </w:lvl>
    <w:lvl w:ilvl="3" w:tplc="4E5C8C86">
      <w:numFmt w:val="bullet"/>
      <w:lvlText w:val="•"/>
      <w:lvlJc w:val="left"/>
      <w:pPr>
        <w:ind w:left="3334" w:hanging="248"/>
      </w:pPr>
      <w:rPr>
        <w:rFonts w:hint="default"/>
        <w:lang w:val="en-US" w:eastAsia="en-US" w:bidi="en-US"/>
      </w:rPr>
    </w:lvl>
    <w:lvl w:ilvl="4" w:tplc="6940478C">
      <w:numFmt w:val="bullet"/>
      <w:lvlText w:val="•"/>
      <w:lvlJc w:val="left"/>
      <w:pPr>
        <w:ind w:left="4132" w:hanging="248"/>
      </w:pPr>
      <w:rPr>
        <w:rFonts w:hint="default"/>
        <w:lang w:val="en-US" w:eastAsia="en-US" w:bidi="en-US"/>
      </w:rPr>
    </w:lvl>
    <w:lvl w:ilvl="5" w:tplc="26666E16">
      <w:numFmt w:val="bullet"/>
      <w:lvlText w:val="•"/>
      <w:lvlJc w:val="left"/>
      <w:pPr>
        <w:ind w:left="4930" w:hanging="248"/>
      </w:pPr>
      <w:rPr>
        <w:rFonts w:hint="default"/>
        <w:lang w:val="en-US" w:eastAsia="en-US" w:bidi="en-US"/>
      </w:rPr>
    </w:lvl>
    <w:lvl w:ilvl="6" w:tplc="A93A9412">
      <w:numFmt w:val="bullet"/>
      <w:lvlText w:val="•"/>
      <w:lvlJc w:val="left"/>
      <w:pPr>
        <w:ind w:left="5728" w:hanging="248"/>
      </w:pPr>
      <w:rPr>
        <w:rFonts w:hint="default"/>
        <w:lang w:val="en-US" w:eastAsia="en-US" w:bidi="en-US"/>
      </w:rPr>
    </w:lvl>
    <w:lvl w:ilvl="7" w:tplc="1320F9CA">
      <w:numFmt w:val="bullet"/>
      <w:lvlText w:val="•"/>
      <w:lvlJc w:val="left"/>
      <w:pPr>
        <w:ind w:left="6526" w:hanging="248"/>
      </w:pPr>
      <w:rPr>
        <w:rFonts w:hint="default"/>
        <w:lang w:val="en-US" w:eastAsia="en-US" w:bidi="en-US"/>
      </w:rPr>
    </w:lvl>
    <w:lvl w:ilvl="8" w:tplc="635C196C">
      <w:numFmt w:val="bullet"/>
      <w:lvlText w:val="•"/>
      <w:lvlJc w:val="left"/>
      <w:pPr>
        <w:ind w:left="7324" w:hanging="248"/>
      </w:pPr>
      <w:rPr>
        <w:rFonts w:hint="default"/>
        <w:lang w:val="en-US" w:eastAsia="en-US" w:bidi="en-US"/>
      </w:rPr>
    </w:lvl>
  </w:abstractNum>
  <w:abstractNum w:abstractNumId="4" w15:restartNumberingAfterBreak="0">
    <w:nsid w:val="324C3A84"/>
    <w:multiLevelType w:val="multilevel"/>
    <w:tmpl w:val="5088C6B8"/>
    <w:lvl w:ilvl="0">
      <w:start w:val="1"/>
      <w:numFmt w:val="decimal"/>
      <w:lvlText w:val="%1."/>
      <w:lvlJc w:val="left"/>
      <w:pPr>
        <w:ind w:left="450" w:hanging="450"/>
      </w:pPr>
      <w:rPr>
        <w:rFonts w:hint="default"/>
      </w:rPr>
    </w:lvl>
    <w:lvl w:ilvl="1">
      <w:start w:val="2"/>
      <w:numFmt w:val="decimal"/>
      <w:lvlText w:val="%1.%2."/>
      <w:lvlJc w:val="left"/>
      <w:pPr>
        <w:ind w:left="585" w:hanging="45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5" w15:restartNumberingAfterBreak="0">
    <w:nsid w:val="37D9320D"/>
    <w:multiLevelType w:val="hybridMultilevel"/>
    <w:tmpl w:val="4E26832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CCB65E0"/>
    <w:multiLevelType w:val="multilevel"/>
    <w:tmpl w:val="6920606A"/>
    <w:lvl w:ilvl="0">
      <w:start w:val="1"/>
      <w:numFmt w:val="decimal"/>
      <w:lvlText w:val="%1."/>
      <w:lvlJc w:val="left"/>
      <w:pPr>
        <w:ind w:left="533" w:hanging="262"/>
      </w:pPr>
      <w:rPr>
        <w:rFonts w:ascii="Trebuchet MS" w:eastAsia="Trebuchet MS" w:hAnsi="Trebuchet MS" w:cs="Trebuchet MS" w:hint="default"/>
        <w:b/>
        <w:bCs/>
        <w:w w:val="103"/>
        <w:sz w:val="20"/>
        <w:szCs w:val="20"/>
        <w:lang w:val="en-US" w:eastAsia="en-US" w:bidi="en-US"/>
      </w:rPr>
    </w:lvl>
    <w:lvl w:ilvl="1">
      <w:start w:val="1"/>
      <w:numFmt w:val="decimal"/>
      <w:lvlText w:val="%1.%2"/>
      <w:lvlJc w:val="left"/>
      <w:pPr>
        <w:ind w:left="656" w:hanging="385"/>
      </w:pPr>
      <w:rPr>
        <w:rFonts w:ascii="Trebuchet MS" w:eastAsia="Trebuchet MS" w:hAnsi="Trebuchet MS" w:cs="Trebuchet MS" w:hint="default"/>
        <w:b/>
        <w:bCs/>
        <w:w w:val="103"/>
        <w:sz w:val="20"/>
        <w:szCs w:val="20"/>
        <w:lang w:val="en-US" w:eastAsia="en-US" w:bidi="en-US"/>
      </w:rPr>
    </w:lvl>
    <w:lvl w:ilvl="2">
      <w:start w:val="1"/>
      <w:numFmt w:val="decimal"/>
      <w:lvlText w:val="%1.%2.%3."/>
      <w:lvlJc w:val="left"/>
      <w:pPr>
        <w:ind w:left="1506" w:hanging="655"/>
      </w:pPr>
      <w:rPr>
        <w:rFonts w:ascii="Trebuchet MS" w:eastAsia="Trebuchet MS" w:hAnsi="Trebuchet MS" w:cs="Trebuchet MS" w:hint="default"/>
        <w:b/>
        <w:bCs/>
        <w:spacing w:val="-2"/>
        <w:w w:val="103"/>
        <w:sz w:val="20"/>
        <w:szCs w:val="20"/>
        <w:lang w:val="en-US" w:eastAsia="en-US" w:bidi="en-US"/>
      </w:rPr>
    </w:lvl>
    <w:lvl w:ilvl="3">
      <w:numFmt w:val="bullet"/>
      <w:lvlText w:val=""/>
      <w:lvlJc w:val="left"/>
      <w:pPr>
        <w:ind w:left="948" w:hanging="339"/>
      </w:pPr>
      <w:rPr>
        <w:rFonts w:ascii="Symbol" w:eastAsia="Symbol" w:hAnsi="Symbol" w:cs="Symbol" w:hint="default"/>
        <w:w w:val="103"/>
        <w:sz w:val="20"/>
        <w:szCs w:val="20"/>
        <w:lang w:val="en-US" w:eastAsia="en-US" w:bidi="en-US"/>
      </w:rPr>
    </w:lvl>
    <w:lvl w:ilvl="4">
      <w:numFmt w:val="bullet"/>
      <w:lvlText w:val="o"/>
      <w:lvlJc w:val="left"/>
      <w:pPr>
        <w:ind w:left="1625" w:hanging="339"/>
      </w:pPr>
      <w:rPr>
        <w:rFonts w:ascii="Courier New" w:eastAsia="Courier New" w:hAnsi="Courier New" w:cs="Courier New" w:hint="default"/>
        <w:w w:val="103"/>
        <w:sz w:val="20"/>
        <w:szCs w:val="20"/>
        <w:lang w:val="en-US" w:eastAsia="en-US" w:bidi="en-US"/>
      </w:rPr>
    </w:lvl>
    <w:lvl w:ilvl="5">
      <w:numFmt w:val="bullet"/>
      <w:lvlText w:val="•"/>
      <w:lvlJc w:val="left"/>
      <w:pPr>
        <w:ind w:left="1620" w:hanging="339"/>
      </w:pPr>
      <w:rPr>
        <w:rFonts w:hint="default"/>
        <w:lang w:val="en-US" w:eastAsia="en-US" w:bidi="en-US"/>
      </w:rPr>
    </w:lvl>
    <w:lvl w:ilvl="6">
      <w:numFmt w:val="bullet"/>
      <w:lvlText w:val="•"/>
      <w:lvlJc w:val="left"/>
      <w:pPr>
        <w:ind w:left="3080" w:hanging="339"/>
      </w:pPr>
      <w:rPr>
        <w:rFonts w:hint="default"/>
        <w:lang w:val="en-US" w:eastAsia="en-US" w:bidi="en-US"/>
      </w:rPr>
    </w:lvl>
    <w:lvl w:ilvl="7">
      <w:numFmt w:val="bullet"/>
      <w:lvlText w:val="•"/>
      <w:lvlJc w:val="left"/>
      <w:pPr>
        <w:ind w:left="4540" w:hanging="339"/>
      </w:pPr>
      <w:rPr>
        <w:rFonts w:hint="default"/>
        <w:lang w:val="en-US" w:eastAsia="en-US" w:bidi="en-US"/>
      </w:rPr>
    </w:lvl>
    <w:lvl w:ilvl="8">
      <w:numFmt w:val="bullet"/>
      <w:lvlText w:val="•"/>
      <w:lvlJc w:val="left"/>
      <w:pPr>
        <w:ind w:left="6000" w:hanging="339"/>
      </w:pPr>
      <w:rPr>
        <w:rFonts w:hint="default"/>
        <w:lang w:val="en-US" w:eastAsia="en-US" w:bidi="en-US"/>
      </w:rPr>
    </w:lvl>
  </w:abstractNum>
  <w:abstractNum w:abstractNumId="7" w15:restartNumberingAfterBreak="0">
    <w:nsid w:val="42A33566"/>
    <w:multiLevelType w:val="hybridMultilevel"/>
    <w:tmpl w:val="C03896E6"/>
    <w:lvl w:ilvl="0" w:tplc="5FDE5E8E">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FE5F44"/>
    <w:multiLevelType w:val="multilevel"/>
    <w:tmpl w:val="F9D4BDD2"/>
    <w:lvl w:ilvl="0">
      <w:start w:val="2"/>
      <w:numFmt w:val="decimal"/>
      <w:lvlText w:val="%1."/>
      <w:lvlJc w:val="left"/>
      <w:pPr>
        <w:ind w:left="390" w:hanging="390"/>
      </w:pPr>
      <w:rPr>
        <w:rFonts w:hint="default"/>
      </w:rPr>
    </w:lvl>
    <w:lvl w:ilvl="1">
      <w:start w:val="2"/>
      <w:numFmt w:val="decimal"/>
      <w:lvlText w:val="%1.%2."/>
      <w:lvlJc w:val="left"/>
      <w:pPr>
        <w:ind w:left="1373" w:hanging="72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3039" w:hanging="108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371" w:hanging="1800"/>
      </w:pPr>
      <w:rPr>
        <w:rFonts w:hint="default"/>
      </w:rPr>
    </w:lvl>
    <w:lvl w:ilvl="8">
      <w:start w:val="1"/>
      <w:numFmt w:val="decimal"/>
      <w:lvlText w:val="%1.%2.%3.%4.%5.%6.%7.%8.%9."/>
      <w:lvlJc w:val="left"/>
      <w:pPr>
        <w:ind w:left="7024" w:hanging="1800"/>
      </w:pPr>
      <w:rPr>
        <w:rFonts w:hint="default"/>
      </w:rPr>
    </w:lvl>
  </w:abstractNum>
  <w:abstractNum w:abstractNumId="9" w15:restartNumberingAfterBreak="0">
    <w:nsid w:val="5BDB19FE"/>
    <w:multiLevelType w:val="multilevel"/>
    <w:tmpl w:val="A7B8C5D2"/>
    <w:lvl w:ilvl="0">
      <w:start w:val="2"/>
      <w:numFmt w:val="decimal"/>
      <w:lvlText w:val="%1."/>
      <w:lvlJc w:val="left"/>
      <w:pPr>
        <w:ind w:left="390" w:hanging="390"/>
      </w:pPr>
      <w:rPr>
        <w:rFonts w:hint="default"/>
      </w:rPr>
    </w:lvl>
    <w:lvl w:ilvl="1">
      <w:start w:val="6"/>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num w:numId="1">
    <w:abstractNumId w:val="1"/>
  </w:num>
  <w:num w:numId="2">
    <w:abstractNumId w:val="5"/>
  </w:num>
  <w:num w:numId="3">
    <w:abstractNumId w:val="7"/>
  </w:num>
  <w:num w:numId="4">
    <w:abstractNumId w:val="6"/>
  </w:num>
  <w:num w:numId="5">
    <w:abstractNumId w:val="4"/>
  </w:num>
  <w:num w:numId="6">
    <w:abstractNumId w:val="8"/>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B87"/>
    <w:rsid w:val="000003B2"/>
    <w:rsid w:val="00001BD5"/>
    <w:rsid w:val="000028E1"/>
    <w:rsid w:val="0003355D"/>
    <w:rsid w:val="00060B0A"/>
    <w:rsid w:val="00063508"/>
    <w:rsid w:val="00085A65"/>
    <w:rsid w:val="000B7349"/>
    <w:rsid w:val="000D2A30"/>
    <w:rsid w:val="000E1076"/>
    <w:rsid w:val="000F39E3"/>
    <w:rsid w:val="000F5259"/>
    <w:rsid w:val="00102347"/>
    <w:rsid w:val="00125599"/>
    <w:rsid w:val="00126AE7"/>
    <w:rsid w:val="001445C2"/>
    <w:rsid w:val="001468E0"/>
    <w:rsid w:val="00153BD6"/>
    <w:rsid w:val="001562CD"/>
    <w:rsid w:val="00186BEB"/>
    <w:rsid w:val="001D4642"/>
    <w:rsid w:val="001D78F7"/>
    <w:rsid w:val="002153A9"/>
    <w:rsid w:val="00252B17"/>
    <w:rsid w:val="00255968"/>
    <w:rsid w:val="00264BFA"/>
    <w:rsid w:val="00266F64"/>
    <w:rsid w:val="002929A3"/>
    <w:rsid w:val="002C43F9"/>
    <w:rsid w:val="002D47F0"/>
    <w:rsid w:val="0031479B"/>
    <w:rsid w:val="003160F2"/>
    <w:rsid w:val="003165F2"/>
    <w:rsid w:val="00390DF7"/>
    <w:rsid w:val="003951AE"/>
    <w:rsid w:val="003B0089"/>
    <w:rsid w:val="003B17DB"/>
    <w:rsid w:val="003B4845"/>
    <w:rsid w:val="003D7400"/>
    <w:rsid w:val="00433448"/>
    <w:rsid w:val="0043409B"/>
    <w:rsid w:val="00463386"/>
    <w:rsid w:val="00486700"/>
    <w:rsid w:val="004A0A38"/>
    <w:rsid w:val="004B19BE"/>
    <w:rsid w:val="004E76BD"/>
    <w:rsid w:val="004F4770"/>
    <w:rsid w:val="00525A07"/>
    <w:rsid w:val="00541807"/>
    <w:rsid w:val="00552201"/>
    <w:rsid w:val="005552AD"/>
    <w:rsid w:val="00556675"/>
    <w:rsid w:val="00574448"/>
    <w:rsid w:val="0057447F"/>
    <w:rsid w:val="005864F5"/>
    <w:rsid w:val="00590F0C"/>
    <w:rsid w:val="005C47D6"/>
    <w:rsid w:val="005C640B"/>
    <w:rsid w:val="005E16EC"/>
    <w:rsid w:val="00607CDE"/>
    <w:rsid w:val="00632299"/>
    <w:rsid w:val="00632E52"/>
    <w:rsid w:val="00633358"/>
    <w:rsid w:val="006404DD"/>
    <w:rsid w:val="00642721"/>
    <w:rsid w:val="00644780"/>
    <w:rsid w:val="006827E8"/>
    <w:rsid w:val="006A31D9"/>
    <w:rsid w:val="006B3949"/>
    <w:rsid w:val="006B4051"/>
    <w:rsid w:val="006D55E0"/>
    <w:rsid w:val="006F1AFE"/>
    <w:rsid w:val="007028CD"/>
    <w:rsid w:val="0071312C"/>
    <w:rsid w:val="00721B5D"/>
    <w:rsid w:val="0073235B"/>
    <w:rsid w:val="0077426B"/>
    <w:rsid w:val="007875AE"/>
    <w:rsid w:val="00792D4A"/>
    <w:rsid w:val="007A1200"/>
    <w:rsid w:val="007A2D1B"/>
    <w:rsid w:val="007A337A"/>
    <w:rsid w:val="008017F1"/>
    <w:rsid w:val="00802497"/>
    <w:rsid w:val="008544F2"/>
    <w:rsid w:val="00867DED"/>
    <w:rsid w:val="00874C94"/>
    <w:rsid w:val="008A0E57"/>
    <w:rsid w:val="008E2FE6"/>
    <w:rsid w:val="008F7F64"/>
    <w:rsid w:val="00934F09"/>
    <w:rsid w:val="00936DCE"/>
    <w:rsid w:val="00945420"/>
    <w:rsid w:val="0099210A"/>
    <w:rsid w:val="009C135B"/>
    <w:rsid w:val="009D7CE5"/>
    <w:rsid w:val="009E0C81"/>
    <w:rsid w:val="009F42DF"/>
    <w:rsid w:val="00A01BBB"/>
    <w:rsid w:val="00A3220A"/>
    <w:rsid w:val="00A347F5"/>
    <w:rsid w:val="00A3614D"/>
    <w:rsid w:val="00A47585"/>
    <w:rsid w:val="00A7698C"/>
    <w:rsid w:val="00A86581"/>
    <w:rsid w:val="00B15647"/>
    <w:rsid w:val="00B83027"/>
    <w:rsid w:val="00BA6961"/>
    <w:rsid w:val="00C00E55"/>
    <w:rsid w:val="00C04F43"/>
    <w:rsid w:val="00C22170"/>
    <w:rsid w:val="00C23E8B"/>
    <w:rsid w:val="00C31E0D"/>
    <w:rsid w:val="00C37163"/>
    <w:rsid w:val="00C82F80"/>
    <w:rsid w:val="00C91BB5"/>
    <w:rsid w:val="00CA081E"/>
    <w:rsid w:val="00CD0AE4"/>
    <w:rsid w:val="00D07D6B"/>
    <w:rsid w:val="00D11DF4"/>
    <w:rsid w:val="00D30EF8"/>
    <w:rsid w:val="00D42969"/>
    <w:rsid w:val="00D72DA7"/>
    <w:rsid w:val="00D73B87"/>
    <w:rsid w:val="00D858B0"/>
    <w:rsid w:val="00D97A2B"/>
    <w:rsid w:val="00DC745C"/>
    <w:rsid w:val="00DF7C3B"/>
    <w:rsid w:val="00E0049B"/>
    <w:rsid w:val="00E152E1"/>
    <w:rsid w:val="00E22E16"/>
    <w:rsid w:val="00E31A66"/>
    <w:rsid w:val="00E47D1F"/>
    <w:rsid w:val="00E65508"/>
    <w:rsid w:val="00E74428"/>
    <w:rsid w:val="00E93FD4"/>
    <w:rsid w:val="00E958BF"/>
    <w:rsid w:val="00E96D28"/>
    <w:rsid w:val="00EA2090"/>
    <w:rsid w:val="00EC066B"/>
    <w:rsid w:val="00EC1F45"/>
    <w:rsid w:val="00ED5A3F"/>
    <w:rsid w:val="00EF2258"/>
    <w:rsid w:val="00F072B9"/>
    <w:rsid w:val="00F25095"/>
    <w:rsid w:val="00F34A4B"/>
    <w:rsid w:val="00F54969"/>
    <w:rsid w:val="00F726DC"/>
    <w:rsid w:val="00F753AF"/>
    <w:rsid w:val="00F80668"/>
    <w:rsid w:val="00F852A5"/>
    <w:rsid w:val="00FA41E6"/>
    <w:rsid w:val="00FA6A91"/>
    <w:rsid w:val="00FB2549"/>
    <w:rsid w:val="00FC58E1"/>
    <w:rsid w:val="00FE4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092"/>
  <w15:docId w15:val="{FB87829F-C615-4910-B7BA-006196EE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B5"/>
  </w:style>
  <w:style w:type="paragraph" w:styleId="Heading1">
    <w:name w:val="heading 1"/>
    <w:basedOn w:val="Normal"/>
    <w:link w:val="Heading1Char"/>
    <w:uiPriority w:val="9"/>
    <w:qFormat/>
    <w:rsid w:val="007A337A"/>
    <w:pPr>
      <w:widowControl w:val="0"/>
      <w:autoSpaceDE w:val="0"/>
      <w:autoSpaceDN w:val="0"/>
      <w:spacing w:after="0" w:line="240" w:lineRule="auto"/>
      <w:ind w:left="1603"/>
      <w:outlineLvl w:val="0"/>
    </w:pPr>
    <w:rPr>
      <w:rFonts w:ascii="Trebuchet MS" w:eastAsia="Trebuchet MS" w:hAnsi="Trebuchet MS" w:cs="Trebuchet MS"/>
      <w:b/>
      <w:bCs/>
      <w:sz w:val="20"/>
      <w:szCs w:val="20"/>
      <w:lang w:bidi="en-US"/>
    </w:rPr>
  </w:style>
  <w:style w:type="paragraph" w:styleId="Heading2">
    <w:name w:val="heading 2"/>
    <w:basedOn w:val="Normal"/>
    <w:next w:val="Normal"/>
    <w:link w:val="Heading2Char"/>
    <w:uiPriority w:val="9"/>
    <w:semiHidden/>
    <w:unhideWhenUsed/>
    <w:qFormat/>
    <w:rsid w:val="00153BD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8B0"/>
    <w:rPr>
      <w:color w:val="0563C1" w:themeColor="hyperlink"/>
      <w:u w:val="single"/>
    </w:rPr>
  </w:style>
  <w:style w:type="character" w:customStyle="1" w:styleId="UnresolvedMention1">
    <w:name w:val="Unresolved Mention1"/>
    <w:basedOn w:val="DefaultParagraphFont"/>
    <w:uiPriority w:val="99"/>
    <w:semiHidden/>
    <w:unhideWhenUsed/>
    <w:rsid w:val="00D858B0"/>
    <w:rPr>
      <w:color w:val="605E5C"/>
      <w:shd w:val="clear" w:color="auto" w:fill="E1DFDD"/>
    </w:rPr>
  </w:style>
  <w:style w:type="character" w:styleId="FollowedHyperlink">
    <w:name w:val="FollowedHyperlink"/>
    <w:basedOn w:val="DefaultParagraphFont"/>
    <w:uiPriority w:val="99"/>
    <w:semiHidden/>
    <w:unhideWhenUsed/>
    <w:rsid w:val="00C22170"/>
    <w:rPr>
      <w:color w:val="954F72" w:themeColor="followedHyperlink"/>
      <w:u w:val="single"/>
    </w:rPr>
  </w:style>
  <w:style w:type="paragraph" w:styleId="NoSpacing">
    <w:name w:val="No Spacing"/>
    <w:uiPriority w:val="1"/>
    <w:qFormat/>
    <w:rsid w:val="00D42969"/>
    <w:pPr>
      <w:widowControl w:val="0"/>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D42969"/>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42969"/>
    <w:rPr>
      <w:rFonts w:ascii="Calibri" w:eastAsia="Calibri" w:hAnsi="Calibri" w:cs="Times New Roman"/>
      <w:sz w:val="20"/>
      <w:szCs w:val="20"/>
      <w:lang w:val="en-US"/>
    </w:rPr>
  </w:style>
  <w:style w:type="character" w:styleId="FootnoteReference">
    <w:name w:val="footnote reference"/>
    <w:uiPriority w:val="99"/>
    <w:semiHidden/>
    <w:unhideWhenUsed/>
    <w:rsid w:val="00D42969"/>
    <w:rPr>
      <w:vertAlign w:val="superscript"/>
    </w:rPr>
  </w:style>
  <w:style w:type="paragraph" w:styleId="Header">
    <w:name w:val="header"/>
    <w:basedOn w:val="Normal"/>
    <w:link w:val="HeaderChar"/>
    <w:uiPriority w:val="99"/>
    <w:unhideWhenUsed/>
    <w:rsid w:val="00D429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969"/>
  </w:style>
  <w:style w:type="paragraph" w:styleId="Footer">
    <w:name w:val="footer"/>
    <w:basedOn w:val="Normal"/>
    <w:link w:val="FooterChar"/>
    <w:uiPriority w:val="99"/>
    <w:unhideWhenUsed/>
    <w:rsid w:val="00D429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969"/>
  </w:style>
  <w:style w:type="paragraph" w:styleId="CommentText">
    <w:name w:val="annotation text"/>
    <w:basedOn w:val="Normal"/>
    <w:link w:val="CommentTextChar"/>
    <w:uiPriority w:val="99"/>
    <w:semiHidden/>
    <w:unhideWhenUsed/>
    <w:rsid w:val="00001BD5"/>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CommentTextChar">
    <w:name w:val="Comment Text Char"/>
    <w:basedOn w:val="DefaultParagraphFont"/>
    <w:link w:val="CommentText"/>
    <w:uiPriority w:val="99"/>
    <w:semiHidden/>
    <w:rsid w:val="00001BD5"/>
    <w:rPr>
      <w:rFonts w:ascii="Trebuchet MS" w:eastAsia="Trebuchet MS" w:hAnsi="Trebuchet MS" w:cs="Trebuchet MS"/>
      <w:sz w:val="20"/>
      <w:szCs w:val="20"/>
      <w:lang w:bidi="en-US"/>
    </w:rPr>
  </w:style>
  <w:style w:type="paragraph" w:styleId="ListParagraph">
    <w:name w:val="List Paragraph"/>
    <w:basedOn w:val="Normal"/>
    <w:uiPriority w:val="1"/>
    <w:qFormat/>
    <w:rsid w:val="00E74428"/>
    <w:pPr>
      <w:ind w:left="720"/>
      <w:contextualSpacing/>
    </w:pPr>
  </w:style>
  <w:style w:type="paragraph" w:styleId="BalloonText">
    <w:name w:val="Balloon Text"/>
    <w:basedOn w:val="Normal"/>
    <w:link w:val="BalloonTextChar"/>
    <w:uiPriority w:val="99"/>
    <w:semiHidden/>
    <w:unhideWhenUsed/>
    <w:rsid w:val="00D72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A7"/>
    <w:rPr>
      <w:rFonts w:ascii="Tahoma" w:hAnsi="Tahoma" w:cs="Tahoma"/>
      <w:sz w:val="16"/>
      <w:szCs w:val="16"/>
    </w:rPr>
  </w:style>
  <w:style w:type="character" w:customStyle="1" w:styleId="Heading1Char">
    <w:name w:val="Heading 1 Char"/>
    <w:basedOn w:val="DefaultParagraphFont"/>
    <w:link w:val="Heading1"/>
    <w:uiPriority w:val="9"/>
    <w:rsid w:val="007A337A"/>
    <w:rPr>
      <w:rFonts w:ascii="Trebuchet MS" w:eastAsia="Trebuchet MS" w:hAnsi="Trebuchet MS" w:cs="Trebuchet MS"/>
      <w:b/>
      <w:bCs/>
      <w:sz w:val="20"/>
      <w:szCs w:val="20"/>
      <w:lang w:bidi="en-US"/>
    </w:rPr>
  </w:style>
  <w:style w:type="paragraph" w:styleId="BodyText">
    <w:name w:val="Body Text"/>
    <w:basedOn w:val="Normal"/>
    <w:link w:val="BodyTextChar"/>
    <w:uiPriority w:val="1"/>
    <w:qFormat/>
    <w:rsid w:val="007A337A"/>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BodyTextChar">
    <w:name w:val="Body Text Char"/>
    <w:basedOn w:val="DefaultParagraphFont"/>
    <w:link w:val="BodyText"/>
    <w:uiPriority w:val="1"/>
    <w:rsid w:val="007A337A"/>
    <w:rPr>
      <w:rFonts w:ascii="Trebuchet MS" w:eastAsia="Trebuchet MS" w:hAnsi="Trebuchet MS" w:cs="Trebuchet MS"/>
      <w:sz w:val="20"/>
      <w:szCs w:val="20"/>
      <w:lang w:bidi="en-US"/>
    </w:rPr>
  </w:style>
  <w:style w:type="character" w:customStyle="1" w:styleId="jlqj4b">
    <w:name w:val="jlqj4b"/>
    <w:basedOn w:val="DefaultParagraphFont"/>
    <w:rsid w:val="00153BD6"/>
  </w:style>
  <w:style w:type="character" w:customStyle="1" w:styleId="Heading2Char">
    <w:name w:val="Heading 2 Char"/>
    <w:basedOn w:val="DefaultParagraphFont"/>
    <w:link w:val="Heading2"/>
    <w:uiPriority w:val="9"/>
    <w:semiHidden/>
    <w:rsid w:val="00153BD6"/>
    <w:rPr>
      <w:rFonts w:asciiTheme="majorHAnsi" w:eastAsiaTheme="majorEastAsia" w:hAnsiTheme="majorHAnsi" w:cstheme="majorBidi"/>
      <w:b/>
      <w:bCs/>
      <w:color w:val="4472C4" w:themeColor="accent1"/>
      <w:sz w:val="26"/>
      <w:szCs w:val="26"/>
    </w:rPr>
  </w:style>
  <w:style w:type="character" w:customStyle="1" w:styleId="viiyi">
    <w:name w:val="viiyi"/>
    <w:basedOn w:val="DefaultParagraphFont"/>
    <w:rsid w:val="00F25095"/>
  </w:style>
  <w:style w:type="character" w:customStyle="1" w:styleId="material-icons-extended">
    <w:name w:val="material-icons-extended"/>
    <w:basedOn w:val="DefaultParagraphFont"/>
    <w:rsid w:val="0080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1833">
      <w:bodyDiv w:val="1"/>
      <w:marLeft w:val="0"/>
      <w:marRight w:val="0"/>
      <w:marTop w:val="0"/>
      <w:marBottom w:val="0"/>
      <w:divBdr>
        <w:top w:val="none" w:sz="0" w:space="0" w:color="auto"/>
        <w:left w:val="none" w:sz="0" w:space="0" w:color="auto"/>
        <w:bottom w:val="none" w:sz="0" w:space="0" w:color="auto"/>
        <w:right w:val="none" w:sz="0" w:space="0" w:color="auto"/>
      </w:divBdr>
      <w:divsChild>
        <w:div w:id="1901557042">
          <w:marLeft w:val="0"/>
          <w:marRight w:val="0"/>
          <w:marTop w:val="100"/>
          <w:marBottom w:val="0"/>
          <w:divBdr>
            <w:top w:val="none" w:sz="0" w:space="0" w:color="auto"/>
            <w:left w:val="none" w:sz="0" w:space="0" w:color="auto"/>
            <w:bottom w:val="none" w:sz="0" w:space="0" w:color="auto"/>
            <w:right w:val="none" w:sz="0" w:space="0" w:color="auto"/>
          </w:divBdr>
          <w:divsChild>
            <w:div w:id="206722624">
              <w:marLeft w:val="0"/>
              <w:marRight w:val="0"/>
              <w:marTop w:val="60"/>
              <w:marBottom w:val="0"/>
              <w:divBdr>
                <w:top w:val="none" w:sz="0" w:space="0" w:color="auto"/>
                <w:left w:val="none" w:sz="0" w:space="0" w:color="auto"/>
                <w:bottom w:val="none" w:sz="0" w:space="0" w:color="auto"/>
                <w:right w:val="none" w:sz="0" w:space="0" w:color="auto"/>
              </w:divBdr>
            </w:div>
          </w:divsChild>
        </w:div>
        <w:div w:id="1012149712">
          <w:marLeft w:val="0"/>
          <w:marRight w:val="0"/>
          <w:marTop w:val="0"/>
          <w:marBottom w:val="0"/>
          <w:divBdr>
            <w:top w:val="none" w:sz="0" w:space="0" w:color="auto"/>
            <w:left w:val="none" w:sz="0" w:space="0" w:color="auto"/>
            <w:bottom w:val="none" w:sz="0" w:space="0" w:color="auto"/>
            <w:right w:val="none" w:sz="0" w:space="0" w:color="auto"/>
          </w:divBdr>
          <w:divsChild>
            <w:div w:id="624232640">
              <w:marLeft w:val="0"/>
              <w:marRight w:val="0"/>
              <w:marTop w:val="0"/>
              <w:marBottom w:val="0"/>
              <w:divBdr>
                <w:top w:val="none" w:sz="0" w:space="0" w:color="auto"/>
                <w:left w:val="none" w:sz="0" w:space="0" w:color="auto"/>
                <w:bottom w:val="none" w:sz="0" w:space="0" w:color="auto"/>
                <w:right w:val="none" w:sz="0" w:space="0" w:color="auto"/>
              </w:divBdr>
              <w:divsChild>
                <w:div w:id="4137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9347">
      <w:bodyDiv w:val="1"/>
      <w:marLeft w:val="0"/>
      <w:marRight w:val="0"/>
      <w:marTop w:val="0"/>
      <w:marBottom w:val="0"/>
      <w:divBdr>
        <w:top w:val="none" w:sz="0" w:space="0" w:color="auto"/>
        <w:left w:val="none" w:sz="0" w:space="0" w:color="auto"/>
        <w:bottom w:val="none" w:sz="0" w:space="0" w:color="auto"/>
        <w:right w:val="none" w:sz="0" w:space="0" w:color="auto"/>
      </w:divBdr>
      <w:divsChild>
        <w:div w:id="1039821776">
          <w:marLeft w:val="0"/>
          <w:marRight w:val="0"/>
          <w:marTop w:val="480"/>
          <w:marBottom w:val="240"/>
          <w:divBdr>
            <w:top w:val="none" w:sz="0" w:space="0" w:color="auto"/>
            <w:left w:val="none" w:sz="0" w:space="0" w:color="auto"/>
            <w:bottom w:val="none" w:sz="0" w:space="0" w:color="auto"/>
            <w:right w:val="none" w:sz="0" w:space="0" w:color="auto"/>
          </w:divBdr>
        </w:div>
        <w:div w:id="1012997893">
          <w:marLeft w:val="0"/>
          <w:marRight w:val="0"/>
          <w:marTop w:val="0"/>
          <w:marBottom w:val="567"/>
          <w:divBdr>
            <w:top w:val="none" w:sz="0" w:space="0" w:color="auto"/>
            <w:left w:val="none" w:sz="0" w:space="0" w:color="auto"/>
            <w:bottom w:val="none" w:sz="0" w:space="0" w:color="auto"/>
            <w:right w:val="none" w:sz="0" w:space="0" w:color="auto"/>
          </w:divBdr>
        </w:div>
        <w:div w:id="604072135">
          <w:marLeft w:val="0"/>
          <w:marRight w:val="0"/>
          <w:marTop w:val="0"/>
          <w:marBottom w:val="567"/>
          <w:divBdr>
            <w:top w:val="none" w:sz="0" w:space="0" w:color="auto"/>
            <w:left w:val="none" w:sz="0" w:space="0" w:color="auto"/>
            <w:bottom w:val="none" w:sz="0" w:space="0" w:color="auto"/>
            <w:right w:val="none" w:sz="0" w:space="0" w:color="auto"/>
          </w:divBdr>
        </w:div>
      </w:divsChild>
    </w:div>
    <w:div w:id="14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143735933">
          <w:marLeft w:val="0"/>
          <w:marRight w:val="0"/>
          <w:marTop w:val="0"/>
          <w:marBottom w:val="0"/>
          <w:divBdr>
            <w:top w:val="none" w:sz="0" w:space="0" w:color="auto"/>
            <w:left w:val="none" w:sz="0" w:space="0" w:color="auto"/>
            <w:bottom w:val="none" w:sz="0" w:space="0" w:color="auto"/>
            <w:right w:val="none" w:sz="0" w:space="0" w:color="auto"/>
          </w:divBdr>
          <w:divsChild>
            <w:div w:id="563955492">
              <w:marLeft w:val="0"/>
              <w:marRight w:val="0"/>
              <w:marTop w:val="0"/>
              <w:marBottom w:val="0"/>
              <w:divBdr>
                <w:top w:val="none" w:sz="0" w:space="0" w:color="auto"/>
                <w:left w:val="none" w:sz="0" w:space="0" w:color="auto"/>
                <w:bottom w:val="none" w:sz="0" w:space="0" w:color="auto"/>
                <w:right w:val="none" w:sz="0" w:space="0" w:color="auto"/>
              </w:divBdr>
              <w:divsChild>
                <w:div w:id="1199317175">
                  <w:marLeft w:val="0"/>
                  <w:marRight w:val="0"/>
                  <w:marTop w:val="0"/>
                  <w:marBottom w:val="0"/>
                  <w:divBdr>
                    <w:top w:val="none" w:sz="0" w:space="0" w:color="auto"/>
                    <w:left w:val="none" w:sz="0" w:space="0" w:color="auto"/>
                    <w:bottom w:val="none" w:sz="0" w:space="0" w:color="auto"/>
                    <w:right w:val="none" w:sz="0" w:space="0" w:color="auto"/>
                  </w:divBdr>
                  <w:divsChild>
                    <w:div w:id="542979712">
                      <w:marLeft w:val="0"/>
                      <w:marRight w:val="0"/>
                      <w:marTop w:val="0"/>
                      <w:marBottom w:val="0"/>
                      <w:divBdr>
                        <w:top w:val="none" w:sz="0" w:space="0" w:color="auto"/>
                        <w:left w:val="none" w:sz="0" w:space="0" w:color="auto"/>
                        <w:bottom w:val="none" w:sz="0" w:space="0" w:color="auto"/>
                        <w:right w:val="none" w:sz="0" w:space="0" w:color="auto"/>
                      </w:divBdr>
                      <w:divsChild>
                        <w:div w:id="741218490">
                          <w:marLeft w:val="0"/>
                          <w:marRight w:val="0"/>
                          <w:marTop w:val="0"/>
                          <w:marBottom w:val="0"/>
                          <w:divBdr>
                            <w:top w:val="none" w:sz="0" w:space="0" w:color="auto"/>
                            <w:left w:val="none" w:sz="0" w:space="0" w:color="auto"/>
                            <w:bottom w:val="none" w:sz="0" w:space="0" w:color="auto"/>
                            <w:right w:val="none" w:sz="0" w:space="0" w:color="auto"/>
                          </w:divBdr>
                          <w:divsChild>
                            <w:div w:id="261180986">
                              <w:marLeft w:val="0"/>
                              <w:marRight w:val="0"/>
                              <w:marTop w:val="0"/>
                              <w:marBottom w:val="0"/>
                              <w:divBdr>
                                <w:top w:val="none" w:sz="0" w:space="0" w:color="auto"/>
                                <w:left w:val="none" w:sz="0" w:space="0" w:color="auto"/>
                                <w:bottom w:val="none" w:sz="0" w:space="0" w:color="auto"/>
                                <w:right w:val="none" w:sz="0" w:space="0" w:color="auto"/>
                              </w:divBdr>
                            </w:div>
                            <w:div w:id="2069454032">
                              <w:marLeft w:val="0"/>
                              <w:marRight w:val="0"/>
                              <w:marTop w:val="0"/>
                              <w:marBottom w:val="0"/>
                              <w:divBdr>
                                <w:top w:val="none" w:sz="0" w:space="0" w:color="auto"/>
                                <w:left w:val="none" w:sz="0" w:space="0" w:color="auto"/>
                                <w:bottom w:val="none" w:sz="0" w:space="0" w:color="auto"/>
                                <w:right w:val="none" w:sz="0" w:space="0" w:color="auto"/>
                              </w:divBdr>
                              <w:divsChild>
                                <w:div w:id="809783558">
                                  <w:marLeft w:val="0"/>
                                  <w:marRight w:val="0"/>
                                  <w:marTop w:val="0"/>
                                  <w:marBottom w:val="0"/>
                                  <w:divBdr>
                                    <w:top w:val="none" w:sz="0" w:space="0" w:color="auto"/>
                                    <w:left w:val="none" w:sz="0" w:space="0" w:color="auto"/>
                                    <w:bottom w:val="none" w:sz="0" w:space="0" w:color="auto"/>
                                    <w:right w:val="none" w:sz="0" w:space="0" w:color="auto"/>
                                  </w:divBdr>
                                  <w:divsChild>
                                    <w:div w:id="799374986">
                                      <w:marLeft w:val="0"/>
                                      <w:marRight w:val="0"/>
                                      <w:marTop w:val="0"/>
                                      <w:marBottom w:val="0"/>
                                      <w:divBdr>
                                        <w:top w:val="none" w:sz="0" w:space="0" w:color="auto"/>
                                        <w:left w:val="none" w:sz="0" w:space="0" w:color="auto"/>
                                        <w:bottom w:val="none" w:sz="0" w:space="0" w:color="auto"/>
                                        <w:right w:val="none" w:sz="0" w:space="0" w:color="auto"/>
                                      </w:divBdr>
                                      <w:divsChild>
                                        <w:div w:id="7913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5506">
                                  <w:marLeft w:val="0"/>
                                  <w:marRight w:val="0"/>
                                  <w:marTop w:val="0"/>
                                  <w:marBottom w:val="0"/>
                                  <w:divBdr>
                                    <w:top w:val="none" w:sz="0" w:space="0" w:color="auto"/>
                                    <w:left w:val="none" w:sz="0" w:space="0" w:color="auto"/>
                                    <w:bottom w:val="none" w:sz="0" w:space="0" w:color="auto"/>
                                    <w:right w:val="none" w:sz="0" w:space="0" w:color="auto"/>
                                  </w:divBdr>
                                  <w:divsChild>
                                    <w:div w:id="1979189281">
                                      <w:marLeft w:val="0"/>
                                      <w:marRight w:val="0"/>
                                      <w:marTop w:val="0"/>
                                      <w:marBottom w:val="0"/>
                                      <w:divBdr>
                                        <w:top w:val="none" w:sz="0" w:space="0" w:color="auto"/>
                                        <w:left w:val="none" w:sz="0" w:space="0" w:color="auto"/>
                                        <w:bottom w:val="none" w:sz="0" w:space="0" w:color="auto"/>
                                        <w:right w:val="none" w:sz="0" w:space="0" w:color="auto"/>
                                      </w:divBdr>
                                    </w:div>
                                  </w:divsChild>
                                </w:div>
                                <w:div w:id="1407874997">
                                  <w:marLeft w:val="0"/>
                                  <w:marRight w:val="0"/>
                                  <w:marTop w:val="0"/>
                                  <w:marBottom w:val="0"/>
                                  <w:divBdr>
                                    <w:top w:val="none" w:sz="0" w:space="0" w:color="auto"/>
                                    <w:left w:val="none" w:sz="0" w:space="0" w:color="auto"/>
                                    <w:bottom w:val="none" w:sz="0" w:space="0" w:color="auto"/>
                                    <w:right w:val="none" w:sz="0" w:space="0" w:color="auto"/>
                                  </w:divBdr>
                                  <w:divsChild>
                                    <w:div w:id="856045407">
                                      <w:marLeft w:val="0"/>
                                      <w:marRight w:val="0"/>
                                      <w:marTop w:val="0"/>
                                      <w:marBottom w:val="0"/>
                                      <w:divBdr>
                                        <w:top w:val="none" w:sz="0" w:space="0" w:color="auto"/>
                                        <w:left w:val="none" w:sz="0" w:space="0" w:color="auto"/>
                                        <w:bottom w:val="none" w:sz="0" w:space="0" w:color="auto"/>
                                        <w:right w:val="none" w:sz="0" w:space="0" w:color="auto"/>
                                      </w:divBdr>
                                      <w:divsChild>
                                        <w:div w:id="196281062">
                                          <w:marLeft w:val="0"/>
                                          <w:marRight w:val="0"/>
                                          <w:marTop w:val="0"/>
                                          <w:marBottom w:val="0"/>
                                          <w:divBdr>
                                            <w:top w:val="none" w:sz="0" w:space="0" w:color="auto"/>
                                            <w:left w:val="none" w:sz="0" w:space="0" w:color="auto"/>
                                            <w:bottom w:val="none" w:sz="0" w:space="0" w:color="auto"/>
                                            <w:right w:val="none" w:sz="0" w:space="0" w:color="auto"/>
                                          </w:divBdr>
                                          <w:divsChild>
                                            <w:div w:id="3261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505977">
                      <w:marLeft w:val="0"/>
                      <w:marRight w:val="0"/>
                      <w:marTop w:val="0"/>
                      <w:marBottom w:val="0"/>
                      <w:divBdr>
                        <w:top w:val="none" w:sz="0" w:space="0" w:color="auto"/>
                        <w:left w:val="none" w:sz="0" w:space="0" w:color="auto"/>
                        <w:bottom w:val="none" w:sz="0" w:space="0" w:color="auto"/>
                        <w:right w:val="none" w:sz="0" w:space="0" w:color="auto"/>
                      </w:divBdr>
                      <w:divsChild>
                        <w:div w:id="1596553854">
                          <w:marLeft w:val="0"/>
                          <w:marRight w:val="0"/>
                          <w:marTop w:val="0"/>
                          <w:marBottom w:val="0"/>
                          <w:divBdr>
                            <w:top w:val="none" w:sz="0" w:space="0" w:color="auto"/>
                            <w:left w:val="none" w:sz="0" w:space="0" w:color="auto"/>
                            <w:bottom w:val="none" w:sz="0" w:space="0" w:color="auto"/>
                            <w:right w:val="none" w:sz="0" w:space="0" w:color="auto"/>
                          </w:divBdr>
                          <w:divsChild>
                            <w:div w:id="365760672">
                              <w:marLeft w:val="0"/>
                              <w:marRight w:val="0"/>
                              <w:marTop w:val="0"/>
                              <w:marBottom w:val="0"/>
                              <w:divBdr>
                                <w:top w:val="none" w:sz="0" w:space="0" w:color="auto"/>
                                <w:left w:val="none" w:sz="0" w:space="0" w:color="auto"/>
                                <w:bottom w:val="none" w:sz="0" w:space="0" w:color="auto"/>
                                <w:right w:val="none" w:sz="0" w:space="0" w:color="auto"/>
                              </w:divBdr>
                              <w:divsChild>
                                <w:div w:id="15057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87987">
      <w:bodyDiv w:val="1"/>
      <w:marLeft w:val="0"/>
      <w:marRight w:val="0"/>
      <w:marTop w:val="0"/>
      <w:marBottom w:val="0"/>
      <w:divBdr>
        <w:top w:val="none" w:sz="0" w:space="0" w:color="auto"/>
        <w:left w:val="none" w:sz="0" w:space="0" w:color="auto"/>
        <w:bottom w:val="none" w:sz="0" w:space="0" w:color="auto"/>
        <w:right w:val="none" w:sz="0" w:space="0" w:color="auto"/>
      </w:divBdr>
      <w:divsChild>
        <w:div w:id="1499609847">
          <w:marLeft w:val="0"/>
          <w:marRight w:val="0"/>
          <w:marTop w:val="100"/>
          <w:marBottom w:val="0"/>
          <w:divBdr>
            <w:top w:val="none" w:sz="0" w:space="0" w:color="auto"/>
            <w:left w:val="none" w:sz="0" w:space="0" w:color="auto"/>
            <w:bottom w:val="none" w:sz="0" w:space="0" w:color="auto"/>
            <w:right w:val="none" w:sz="0" w:space="0" w:color="auto"/>
          </w:divBdr>
          <w:divsChild>
            <w:div w:id="1647078950">
              <w:marLeft w:val="0"/>
              <w:marRight w:val="0"/>
              <w:marTop w:val="60"/>
              <w:marBottom w:val="0"/>
              <w:divBdr>
                <w:top w:val="none" w:sz="0" w:space="0" w:color="auto"/>
                <w:left w:val="none" w:sz="0" w:space="0" w:color="auto"/>
                <w:bottom w:val="none" w:sz="0" w:space="0" w:color="auto"/>
                <w:right w:val="none" w:sz="0" w:space="0" w:color="auto"/>
              </w:divBdr>
            </w:div>
          </w:divsChild>
        </w:div>
        <w:div w:id="1442605689">
          <w:marLeft w:val="0"/>
          <w:marRight w:val="0"/>
          <w:marTop w:val="0"/>
          <w:marBottom w:val="0"/>
          <w:divBdr>
            <w:top w:val="none" w:sz="0" w:space="0" w:color="auto"/>
            <w:left w:val="none" w:sz="0" w:space="0" w:color="auto"/>
            <w:bottom w:val="none" w:sz="0" w:space="0" w:color="auto"/>
            <w:right w:val="none" w:sz="0" w:space="0" w:color="auto"/>
          </w:divBdr>
          <w:divsChild>
            <w:div w:id="413087053">
              <w:marLeft w:val="0"/>
              <w:marRight w:val="0"/>
              <w:marTop w:val="0"/>
              <w:marBottom w:val="0"/>
              <w:divBdr>
                <w:top w:val="none" w:sz="0" w:space="0" w:color="auto"/>
                <w:left w:val="none" w:sz="0" w:space="0" w:color="auto"/>
                <w:bottom w:val="none" w:sz="0" w:space="0" w:color="auto"/>
                <w:right w:val="none" w:sz="0" w:space="0" w:color="auto"/>
              </w:divBdr>
              <w:divsChild>
                <w:div w:id="8629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6791">
      <w:bodyDiv w:val="1"/>
      <w:marLeft w:val="0"/>
      <w:marRight w:val="0"/>
      <w:marTop w:val="0"/>
      <w:marBottom w:val="0"/>
      <w:divBdr>
        <w:top w:val="none" w:sz="0" w:space="0" w:color="auto"/>
        <w:left w:val="none" w:sz="0" w:space="0" w:color="auto"/>
        <w:bottom w:val="none" w:sz="0" w:space="0" w:color="auto"/>
        <w:right w:val="none" w:sz="0" w:space="0" w:color="auto"/>
      </w:divBdr>
      <w:divsChild>
        <w:div w:id="1179273789">
          <w:marLeft w:val="150"/>
          <w:marRight w:val="150"/>
          <w:marTop w:val="480"/>
          <w:marBottom w:val="0"/>
          <w:divBdr>
            <w:top w:val="none" w:sz="0" w:space="0" w:color="auto"/>
            <w:left w:val="none" w:sz="0" w:space="0" w:color="auto"/>
            <w:bottom w:val="none" w:sz="0" w:space="0" w:color="auto"/>
            <w:right w:val="none" w:sz="0" w:space="0" w:color="auto"/>
          </w:divBdr>
        </w:div>
        <w:div w:id="2023045805">
          <w:marLeft w:val="0"/>
          <w:marRight w:val="0"/>
          <w:marTop w:val="240"/>
          <w:marBottom w:val="0"/>
          <w:divBdr>
            <w:top w:val="none" w:sz="0" w:space="0" w:color="auto"/>
            <w:left w:val="none" w:sz="0" w:space="0" w:color="auto"/>
            <w:bottom w:val="none" w:sz="0" w:space="0" w:color="auto"/>
            <w:right w:val="none" w:sz="0" w:space="0" w:color="auto"/>
          </w:divBdr>
        </w:div>
        <w:div w:id="5200506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Gender_pay_gap_statistics" TargetMode="External"/><Relationship Id="rId13" Type="http://schemas.openxmlformats.org/officeDocument/2006/relationships/hyperlink" Target="https://www.balticsea-region-strategy.eu/action-plan"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c.europa.eu/commission/presscorner/detail/en/STATEMENT_20_207" TargetMode="External"/><Relationship Id="rId12" Type="http://schemas.openxmlformats.org/officeDocument/2006/relationships/hyperlink" Target="https://outlook.office.com/mail/inbox/id/AAMkADA1NThlMDJjLTAyOGItNGViZS1iNjJhLWMyZDcyMGMzYTI4YQBGAAAAAADrsoKEsPu%2FRpz3%2FODkrubHBwDp1Xx%2FSXjDSo9Iq%2F97KlL4AAAABeLvAAACU5CbT5ZDTqii0AW3AV2iAAKP8U6mAAA%3D" TargetMode="External"/><Relationship Id="rId17" Type="http://schemas.openxmlformats.org/officeDocument/2006/relationships/hyperlink" Target="https://portal.helcom.fi/meetings/HELCOM%2042-2021-746/MeetingDocuments/4-3%20Draft%20updated%20Baltic%20Sea%20Action%20Plan.pdf" TargetMode="External"/><Relationship Id="rId2" Type="http://schemas.openxmlformats.org/officeDocument/2006/relationships/styles" Target="styles.xml"/><Relationship Id="rId16" Type="http://schemas.openxmlformats.org/officeDocument/2006/relationships/hyperlink" Target="https://eur-lex.europa.eu/legal-content/LV/TXT/HTML/?uri=CELEX:52018PC0382&amp;from=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rmation_society/newsroom/image/document/2018-20/lv-desi_2018-country-profile-lang_4AA73DB4-0419-7542-DFB05BCC7A78BF7D_52350.pdf" TargetMode="External"/><Relationship Id="rId5" Type="http://schemas.openxmlformats.org/officeDocument/2006/relationships/footnotes" Target="footnotes.xml"/><Relationship Id="rId15" Type="http://schemas.openxmlformats.org/officeDocument/2006/relationships/hyperlink" Target="https://portal.helcom.fi/meetings/HELCOM%2042-2021-746/MeetingDocuments/4-3%20Draft%20updated%20Baltic%20Sea%20Action%20Plan.pdf" TargetMode="External"/><Relationship Id="rId10" Type="http://schemas.openxmlformats.org/officeDocument/2006/relationships/hyperlink" Target="https://www.oecd.org/latvia/going-digital-in-latvia-8eec1828-en.ht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zp.gov.lv/wp-content/uploads/2021/03/29_zinojums_21022021_FINAL_c.pdf" TargetMode="External"/><Relationship Id="rId14" Type="http://schemas.openxmlformats.org/officeDocument/2006/relationships/hyperlink" Target="https://www.balticsea-region-strategy.eu/about/implement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27943</Words>
  <Characters>15929</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Krūmiņa</dc:creator>
  <cp:lastModifiedBy>Lita Trakina</cp:lastModifiedBy>
  <cp:revision>2</cp:revision>
  <dcterms:created xsi:type="dcterms:W3CDTF">2021-08-23T11:12:00Z</dcterms:created>
  <dcterms:modified xsi:type="dcterms:W3CDTF">2021-08-23T11:12:00Z</dcterms:modified>
</cp:coreProperties>
</file>