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121D" w14:textId="77777777" w:rsidR="002A5408" w:rsidRDefault="00BC3860" w:rsidP="002A5408">
      <w:pPr>
        <w:ind w:right="140"/>
        <w:jc w:val="center"/>
        <w:rPr>
          <w:b/>
          <w:bCs/>
        </w:rPr>
      </w:pPr>
      <w:r w:rsidRPr="00103D6B">
        <w:rPr>
          <w:b/>
          <w:bCs/>
        </w:rPr>
        <w:t>Ministru kabineta noteikumu projekt</w:t>
      </w:r>
      <w:r w:rsidR="002A5408">
        <w:rPr>
          <w:b/>
          <w:bCs/>
        </w:rPr>
        <w:t>a</w:t>
      </w:r>
      <w:r w:rsidRPr="00103D6B">
        <w:rPr>
          <w:b/>
          <w:bCs/>
        </w:rPr>
        <w:t xml:space="preserve">  </w:t>
      </w:r>
    </w:p>
    <w:p w14:paraId="3BC05904" w14:textId="27B7B212" w:rsidR="00BC3860" w:rsidRPr="002A5408" w:rsidRDefault="00BC3860" w:rsidP="002A5408">
      <w:pPr>
        <w:ind w:right="140"/>
        <w:jc w:val="center"/>
        <w:rPr>
          <w:b/>
          <w:bCs/>
        </w:rPr>
      </w:pPr>
      <w:r w:rsidRPr="0074687F">
        <w:rPr>
          <w:b/>
          <w:bCs/>
          <w:sz w:val="22"/>
          <w:szCs w:val="22"/>
        </w:rPr>
        <w:t>“</w:t>
      </w:r>
      <w:r w:rsidR="0074687F" w:rsidRPr="0074687F">
        <w:rPr>
          <w:b/>
          <w:bCs/>
        </w:rPr>
        <w:t>Noteikumi par atkritumu apsaimniekošanas reģioniem</w:t>
      </w:r>
      <w:r w:rsidRPr="0074687F">
        <w:rPr>
          <w:b/>
          <w:bCs/>
          <w:sz w:val="22"/>
          <w:szCs w:val="22"/>
        </w:rPr>
        <w:t xml:space="preserve">” </w:t>
      </w:r>
      <w:r w:rsidRPr="00103D6B">
        <w:rPr>
          <w:b/>
          <w:bCs/>
        </w:rPr>
        <w:t>sākotnējās ietekmes novērtējuma ziņojums (anotācija)</w:t>
      </w:r>
    </w:p>
    <w:p w14:paraId="5D23B7BB" w14:textId="77777777" w:rsidR="00BC3860" w:rsidRPr="00103D6B" w:rsidRDefault="00BC3860" w:rsidP="002A5408">
      <w:pPr>
        <w:ind w:right="1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5"/>
      </w:tblGrid>
      <w:tr w:rsidR="00BC3860" w:rsidRPr="00103D6B" w14:paraId="15F7C4ED" w14:textId="77777777" w:rsidTr="00410565">
        <w:tc>
          <w:tcPr>
            <w:tcW w:w="9061" w:type="dxa"/>
            <w:gridSpan w:val="2"/>
            <w:shd w:val="clear" w:color="auto" w:fill="auto"/>
          </w:tcPr>
          <w:p w14:paraId="3E4C7380" w14:textId="77777777" w:rsidR="00BC3860" w:rsidRPr="00103D6B" w:rsidRDefault="00BC3860" w:rsidP="00410565">
            <w:pPr>
              <w:ind w:right="140"/>
              <w:jc w:val="center"/>
              <w:rPr>
                <w:b/>
              </w:rPr>
            </w:pPr>
            <w:r w:rsidRPr="00103D6B">
              <w:rPr>
                <w:b/>
              </w:rPr>
              <w:t>Tiesību akta anotācijas kopsavilkums</w:t>
            </w:r>
          </w:p>
        </w:tc>
      </w:tr>
      <w:tr w:rsidR="00BC3860" w:rsidRPr="00103D6B" w14:paraId="691BA56F" w14:textId="77777777" w:rsidTr="00410565">
        <w:tc>
          <w:tcPr>
            <w:tcW w:w="3256" w:type="dxa"/>
            <w:shd w:val="clear" w:color="auto" w:fill="auto"/>
          </w:tcPr>
          <w:p w14:paraId="5D4A8041" w14:textId="77777777" w:rsidR="00BC3860" w:rsidRPr="00103D6B" w:rsidRDefault="00BC3860" w:rsidP="00410565">
            <w:pPr>
              <w:ind w:right="140"/>
            </w:pPr>
            <w:r w:rsidRPr="00103D6B">
              <w:t>Mērķis, risinājums un projekta spēkā stāšanās laiks (500 zīmes bez atstarpēm)</w:t>
            </w:r>
          </w:p>
        </w:tc>
        <w:tc>
          <w:tcPr>
            <w:tcW w:w="5805" w:type="dxa"/>
            <w:shd w:val="clear" w:color="auto" w:fill="auto"/>
            <w:vAlign w:val="center"/>
          </w:tcPr>
          <w:p w14:paraId="70E5C686" w14:textId="77777777" w:rsidR="00BC3860" w:rsidRDefault="00B764D8" w:rsidP="00410565">
            <w:pPr>
              <w:ind w:right="140"/>
              <w:jc w:val="both"/>
            </w:pPr>
            <w:r>
              <w:t>Noteikumu projektā ir noteikts pašvaldību iedalījums atkritumu apsaimniekošanas reģionos atbilstoši Ministru kabineta 2021.gada 22.janvāra rīkojuma Nr.45 “Par Atkritumu apsaimniekošanas valsts plānu 2021.-2028.gadam”</w:t>
            </w:r>
            <w:r>
              <w:rPr>
                <w:rStyle w:val="FootnoteReference"/>
              </w:rPr>
              <w:footnoteReference w:id="1"/>
            </w:r>
            <w:r>
              <w:t xml:space="preserve"> 3.punktam. </w:t>
            </w:r>
          </w:p>
          <w:p w14:paraId="0C45B41E" w14:textId="25750CDB" w:rsidR="00DF0907" w:rsidRPr="00103D6B" w:rsidRDefault="00DF0907" w:rsidP="00410565">
            <w:pPr>
              <w:ind w:right="140"/>
              <w:jc w:val="both"/>
            </w:pPr>
            <w:r>
              <w:t>Noteikumu projekts stāsies spēkā 202</w:t>
            </w:r>
            <w:r w:rsidR="000C5A4B">
              <w:t>1</w:t>
            </w:r>
            <w:r>
              <w:t>.gada 1.</w:t>
            </w:r>
            <w:r w:rsidR="000C5A4B">
              <w:t>jūlijā</w:t>
            </w:r>
            <w:r>
              <w:t xml:space="preserve">. </w:t>
            </w:r>
          </w:p>
        </w:tc>
      </w:tr>
    </w:tbl>
    <w:p w14:paraId="64A6788D" w14:textId="77777777" w:rsidR="00BC3860" w:rsidRPr="00103D6B" w:rsidRDefault="00BC3860" w:rsidP="00BC3860">
      <w:pPr>
        <w:ind w:right="140"/>
        <w:rPr>
          <w:b/>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4"/>
        <w:gridCol w:w="1880"/>
        <w:gridCol w:w="6662"/>
        <w:gridCol w:w="15"/>
      </w:tblGrid>
      <w:tr w:rsidR="00BC3860" w:rsidRPr="001C7472" w14:paraId="793D243A" w14:textId="77777777" w:rsidTr="00A211A9">
        <w:trPr>
          <w:gridAfter w:val="1"/>
          <w:wAfter w:w="8" w:type="pct"/>
        </w:trPr>
        <w:tc>
          <w:tcPr>
            <w:tcW w:w="4992" w:type="pct"/>
            <w:gridSpan w:val="3"/>
          </w:tcPr>
          <w:p w14:paraId="616BA245" w14:textId="77777777" w:rsidR="00BC3860" w:rsidRPr="001C7472" w:rsidRDefault="00BC3860" w:rsidP="00410565">
            <w:pPr>
              <w:ind w:right="140"/>
              <w:jc w:val="center"/>
              <w:rPr>
                <w:b/>
              </w:rPr>
            </w:pPr>
            <w:r w:rsidRPr="001C7472">
              <w:rPr>
                <w:b/>
              </w:rPr>
              <w:t>I. Tiesību akta projekta izstrādes nepieciešamība</w:t>
            </w:r>
          </w:p>
        </w:tc>
      </w:tr>
      <w:tr w:rsidR="00BC3860" w:rsidRPr="00103D6B" w14:paraId="7BE9E8D2" w14:textId="77777777" w:rsidTr="00D72BD7">
        <w:tc>
          <w:tcPr>
            <w:tcW w:w="289" w:type="pct"/>
          </w:tcPr>
          <w:p w14:paraId="39A3CC3E" w14:textId="77777777" w:rsidR="00BC3860" w:rsidRPr="001C7472" w:rsidRDefault="00BC3860" w:rsidP="00410565">
            <w:pPr>
              <w:ind w:right="140"/>
              <w:jc w:val="center"/>
            </w:pPr>
            <w:r w:rsidRPr="001C7472">
              <w:t>1.</w:t>
            </w:r>
          </w:p>
        </w:tc>
        <w:tc>
          <w:tcPr>
            <w:tcW w:w="1035" w:type="pct"/>
          </w:tcPr>
          <w:p w14:paraId="5BDF3413" w14:textId="77777777" w:rsidR="00BC3860" w:rsidRPr="001C7472" w:rsidRDefault="00BC3860" w:rsidP="00410565">
            <w:pPr>
              <w:ind w:right="140"/>
            </w:pPr>
            <w:r w:rsidRPr="001C7472">
              <w:t>Pamatojums</w:t>
            </w:r>
          </w:p>
        </w:tc>
        <w:tc>
          <w:tcPr>
            <w:tcW w:w="3676" w:type="pct"/>
            <w:gridSpan w:val="2"/>
          </w:tcPr>
          <w:p w14:paraId="1CDD96AB" w14:textId="6B2C07A5" w:rsidR="00BC3860" w:rsidRPr="001C7472" w:rsidRDefault="00DF0907" w:rsidP="00DF0907">
            <w:pPr>
              <w:ind w:right="140"/>
              <w:jc w:val="both"/>
            </w:pPr>
            <w:r w:rsidRPr="001C7472">
              <w:t xml:space="preserve">Atkritumu apsaimniekošanas likuma </w:t>
            </w:r>
            <w:r w:rsidR="001C7472" w:rsidRPr="001C7472">
              <w:t>10.panta pirmā daļa</w:t>
            </w:r>
          </w:p>
        </w:tc>
      </w:tr>
      <w:tr w:rsidR="00BC3860" w:rsidRPr="00103D6B" w14:paraId="0A236678" w14:textId="77777777" w:rsidTr="00D72BD7">
        <w:trPr>
          <w:trHeight w:val="699"/>
        </w:trPr>
        <w:tc>
          <w:tcPr>
            <w:tcW w:w="289" w:type="pct"/>
          </w:tcPr>
          <w:p w14:paraId="5795C429" w14:textId="77777777" w:rsidR="00BC3860" w:rsidRPr="00103D6B" w:rsidRDefault="00BC3860" w:rsidP="00410565">
            <w:pPr>
              <w:ind w:right="140"/>
              <w:jc w:val="center"/>
            </w:pPr>
            <w:r w:rsidRPr="00103D6B">
              <w:t>2.</w:t>
            </w:r>
          </w:p>
        </w:tc>
        <w:tc>
          <w:tcPr>
            <w:tcW w:w="1035" w:type="pct"/>
          </w:tcPr>
          <w:p w14:paraId="27934D1C" w14:textId="77777777" w:rsidR="00BC3860" w:rsidRPr="00103D6B" w:rsidRDefault="00BC3860" w:rsidP="00410565">
            <w:pPr>
              <w:ind w:right="140"/>
            </w:pPr>
            <w:r w:rsidRPr="00103D6B">
              <w:t>Pašreizējā situācija un problēmas, kuru risināšanai tiesību aktu projekts izstrādāts, tiesiskā regulējuma mērķis un būtība</w:t>
            </w:r>
          </w:p>
          <w:p w14:paraId="5901FA72" w14:textId="77777777" w:rsidR="00BC3860" w:rsidRPr="00103D6B" w:rsidRDefault="00BC3860" w:rsidP="00410565">
            <w:pPr>
              <w:ind w:right="140"/>
              <w:jc w:val="right"/>
            </w:pPr>
          </w:p>
        </w:tc>
        <w:tc>
          <w:tcPr>
            <w:tcW w:w="3676" w:type="pct"/>
            <w:gridSpan w:val="2"/>
          </w:tcPr>
          <w:p w14:paraId="3BF1C7FF" w14:textId="77777777" w:rsidR="00BC3860" w:rsidRPr="00103D6B" w:rsidRDefault="00BC3860" w:rsidP="00410565">
            <w:pPr>
              <w:ind w:right="140"/>
              <w:jc w:val="both"/>
              <w:rPr>
                <w:i/>
              </w:rPr>
            </w:pPr>
            <w:r w:rsidRPr="00103D6B">
              <w:rPr>
                <w:i/>
              </w:rPr>
              <w:t xml:space="preserve">Pašreizējā situācija un problēmas, kuru risināšanai tiesību akta projekts izstrādāts. </w:t>
            </w:r>
          </w:p>
          <w:p w14:paraId="1B928012" w14:textId="77777777" w:rsidR="00BC3860" w:rsidRPr="00103D6B" w:rsidRDefault="00BC3860" w:rsidP="00410565">
            <w:pPr>
              <w:pStyle w:val="NormalWeb"/>
              <w:spacing w:before="0" w:beforeAutospacing="0" w:after="0" w:afterAutospacing="0"/>
              <w:ind w:right="140" w:firstLine="720"/>
              <w:jc w:val="both"/>
              <w:rPr>
                <w:sz w:val="24"/>
                <w:szCs w:val="24"/>
              </w:rPr>
            </w:pPr>
          </w:p>
          <w:p w14:paraId="29FCEEB1" w14:textId="06A77B74" w:rsidR="00D72BD7" w:rsidRDefault="00D72BD7" w:rsidP="00D72BD7">
            <w:pPr>
              <w:ind w:firstLine="714"/>
              <w:jc w:val="both"/>
            </w:pPr>
            <w:r>
              <w:t xml:space="preserve">Atbilstoši </w:t>
            </w:r>
            <w:bookmarkStart w:id="0" w:name="_Hlk66963352"/>
            <w:r>
              <w:t>Atkritumu apsaimniekošanas likuma 21.panta pirmajai daļai, to pašvaldību administratīvajās teritorijās, kuras atrodas attiecīgajā atkritumu apsaimniekošanas reģionā, radītos sadzīves atkritumus apglabā tikai attiecīgā atkritumu apsaimniekošanas reģiona sadzīves atkritumu poligonā (turpmāk – SAP) vai nodod tos attiecīgajās pārkraušanas stacijās. Pašvaldība slēdz līgumu ar šā poligona apsaimniekotāju par tās administratīvajā teritorijā savākto sadzīves atkritumu apglabāšanu.</w:t>
            </w:r>
            <w:r w:rsidRPr="00717678">
              <w:t xml:space="preserve"> </w:t>
            </w:r>
          </w:p>
          <w:bookmarkEnd w:id="0"/>
          <w:p w14:paraId="52E5930D" w14:textId="77777777" w:rsidR="00A12B75" w:rsidRDefault="00A12B75" w:rsidP="00A12B75">
            <w:pPr>
              <w:ind w:firstLine="714"/>
              <w:jc w:val="both"/>
            </w:pPr>
          </w:p>
          <w:p w14:paraId="34247A74" w14:textId="6DE4C781" w:rsidR="00A12B75" w:rsidRDefault="00A12B75" w:rsidP="00A12B75">
            <w:pPr>
              <w:ind w:firstLine="714"/>
              <w:jc w:val="both"/>
            </w:pPr>
            <w:r>
              <w:t>Atbilstoši Ministru kabineta 2013.gada 25.jūnija noteikumiem Nr.377 “Noteikumi par atkritumu apsaimniekošanas reģioniem”</w:t>
            </w:r>
            <w:r w:rsidR="00015372">
              <w:t>(turpmāk – MK noteikumi Nr.377)</w:t>
            </w:r>
            <w:r>
              <w:t xml:space="preserve"> </w:t>
            </w:r>
            <w:r w:rsidRPr="00717678">
              <w:t xml:space="preserve">Latvijas teritorija pašlaik ir sadalīta </w:t>
            </w:r>
            <w:r>
              <w:t xml:space="preserve">desmit atkritumu apsaimniekošanas reģionos (turpmāk – AAR).  </w:t>
            </w:r>
          </w:p>
          <w:p w14:paraId="50F906CE" w14:textId="6D53C8CE" w:rsidR="00A12B75" w:rsidRDefault="00A12B75" w:rsidP="00A12B75">
            <w:pPr>
              <w:jc w:val="both"/>
            </w:pPr>
          </w:p>
          <w:p w14:paraId="424B66F8" w14:textId="21F38516" w:rsidR="00A12B75" w:rsidRDefault="00A12B75" w:rsidP="00A12B75">
            <w:pPr>
              <w:jc w:val="both"/>
            </w:pPr>
            <w:r>
              <w:t>Atbilstoši Ministru kabineta 2021.gada 22.janvāra rīkojuma</w:t>
            </w:r>
            <w:r w:rsidR="00015372">
              <w:t xml:space="preserve"> Nr.45</w:t>
            </w:r>
            <w:r>
              <w:t xml:space="preserve"> “Par Atkritumu apsaimniekošanas valsts plānu 2021.-2028.gadam”</w:t>
            </w:r>
            <w:r w:rsidR="00015372">
              <w:t>3.punktam Ministru kabinets atbalsta Vides aizsardzības un reģionālās attīstības ministrijas</w:t>
            </w:r>
            <w:r w:rsidR="00985FC9">
              <w:t xml:space="preserve"> (turpmāk – VARAM)</w:t>
            </w:r>
            <w:r w:rsidR="00015372">
              <w:t xml:space="preserve"> ierosināto sadzīves atkritumu apsaimniekošanas reģionu reformu un pāriet no 10 atkritumu apsaimniekošanas reģioniem uz pieciem atkritumu apsaimniekošanas reģioniem.</w:t>
            </w:r>
          </w:p>
          <w:p w14:paraId="6237D147" w14:textId="77777777" w:rsidR="00A12B75" w:rsidRDefault="00A12B75" w:rsidP="00D72BD7">
            <w:pPr>
              <w:ind w:firstLine="714"/>
              <w:jc w:val="both"/>
            </w:pPr>
          </w:p>
          <w:p w14:paraId="675DB279" w14:textId="322CFDE3" w:rsidR="00D72BD7" w:rsidRPr="00717678" w:rsidRDefault="00D72BD7" w:rsidP="00D72BD7">
            <w:pPr>
              <w:ind w:firstLine="714"/>
              <w:jc w:val="both"/>
            </w:pPr>
            <w:r w:rsidRPr="00717678">
              <w:t xml:space="preserve">AAR izveides mērķis </w:t>
            </w:r>
            <w:r w:rsidR="00A12B75">
              <w:t xml:space="preserve">ir </w:t>
            </w:r>
            <w:r w:rsidRPr="00717678">
              <w:t xml:space="preserve">nodrošināt ekonomiski pamatotu atkritumu apsaimniekošanu, kas ietver samērīgu atkritumu apsaimniekošanas infrastruktūras un reģionā radīto atkritumu apsaimniekošanas balansu, saprātīgus atkritumu pārvadājumu attālumus no atkritumu rašanās vietām līdz </w:t>
            </w:r>
            <w:r w:rsidR="00015372">
              <w:t>sadzīves atkritumu poligonam</w:t>
            </w:r>
            <w:r>
              <w:t>,</w:t>
            </w:r>
            <w:r w:rsidRPr="00717678">
              <w:t xml:space="preserve"> u.c. Pašrei</w:t>
            </w:r>
            <w:r w:rsidR="00015372">
              <w:t>z atbilstoši MK noteikumiem Nr.377</w:t>
            </w:r>
            <w:r>
              <w:t xml:space="preserve"> Latvijas pašvaldības ir iedalītas šādos</w:t>
            </w:r>
            <w:r w:rsidRPr="00717678">
              <w:t xml:space="preserve"> AAR (1. att.):</w:t>
            </w:r>
          </w:p>
          <w:p w14:paraId="1094B250" w14:textId="77777777" w:rsidR="00D72BD7" w:rsidRPr="00717678" w:rsidRDefault="00D72BD7" w:rsidP="00D72BD7">
            <w:pPr>
              <w:pStyle w:val="ListParagraph"/>
              <w:numPr>
                <w:ilvl w:val="0"/>
                <w:numId w:val="3"/>
              </w:numPr>
              <w:jc w:val="both"/>
            </w:pPr>
            <w:proofErr w:type="spellStart"/>
            <w:r w:rsidRPr="00717678">
              <w:t>Austrumlatgales</w:t>
            </w:r>
            <w:proofErr w:type="spellEnd"/>
            <w:r w:rsidRPr="00717678">
              <w:t xml:space="preserve"> AAR;</w:t>
            </w:r>
          </w:p>
          <w:p w14:paraId="33895F2F" w14:textId="77777777" w:rsidR="00D72BD7" w:rsidRPr="00717678" w:rsidRDefault="00D72BD7" w:rsidP="00D72BD7">
            <w:pPr>
              <w:pStyle w:val="ListParagraph"/>
              <w:numPr>
                <w:ilvl w:val="0"/>
                <w:numId w:val="3"/>
              </w:numPr>
              <w:jc w:val="both"/>
            </w:pPr>
            <w:proofErr w:type="spellStart"/>
            <w:r w:rsidRPr="00717678">
              <w:t>Dienvidlatgales</w:t>
            </w:r>
            <w:proofErr w:type="spellEnd"/>
            <w:r w:rsidRPr="00717678">
              <w:t xml:space="preserve"> AAR;</w:t>
            </w:r>
          </w:p>
          <w:p w14:paraId="381569CA" w14:textId="77777777" w:rsidR="00D72BD7" w:rsidRPr="00717678" w:rsidRDefault="00D72BD7" w:rsidP="00D72BD7">
            <w:pPr>
              <w:pStyle w:val="ListParagraph"/>
              <w:numPr>
                <w:ilvl w:val="0"/>
                <w:numId w:val="3"/>
              </w:numPr>
              <w:jc w:val="both"/>
            </w:pPr>
            <w:r w:rsidRPr="00717678">
              <w:lastRenderedPageBreak/>
              <w:t>Liepājas AAR;</w:t>
            </w:r>
          </w:p>
          <w:p w14:paraId="28882A73" w14:textId="77777777" w:rsidR="00D72BD7" w:rsidRPr="00717678" w:rsidRDefault="00D72BD7" w:rsidP="00D72BD7">
            <w:pPr>
              <w:pStyle w:val="ListParagraph"/>
              <w:numPr>
                <w:ilvl w:val="0"/>
                <w:numId w:val="3"/>
              </w:numPr>
              <w:jc w:val="both"/>
            </w:pPr>
            <w:r w:rsidRPr="00717678">
              <w:t>Malienas AAR;</w:t>
            </w:r>
          </w:p>
          <w:p w14:paraId="0AD13CDF" w14:textId="77777777" w:rsidR="00D72BD7" w:rsidRPr="00717678" w:rsidRDefault="00D72BD7" w:rsidP="00D72BD7">
            <w:pPr>
              <w:pStyle w:val="ListParagraph"/>
              <w:numPr>
                <w:ilvl w:val="0"/>
                <w:numId w:val="3"/>
              </w:numPr>
              <w:jc w:val="both"/>
            </w:pPr>
            <w:r w:rsidRPr="00717678">
              <w:t>Piejūras AAR;</w:t>
            </w:r>
          </w:p>
          <w:p w14:paraId="1818E83E" w14:textId="77777777" w:rsidR="00D72BD7" w:rsidRPr="00717678" w:rsidRDefault="00D72BD7" w:rsidP="00D72BD7">
            <w:pPr>
              <w:pStyle w:val="ListParagraph"/>
              <w:numPr>
                <w:ilvl w:val="0"/>
                <w:numId w:val="3"/>
              </w:numPr>
              <w:jc w:val="both"/>
            </w:pPr>
            <w:r w:rsidRPr="00717678">
              <w:t>Pierīgas AAR;</w:t>
            </w:r>
          </w:p>
          <w:p w14:paraId="0E9252F7" w14:textId="77777777" w:rsidR="00D72BD7" w:rsidRPr="00717678" w:rsidRDefault="00D72BD7" w:rsidP="00D72BD7">
            <w:pPr>
              <w:pStyle w:val="ListParagraph"/>
              <w:numPr>
                <w:ilvl w:val="0"/>
                <w:numId w:val="3"/>
              </w:numPr>
              <w:jc w:val="both"/>
            </w:pPr>
            <w:r w:rsidRPr="00717678">
              <w:t>Ventspils AAR;</w:t>
            </w:r>
          </w:p>
          <w:p w14:paraId="1E85894D" w14:textId="77777777" w:rsidR="00D72BD7" w:rsidRPr="00717678" w:rsidRDefault="00D72BD7" w:rsidP="00D72BD7">
            <w:pPr>
              <w:pStyle w:val="ListParagraph"/>
              <w:numPr>
                <w:ilvl w:val="0"/>
                <w:numId w:val="3"/>
              </w:numPr>
              <w:jc w:val="both"/>
            </w:pPr>
            <w:proofErr w:type="spellStart"/>
            <w:r w:rsidRPr="00717678">
              <w:t>Vidusdaugavas</w:t>
            </w:r>
            <w:proofErr w:type="spellEnd"/>
            <w:r w:rsidRPr="00717678">
              <w:t xml:space="preserve"> AAR;</w:t>
            </w:r>
          </w:p>
          <w:p w14:paraId="03F111F6" w14:textId="77777777" w:rsidR="00D72BD7" w:rsidRPr="00717678" w:rsidRDefault="00D72BD7" w:rsidP="00D72BD7">
            <w:pPr>
              <w:pStyle w:val="ListParagraph"/>
              <w:numPr>
                <w:ilvl w:val="0"/>
                <w:numId w:val="3"/>
              </w:numPr>
              <w:jc w:val="both"/>
            </w:pPr>
            <w:r w:rsidRPr="00717678">
              <w:t>Zemgales AAR;</w:t>
            </w:r>
          </w:p>
          <w:p w14:paraId="524ACCAE" w14:textId="77777777" w:rsidR="00D72BD7" w:rsidRPr="00717678" w:rsidRDefault="00D72BD7" w:rsidP="00D72BD7">
            <w:pPr>
              <w:pStyle w:val="ListParagraph"/>
              <w:numPr>
                <w:ilvl w:val="0"/>
                <w:numId w:val="3"/>
              </w:numPr>
              <w:jc w:val="both"/>
            </w:pPr>
            <w:r w:rsidRPr="00717678">
              <w:t>Ziemeļvidzemes ARR.</w:t>
            </w:r>
          </w:p>
          <w:p w14:paraId="1A9AFF89" w14:textId="77777777" w:rsidR="00D72BD7" w:rsidRPr="00717678" w:rsidRDefault="00D72BD7" w:rsidP="00D72BD7">
            <w:pPr>
              <w:ind w:left="360"/>
            </w:pPr>
          </w:p>
          <w:p w14:paraId="4749F9D2" w14:textId="77777777" w:rsidR="00D72BD7" w:rsidRDefault="00D72BD7" w:rsidP="00D72BD7">
            <w:pPr>
              <w:rPr>
                <w:noProof/>
              </w:rPr>
            </w:pPr>
            <w:r w:rsidRPr="006C042E">
              <w:rPr>
                <w:noProof/>
              </w:rPr>
              <w:drawing>
                <wp:inline distT="0" distB="0" distL="0" distR="0" wp14:anchorId="4903E451" wp14:editId="355AE50C">
                  <wp:extent cx="2577907" cy="1664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6173" cy="1676695"/>
                          </a:xfrm>
                          <a:prstGeom prst="rect">
                            <a:avLst/>
                          </a:prstGeom>
                        </pic:spPr>
                      </pic:pic>
                    </a:graphicData>
                  </a:graphic>
                </wp:inline>
              </w:drawing>
            </w:r>
          </w:p>
          <w:p w14:paraId="7C01B8F7" w14:textId="77777777" w:rsidR="00D72BD7" w:rsidRPr="0027634A" w:rsidRDefault="00D72BD7" w:rsidP="00D72BD7"/>
          <w:p w14:paraId="6921C71A" w14:textId="77777777" w:rsidR="00D72BD7" w:rsidRPr="0027634A" w:rsidRDefault="00D72BD7" w:rsidP="00D72BD7"/>
          <w:p w14:paraId="4FE01586" w14:textId="77777777" w:rsidR="00D72BD7" w:rsidRPr="0027634A" w:rsidRDefault="00D72BD7" w:rsidP="00D72BD7">
            <w:r>
              <w:t>1.attēls. Pašreizējais pašvaldību iedalījums AAR</w:t>
            </w:r>
            <w:r>
              <w:rPr>
                <w:rStyle w:val="FootnoteReference"/>
              </w:rPr>
              <w:footnoteReference w:id="2"/>
            </w:r>
          </w:p>
          <w:p w14:paraId="62A690CA" w14:textId="77777777" w:rsidR="00D72BD7" w:rsidRDefault="00D72BD7" w:rsidP="00D72BD7">
            <w:pPr>
              <w:rPr>
                <w:noProof/>
              </w:rPr>
            </w:pPr>
          </w:p>
          <w:p w14:paraId="2B0D90CB" w14:textId="77777777" w:rsidR="00D72BD7" w:rsidRDefault="00D72BD7" w:rsidP="00D72BD7">
            <w:pPr>
              <w:ind w:firstLine="720"/>
              <w:jc w:val="both"/>
            </w:pPr>
            <w:r w:rsidRPr="00717678">
              <w:t>AAR apsaimniekoto atkritumu apjomi būtiski atšķiras (no nepilniem 10 tūkst. t Malienas AAR, līdz vairāk kā 450 tūkst. t Pierīgas AAR). Līdz ar to ir nepieciešams izvērtē</w:t>
            </w:r>
            <w:r>
              <w:t>t un pārskatīt pašvaldību iedalījumu</w:t>
            </w:r>
            <w:r w:rsidRPr="00717678">
              <w:t xml:space="preserve"> AAR</w:t>
            </w:r>
            <w:r>
              <w:t>, ņemot vērā Atkritumu apsaimniekošanas valsts plānā 2021.-2028.gadam noteiktos mērķus būtiski mazināt sadzīves atkritumu apglabāšanu SAP, samazinot minēto apjomu līdz 10% 2035.gadā (pašreiz Latvijā tiek apglabāti ap 60% no radītajiem sadzīves atkritumiem), kā arī palielināt sadzīves atkritumu pārstrādi līdz 65% 2035.gadā (pašreiz Latvijā tiek pārstrādāti 44% sadzīves atkritumu).</w:t>
            </w:r>
          </w:p>
          <w:p w14:paraId="223E44A6" w14:textId="52611D24" w:rsidR="00D72BD7" w:rsidRPr="00913F69" w:rsidRDefault="00D72BD7" w:rsidP="00D72BD7">
            <w:pPr>
              <w:ind w:firstLine="720"/>
              <w:jc w:val="both"/>
            </w:pPr>
            <w:r w:rsidRPr="00717678">
              <w:t>SIA “</w:t>
            </w:r>
            <w:proofErr w:type="spellStart"/>
            <w:r w:rsidRPr="00717678">
              <w:t>Geo</w:t>
            </w:r>
            <w:proofErr w:type="spellEnd"/>
            <w:r w:rsidRPr="00717678">
              <w:t xml:space="preserve"> </w:t>
            </w:r>
            <w:proofErr w:type="spellStart"/>
            <w:r w:rsidRPr="00717678">
              <w:t>Consultants</w:t>
            </w:r>
            <w:proofErr w:type="spellEnd"/>
            <w:r w:rsidRPr="00717678">
              <w:t xml:space="preserve">”  pētījuma “Investīciju vajadzību izvērtējums atkritumu apsaimniekošanas valsts plāna 2021. - 2028. gadam izstrādei” </w:t>
            </w:r>
            <w:r w:rsidRPr="00717678">
              <w:rPr>
                <w:rStyle w:val="FootnoteReference"/>
              </w:rPr>
              <w:footnoteReference w:id="3"/>
            </w:r>
            <w:r w:rsidRPr="00717678">
              <w:t xml:space="preserve"> ietvaros apkopoti dati par </w:t>
            </w:r>
            <w:r>
              <w:t xml:space="preserve">administratīvi teritoriālās reformas (turpmāk – </w:t>
            </w:r>
            <w:r w:rsidRPr="00717678">
              <w:t>ATR</w:t>
            </w:r>
            <w:r>
              <w:t>)</w:t>
            </w:r>
            <w:r w:rsidRPr="00717678">
              <w:t xml:space="preserve"> rezultātā izveidotajās pašvaldībās radīto atkritumu apjomiem, kas potenciāli nogādājami poligonos, balstoties uz 2019. gada faktiskajiem datiem par atkritumu plūsmām uz poligoniem, iedzīvotāju skaitu pašvaldībās un aprēķināto radīto atkritumu daudzumu uz vienu iedzīvotāju.</w:t>
            </w:r>
            <w:r>
              <w:t xml:space="preserve"> AAR</w:t>
            </w:r>
            <w:r w:rsidRPr="00717678">
              <w:t xml:space="preserve"> tehniski ekonomiskie rādītāji ATR rezultāta ir raksturoti </w:t>
            </w:r>
            <w:r>
              <w:t>1</w:t>
            </w:r>
            <w:r w:rsidRPr="00717678">
              <w:t>. tabulā</w:t>
            </w:r>
            <w:r w:rsidR="00A211A9">
              <w:t>.</w:t>
            </w:r>
          </w:p>
          <w:p w14:paraId="49DC4A8D" w14:textId="77777777" w:rsidR="00D72BD7" w:rsidRPr="00717678" w:rsidRDefault="00D72BD7" w:rsidP="00D72BD7">
            <w:pPr>
              <w:pStyle w:val="Tabulasnosaukums1"/>
              <w:jc w:val="right"/>
              <w:rPr>
                <w:b w:val="0"/>
                <w:bCs/>
                <w:color w:val="auto"/>
              </w:rPr>
            </w:pPr>
            <w:r>
              <w:rPr>
                <w:b w:val="0"/>
                <w:bCs/>
                <w:color w:val="auto"/>
              </w:rPr>
              <w:t>1</w:t>
            </w:r>
            <w:r w:rsidRPr="00717678">
              <w:rPr>
                <w:b w:val="0"/>
                <w:bCs/>
                <w:color w:val="auto"/>
              </w:rPr>
              <w:t>.tabula</w:t>
            </w:r>
          </w:p>
          <w:p w14:paraId="2324F08C" w14:textId="77777777" w:rsidR="00D72BD7" w:rsidRPr="00717678" w:rsidRDefault="00D72BD7" w:rsidP="00D72BD7">
            <w:pPr>
              <w:pStyle w:val="Tabulasnosaukums1"/>
              <w:jc w:val="right"/>
              <w:rPr>
                <w:b w:val="0"/>
                <w:bCs/>
                <w:color w:val="auto"/>
              </w:rPr>
            </w:pPr>
          </w:p>
          <w:p w14:paraId="5B2CDEDC" w14:textId="77777777" w:rsidR="00D72BD7" w:rsidRPr="00717678" w:rsidRDefault="00D72BD7" w:rsidP="00D72BD7">
            <w:pPr>
              <w:pStyle w:val="Tabulasnosaukums1"/>
              <w:rPr>
                <w:color w:val="auto"/>
              </w:rPr>
            </w:pPr>
            <w:r w:rsidRPr="00717678">
              <w:rPr>
                <w:color w:val="auto"/>
              </w:rPr>
              <w:t xml:space="preserve">AAR tehniski ekonomiskie rādītāji, prognoze 2020. gadā </w:t>
            </w:r>
            <w:r w:rsidRPr="00717678">
              <w:rPr>
                <w:b w:val="0"/>
                <w:color w:val="auto"/>
                <w:vertAlign w:val="superscript"/>
              </w:rPr>
              <w:footnoteReference w:id="4"/>
            </w:r>
          </w:p>
          <w:p w14:paraId="2A749B64" w14:textId="24FC9324" w:rsidR="00D72BD7" w:rsidRPr="00717678" w:rsidRDefault="006B3A63" w:rsidP="00D72BD7">
            <w:pPr>
              <w:ind w:firstLine="720"/>
            </w:pPr>
            <w:r w:rsidRPr="006B3A63">
              <w:rPr>
                <w:noProof/>
              </w:rPr>
              <w:lastRenderedPageBreak/>
              <w:drawing>
                <wp:inline distT="0" distB="0" distL="0" distR="0" wp14:anchorId="08A586C0" wp14:editId="5301DB38">
                  <wp:extent cx="3803006" cy="192962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4312" cy="1950587"/>
                          </a:xfrm>
                          <a:prstGeom prst="rect">
                            <a:avLst/>
                          </a:prstGeom>
                        </pic:spPr>
                      </pic:pic>
                    </a:graphicData>
                  </a:graphic>
                </wp:inline>
              </w:drawing>
            </w:r>
          </w:p>
          <w:p w14:paraId="567A16EE" w14:textId="77777777" w:rsidR="00D72BD7" w:rsidRPr="00717678" w:rsidRDefault="00D72BD7" w:rsidP="006B3A63">
            <w:pPr>
              <w:jc w:val="both"/>
            </w:pPr>
            <w:r w:rsidRPr="00717678">
              <w:t xml:space="preserve">Galvenie izmantotie kritēriji AAR robežu un tajos ietilpstošo pašvaldību saraksta pārskatīšanai ir: </w:t>
            </w:r>
          </w:p>
          <w:p w14:paraId="24CE8CDE" w14:textId="77777777" w:rsidR="00D72BD7" w:rsidRPr="00717678" w:rsidRDefault="00D72BD7" w:rsidP="006B3A63">
            <w:pPr>
              <w:pStyle w:val="ListParagraph"/>
              <w:numPr>
                <w:ilvl w:val="0"/>
                <w:numId w:val="4"/>
              </w:numPr>
              <w:ind w:left="993"/>
              <w:jc w:val="both"/>
            </w:pPr>
            <w:r w:rsidRPr="00717678">
              <w:t xml:space="preserve">atkritumu rašanās “smaguma centri” attiecībā pret to apsaimniekošanai nepieciešamās infrastruktūras novietojumu, </w:t>
            </w:r>
          </w:p>
          <w:p w14:paraId="22FEE369" w14:textId="77777777" w:rsidR="00D72BD7" w:rsidRPr="00717678" w:rsidRDefault="00D72BD7" w:rsidP="006B3A63">
            <w:pPr>
              <w:pStyle w:val="ListParagraph"/>
              <w:numPr>
                <w:ilvl w:val="0"/>
                <w:numId w:val="4"/>
              </w:numPr>
              <w:ind w:left="993"/>
              <w:jc w:val="both"/>
            </w:pPr>
            <w:r w:rsidRPr="00717678">
              <w:t>esošie atkritumu plūsmu pārvadājumu virzieni,</w:t>
            </w:r>
          </w:p>
          <w:p w14:paraId="276706EB" w14:textId="77777777" w:rsidR="00D72BD7" w:rsidRPr="00717678" w:rsidRDefault="00D72BD7" w:rsidP="006B3A63">
            <w:pPr>
              <w:pStyle w:val="ListParagraph"/>
              <w:numPr>
                <w:ilvl w:val="0"/>
                <w:numId w:val="4"/>
              </w:numPr>
              <w:ind w:left="993"/>
              <w:jc w:val="both"/>
            </w:pPr>
            <w:r w:rsidRPr="00717678">
              <w:t>infrastruktūras kapacitāte, un poligonu optimizācijas pasākumi,</w:t>
            </w:r>
          </w:p>
          <w:p w14:paraId="36811BB2" w14:textId="77777777" w:rsidR="00D72BD7" w:rsidRPr="00717678" w:rsidRDefault="00D72BD7" w:rsidP="006B3A63">
            <w:pPr>
              <w:pStyle w:val="ListParagraph"/>
              <w:numPr>
                <w:ilvl w:val="0"/>
                <w:numId w:val="4"/>
              </w:numPr>
              <w:ind w:left="993"/>
              <w:jc w:val="both"/>
            </w:pPr>
            <w:r w:rsidRPr="00717678">
              <w:t xml:space="preserve">finanšu ekonomiskie kritēriji, t.sk. esošo saistību segšanas iespējas, jaunu infrastruktūras objektu finansēšanas iespējas, </w:t>
            </w:r>
          </w:p>
          <w:p w14:paraId="12104998" w14:textId="77777777" w:rsidR="00D72BD7" w:rsidRPr="00717678" w:rsidRDefault="00D72BD7" w:rsidP="006B3A63">
            <w:pPr>
              <w:pStyle w:val="ListParagraph"/>
              <w:numPr>
                <w:ilvl w:val="0"/>
                <w:numId w:val="4"/>
              </w:numPr>
              <w:ind w:left="993"/>
              <w:jc w:val="both"/>
            </w:pPr>
            <w:r w:rsidRPr="00717678">
              <w:t>piedāvāto izmaiņu ietekme uz atkritumu radītāju maksātspēju.</w:t>
            </w:r>
          </w:p>
          <w:p w14:paraId="15E3FC1A" w14:textId="77777777" w:rsidR="00D72BD7" w:rsidRPr="00717678" w:rsidRDefault="00D72BD7" w:rsidP="006B3A63">
            <w:pPr>
              <w:jc w:val="both"/>
            </w:pPr>
            <w:r w:rsidRPr="00717678">
              <w:t xml:space="preserve">Poligonos apsaimniekojamo atkritumu apjoms </w:t>
            </w:r>
            <w:r>
              <w:t>laika posmā no 2021.gada līdz 2035.gadam</w:t>
            </w:r>
            <w:r w:rsidRPr="00717678">
              <w:t xml:space="preserve"> tiek lēsts no 669 tūkst.t 2020. gadā, līdz 826 tūkst. t 2035. gadā, kopā 16 gadu periodā 12 milj. t. Saskaņā ar aprēķinu rezultātiem dažādās pašvaldībās ir vērojamas atšķirīgas tendences apsaimniekojamo atkritumu apjomu pieauguma – samazinājuma ziņā, ko nosaka iedzīvotāju skaita izmaiņas. Prognozēts, ka faktiskais poligonos nogādāto atkritumu apjoms būs mazāks, ko ietekmēs pārstrādei derīgu materiālu dalītās vākšanas apjomu pieaugums, tāpat samazināsies poligonos nogādāto nešķiroto sadzīves atkritumu plūsma BNA dalītās vākšanas sistēmas attīstības rezultātā. </w:t>
            </w:r>
          </w:p>
          <w:p w14:paraId="664B278B" w14:textId="77777777" w:rsidR="00D72BD7" w:rsidRPr="00717678" w:rsidRDefault="00D72BD7" w:rsidP="006B3A63">
            <w:pPr>
              <w:jc w:val="both"/>
              <w:rPr>
                <w:sz w:val="20"/>
                <w:szCs w:val="20"/>
              </w:rPr>
            </w:pPr>
          </w:p>
          <w:p w14:paraId="6C38DEE1" w14:textId="77777777" w:rsidR="00D72BD7" w:rsidRDefault="00D72BD7" w:rsidP="006B3A63">
            <w:pPr>
              <w:tabs>
                <w:tab w:val="left" w:pos="2160"/>
              </w:tabs>
              <w:jc w:val="both"/>
            </w:pPr>
            <w:r w:rsidRPr="00717678">
              <w:t>Vērtējot iespējamās radīto atkritumu izmaiņas un attiecīgi pieprasījumu pēc atkritumu apsaimniekošanas pakalpojumiem un noslodzi uz infrastruktūru, secināts, ka 3 AAR radītais atkritumu apjoms pārskata periodā samazinās, savukārt pārējos AAR palielinās. Īpaši būtisks pieaugums prognozējams Pierīgas AAR, kas skaidrojams ar demogrāfiskajām tendencēm.</w:t>
            </w:r>
          </w:p>
          <w:p w14:paraId="5CCB4058" w14:textId="77777777" w:rsidR="00D72BD7" w:rsidRPr="00717678" w:rsidRDefault="00D72BD7" w:rsidP="006B3A63">
            <w:pPr>
              <w:jc w:val="both"/>
            </w:pPr>
            <w:r w:rsidRPr="00717678">
              <w:t xml:space="preserve">Izstrādājot optimizācijas priekšlikumu 5 AAR robežās, sākotnēji tiek piedāvāta sekojošu AAR izveide </w:t>
            </w:r>
            <w:r>
              <w:t>atbilstoši 2.tabulai:</w:t>
            </w:r>
          </w:p>
          <w:p w14:paraId="7C704B4E" w14:textId="77777777" w:rsidR="00D72BD7" w:rsidRPr="00717678" w:rsidRDefault="00D72BD7" w:rsidP="00D72BD7">
            <w:pPr>
              <w:jc w:val="right"/>
            </w:pPr>
            <w:r>
              <w:t>2.tabula</w:t>
            </w:r>
          </w:p>
          <w:p w14:paraId="7B05D948" w14:textId="77777777" w:rsidR="00D72BD7" w:rsidRPr="00717678" w:rsidRDefault="00D72BD7" w:rsidP="00D72BD7">
            <w:pPr>
              <w:jc w:val="center"/>
              <w:rPr>
                <w:b/>
                <w:bCs/>
              </w:rPr>
            </w:pPr>
            <w:r w:rsidRPr="00717678">
              <w:rPr>
                <w:b/>
                <w:bCs/>
              </w:rPr>
              <w:t xml:space="preserve">Pašvaldību piekritība </w:t>
            </w:r>
            <w:r>
              <w:rPr>
                <w:b/>
                <w:bCs/>
              </w:rPr>
              <w:t>pieciem AAR</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139"/>
              <w:gridCol w:w="3936"/>
            </w:tblGrid>
            <w:tr w:rsidR="00D72BD7" w:rsidRPr="00625C07" w14:paraId="5E129211" w14:textId="77777777" w:rsidTr="00A211A9">
              <w:trPr>
                <w:trHeight w:val="225"/>
              </w:trPr>
              <w:tc>
                <w:tcPr>
                  <w:tcW w:w="1168" w:type="pct"/>
                  <w:shd w:val="clear" w:color="auto" w:fill="E2EFD9"/>
                  <w:noWrap/>
                  <w:tcMar>
                    <w:top w:w="14" w:type="dxa"/>
                    <w:left w:w="14" w:type="dxa"/>
                    <w:bottom w:w="14" w:type="dxa"/>
                    <w:right w:w="14" w:type="dxa"/>
                  </w:tcMar>
                  <w:vAlign w:val="center"/>
                  <w:hideMark/>
                </w:tcPr>
                <w:p w14:paraId="2A6D995E" w14:textId="77777777" w:rsidR="00D72BD7" w:rsidRPr="006B3A63" w:rsidRDefault="00D72BD7" w:rsidP="00D72BD7">
                  <w:pPr>
                    <w:rPr>
                      <w:b/>
                      <w:bCs/>
                      <w:sz w:val="22"/>
                      <w:szCs w:val="22"/>
                    </w:rPr>
                  </w:pPr>
                  <w:r w:rsidRPr="006B3A63">
                    <w:rPr>
                      <w:b/>
                      <w:bCs/>
                      <w:sz w:val="22"/>
                      <w:szCs w:val="22"/>
                    </w:rPr>
                    <w:t>AAR</w:t>
                  </w:r>
                </w:p>
              </w:tc>
              <w:tc>
                <w:tcPr>
                  <w:tcW w:w="860" w:type="pct"/>
                  <w:shd w:val="clear" w:color="auto" w:fill="E2EFD9"/>
                  <w:tcMar>
                    <w:top w:w="14" w:type="dxa"/>
                    <w:left w:w="14" w:type="dxa"/>
                    <w:bottom w:w="14" w:type="dxa"/>
                    <w:right w:w="14" w:type="dxa"/>
                  </w:tcMar>
                  <w:vAlign w:val="center"/>
                </w:tcPr>
                <w:p w14:paraId="49A16884" w14:textId="77777777" w:rsidR="00D72BD7" w:rsidRPr="006B3A63" w:rsidRDefault="00D72BD7" w:rsidP="00D72BD7">
                  <w:pPr>
                    <w:jc w:val="center"/>
                    <w:rPr>
                      <w:b/>
                      <w:bCs/>
                      <w:sz w:val="22"/>
                      <w:szCs w:val="22"/>
                    </w:rPr>
                  </w:pPr>
                  <w:r w:rsidRPr="006B3A63">
                    <w:rPr>
                      <w:b/>
                      <w:bCs/>
                      <w:sz w:val="22"/>
                      <w:szCs w:val="22"/>
                    </w:rPr>
                    <w:t>Valsts pilsētu pašvaldības</w:t>
                  </w:r>
                </w:p>
              </w:tc>
              <w:tc>
                <w:tcPr>
                  <w:tcW w:w="2973" w:type="pct"/>
                  <w:shd w:val="clear" w:color="auto" w:fill="E2EFD9"/>
                  <w:tcMar>
                    <w:top w:w="14" w:type="dxa"/>
                    <w:left w:w="14" w:type="dxa"/>
                    <w:bottom w:w="14" w:type="dxa"/>
                    <w:right w:w="14" w:type="dxa"/>
                  </w:tcMar>
                  <w:vAlign w:val="center"/>
                  <w:hideMark/>
                </w:tcPr>
                <w:p w14:paraId="503360BA" w14:textId="77777777" w:rsidR="00D72BD7" w:rsidRPr="006B3A63" w:rsidRDefault="00D72BD7" w:rsidP="00D72BD7">
                  <w:pPr>
                    <w:jc w:val="center"/>
                    <w:rPr>
                      <w:b/>
                      <w:bCs/>
                      <w:sz w:val="22"/>
                      <w:szCs w:val="22"/>
                    </w:rPr>
                  </w:pPr>
                  <w:r w:rsidRPr="006B3A63">
                    <w:rPr>
                      <w:b/>
                      <w:bCs/>
                      <w:sz w:val="22"/>
                      <w:szCs w:val="22"/>
                    </w:rPr>
                    <w:t>Novadu pašvaldības</w:t>
                  </w:r>
                </w:p>
              </w:tc>
            </w:tr>
            <w:tr w:rsidR="00D72BD7" w:rsidRPr="00625C07" w14:paraId="54757A61" w14:textId="77777777" w:rsidTr="00A211A9">
              <w:trPr>
                <w:trHeight w:val="229"/>
              </w:trPr>
              <w:tc>
                <w:tcPr>
                  <w:tcW w:w="1168" w:type="pct"/>
                  <w:shd w:val="clear" w:color="auto" w:fill="auto"/>
                  <w:noWrap/>
                  <w:tcMar>
                    <w:top w:w="14" w:type="dxa"/>
                    <w:left w:w="57" w:type="dxa"/>
                    <w:bottom w:w="14" w:type="dxa"/>
                    <w:right w:w="14" w:type="dxa"/>
                  </w:tcMar>
                  <w:vAlign w:val="center"/>
                  <w:hideMark/>
                </w:tcPr>
                <w:p w14:paraId="097A6F7E" w14:textId="0D632149" w:rsidR="00D72BD7" w:rsidRPr="006B3A63" w:rsidRDefault="00D72BD7" w:rsidP="00A211A9">
                  <w:pPr>
                    <w:jc w:val="both"/>
                    <w:rPr>
                      <w:sz w:val="22"/>
                      <w:szCs w:val="22"/>
                    </w:rPr>
                  </w:pPr>
                  <w:proofErr w:type="spellStart"/>
                  <w:r w:rsidRPr="006B3A63">
                    <w:rPr>
                      <w:sz w:val="22"/>
                      <w:szCs w:val="22"/>
                    </w:rPr>
                    <w:lastRenderedPageBreak/>
                    <w:t>Dienvid</w:t>
                  </w:r>
                  <w:r w:rsidR="00A211A9">
                    <w:rPr>
                      <w:sz w:val="22"/>
                      <w:szCs w:val="22"/>
                    </w:rPr>
                    <w:t>-</w:t>
                  </w:r>
                  <w:r w:rsidRPr="006B3A63">
                    <w:rPr>
                      <w:sz w:val="22"/>
                      <w:szCs w:val="22"/>
                    </w:rPr>
                    <w:t>kurzemes</w:t>
                  </w:r>
                  <w:proofErr w:type="spellEnd"/>
                </w:p>
                <w:p w14:paraId="3913FC08" w14:textId="77777777" w:rsidR="00D72BD7" w:rsidRPr="006B3A63" w:rsidRDefault="00D72BD7" w:rsidP="00A211A9">
                  <w:pPr>
                    <w:jc w:val="both"/>
                    <w:rPr>
                      <w:sz w:val="22"/>
                      <w:szCs w:val="22"/>
                    </w:rPr>
                  </w:pPr>
                </w:p>
              </w:tc>
              <w:tc>
                <w:tcPr>
                  <w:tcW w:w="860" w:type="pct"/>
                  <w:shd w:val="clear" w:color="auto" w:fill="auto"/>
                  <w:tcMar>
                    <w:top w:w="14" w:type="dxa"/>
                    <w:left w:w="57" w:type="dxa"/>
                    <w:bottom w:w="14" w:type="dxa"/>
                    <w:right w:w="14" w:type="dxa"/>
                  </w:tcMar>
                  <w:vAlign w:val="center"/>
                </w:tcPr>
                <w:p w14:paraId="4EB88EC7" w14:textId="77777777" w:rsidR="00D72BD7" w:rsidRPr="006B3A63" w:rsidRDefault="00D72BD7" w:rsidP="00A211A9">
                  <w:pPr>
                    <w:jc w:val="both"/>
                    <w:rPr>
                      <w:sz w:val="22"/>
                      <w:szCs w:val="22"/>
                    </w:rPr>
                  </w:pPr>
                  <w:r w:rsidRPr="006B3A63">
                    <w:rPr>
                      <w:sz w:val="22"/>
                      <w:szCs w:val="22"/>
                    </w:rPr>
                    <w:t>Liepāja</w:t>
                  </w:r>
                </w:p>
              </w:tc>
              <w:tc>
                <w:tcPr>
                  <w:tcW w:w="2973" w:type="pct"/>
                  <w:shd w:val="clear" w:color="auto" w:fill="auto"/>
                  <w:noWrap/>
                  <w:tcMar>
                    <w:top w:w="14" w:type="dxa"/>
                    <w:left w:w="57" w:type="dxa"/>
                    <w:bottom w:w="14" w:type="dxa"/>
                    <w:right w:w="14" w:type="dxa"/>
                  </w:tcMar>
                  <w:vAlign w:val="center"/>
                </w:tcPr>
                <w:p w14:paraId="194A5A43" w14:textId="548AB0AF" w:rsidR="00D72BD7" w:rsidRPr="006B3A63" w:rsidRDefault="00D72BD7" w:rsidP="00A211A9">
                  <w:pPr>
                    <w:jc w:val="both"/>
                    <w:rPr>
                      <w:sz w:val="22"/>
                      <w:szCs w:val="22"/>
                    </w:rPr>
                  </w:pPr>
                  <w:proofErr w:type="spellStart"/>
                  <w:r w:rsidRPr="006B3A63">
                    <w:rPr>
                      <w:sz w:val="22"/>
                      <w:szCs w:val="22"/>
                    </w:rPr>
                    <w:t>Dienvidkurzemes</w:t>
                  </w:r>
                  <w:proofErr w:type="spellEnd"/>
                  <w:r w:rsidRPr="006B3A63">
                    <w:rPr>
                      <w:sz w:val="22"/>
                      <w:szCs w:val="22"/>
                    </w:rPr>
                    <w:t xml:space="preserve"> novads, Saldus novads.</w:t>
                  </w:r>
                </w:p>
              </w:tc>
            </w:tr>
            <w:tr w:rsidR="00D72BD7" w:rsidRPr="00625C07" w14:paraId="75684E5A" w14:textId="77777777" w:rsidTr="00A211A9">
              <w:trPr>
                <w:trHeight w:val="248"/>
              </w:trPr>
              <w:tc>
                <w:tcPr>
                  <w:tcW w:w="1168" w:type="pct"/>
                  <w:shd w:val="clear" w:color="auto" w:fill="auto"/>
                  <w:noWrap/>
                  <w:tcMar>
                    <w:top w:w="14" w:type="dxa"/>
                    <w:left w:w="57" w:type="dxa"/>
                    <w:bottom w:w="14" w:type="dxa"/>
                    <w:right w:w="14" w:type="dxa"/>
                  </w:tcMar>
                  <w:vAlign w:val="center"/>
                  <w:hideMark/>
                </w:tcPr>
                <w:p w14:paraId="39E4C45D" w14:textId="77777777" w:rsidR="00D72BD7" w:rsidRPr="006B3A63" w:rsidRDefault="00D72BD7" w:rsidP="00A211A9">
                  <w:pPr>
                    <w:jc w:val="both"/>
                    <w:rPr>
                      <w:sz w:val="22"/>
                      <w:szCs w:val="22"/>
                    </w:rPr>
                  </w:pPr>
                  <w:r w:rsidRPr="006B3A63">
                    <w:rPr>
                      <w:sz w:val="22"/>
                      <w:szCs w:val="22"/>
                    </w:rPr>
                    <w:t>Latgales</w:t>
                  </w:r>
                </w:p>
              </w:tc>
              <w:tc>
                <w:tcPr>
                  <w:tcW w:w="860" w:type="pct"/>
                  <w:shd w:val="clear" w:color="auto" w:fill="auto"/>
                  <w:tcMar>
                    <w:top w:w="14" w:type="dxa"/>
                    <w:left w:w="57" w:type="dxa"/>
                    <w:bottom w:w="14" w:type="dxa"/>
                    <w:right w:w="14" w:type="dxa"/>
                  </w:tcMar>
                  <w:vAlign w:val="center"/>
                </w:tcPr>
                <w:p w14:paraId="184DF78F" w14:textId="77777777" w:rsidR="00D72BD7" w:rsidRPr="006B3A63" w:rsidRDefault="00D72BD7" w:rsidP="00A211A9">
                  <w:pPr>
                    <w:jc w:val="both"/>
                    <w:rPr>
                      <w:sz w:val="22"/>
                      <w:szCs w:val="22"/>
                    </w:rPr>
                  </w:pPr>
                  <w:r w:rsidRPr="006B3A63">
                    <w:rPr>
                      <w:sz w:val="22"/>
                      <w:szCs w:val="22"/>
                    </w:rPr>
                    <w:t>Daugavpils,  Rēzekne</w:t>
                  </w:r>
                </w:p>
              </w:tc>
              <w:tc>
                <w:tcPr>
                  <w:tcW w:w="2973" w:type="pct"/>
                  <w:shd w:val="clear" w:color="auto" w:fill="auto"/>
                  <w:noWrap/>
                  <w:tcMar>
                    <w:top w:w="14" w:type="dxa"/>
                    <w:left w:w="57" w:type="dxa"/>
                    <w:bottom w:w="14" w:type="dxa"/>
                    <w:right w:w="14" w:type="dxa"/>
                  </w:tcMar>
                  <w:vAlign w:val="center"/>
                </w:tcPr>
                <w:p w14:paraId="021EDF47" w14:textId="77777777" w:rsidR="00D72BD7" w:rsidRPr="006B3A63" w:rsidRDefault="00D72BD7" w:rsidP="00A211A9">
                  <w:pPr>
                    <w:jc w:val="both"/>
                    <w:rPr>
                      <w:sz w:val="22"/>
                      <w:szCs w:val="22"/>
                    </w:rPr>
                  </w:pPr>
                  <w:r w:rsidRPr="006B3A63">
                    <w:rPr>
                      <w:sz w:val="22"/>
                      <w:szCs w:val="22"/>
                    </w:rPr>
                    <w:t>Ludzas novads, Rēzeknes novads, Augšdaugavas novads, Krāslavas novads, Līvānu novads, Preiļu novads, Jēkabpils novads</w:t>
                  </w:r>
                </w:p>
              </w:tc>
            </w:tr>
            <w:tr w:rsidR="00D72BD7" w:rsidRPr="00625C07" w14:paraId="7A82FCCA" w14:textId="77777777" w:rsidTr="00A211A9">
              <w:trPr>
                <w:trHeight w:val="238"/>
              </w:trPr>
              <w:tc>
                <w:tcPr>
                  <w:tcW w:w="1168" w:type="pct"/>
                  <w:shd w:val="clear" w:color="auto" w:fill="auto"/>
                  <w:noWrap/>
                  <w:tcMar>
                    <w:top w:w="14" w:type="dxa"/>
                    <w:left w:w="57" w:type="dxa"/>
                    <w:bottom w:w="14" w:type="dxa"/>
                    <w:right w:w="14" w:type="dxa"/>
                  </w:tcMar>
                  <w:vAlign w:val="center"/>
                  <w:hideMark/>
                </w:tcPr>
                <w:p w14:paraId="3D92CF4E" w14:textId="77777777" w:rsidR="00D72BD7" w:rsidRPr="006B3A63" w:rsidRDefault="00D72BD7" w:rsidP="00A211A9">
                  <w:pPr>
                    <w:jc w:val="both"/>
                    <w:rPr>
                      <w:sz w:val="22"/>
                      <w:szCs w:val="22"/>
                    </w:rPr>
                  </w:pPr>
                  <w:proofErr w:type="spellStart"/>
                  <w:r w:rsidRPr="006B3A63">
                    <w:rPr>
                      <w:sz w:val="22"/>
                      <w:szCs w:val="22"/>
                    </w:rPr>
                    <w:t>Viduslatvijas</w:t>
                  </w:r>
                  <w:proofErr w:type="spellEnd"/>
                </w:p>
              </w:tc>
              <w:tc>
                <w:tcPr>
                  <w:tcW w:w="860" w:type="pct"/>
                  <w:shd w:val="clear" w:color="auto" w:fill="auto"/>
                  <w:tcMar>
                    <w:top w:w="14" w:type="dxa"/>
                    <w:left w:w="57" w:type="dxa"/>
                    <w:bottom w:w="14" w:type="dxa"/>
                    <w:right w:w="14" w:type="dxa"/>
                  </w:tcMar>
                  <w:vAlign w:val="center"/>
                </w:tcPr>
                <w:p w14:paraId="4427B070" w14:textId="77777777" w:rsidR="00D72BD7" w:rsidRPr="006B3A63" w:rsidRDefault="00D72BD7" w:rsidP="00A211A9">
                  <w:pPr>
                    <w:jc w:val="both"/>
                    <w:rPr>
                      <w:sz w:val="22"/>
                      <w:szCs w:val="22"/>
                    </w:rPr>
                  </w:pPr>
                  <w:r w:rsidRPr="006B3A63">
                    <w:rPr>
                      <w:sz w:val="22"/>
                      <w:szCs w:val="22"/>
                    </w:rPr>
                    <w:t>Rīga, Jelgava</w:t>
                  </w:r>
                </w:p>
              </w:tc>
              <w:tc>
                <w:tcPr>
                  <w:tcW w:w="2973" w:type="pct"/>
                  <w:shd w:val="clear" w:color="auto" w:fill="auto"/>
                  <w:noWrap/>
                  <w:tcMar>
                    <w:top w:w="14" w:type="dxa"/>
                    <w:left w:w="57" w:type="dxa"/>
                    <w:bottom w:w="14" w:type="dxa"/>
                    <w:right w:w="14" w:type="dxa"/>
                  </w:tcMar>
                  <w:vAlign w:val="center"/>
                </w:tcPr>
                <w:p w14:paraId="41A88F01" w14:textId="77777777" w:rsidR="00D72BD7" w:rsidRPr="006B3A63" w:rsidRDefault="00D72BD7" w:rsidP="00A211A9">
                  <w:pPr>
                    <w:jc w:val="both"/>
                    <w:rPr>
                      <w:sz w:val="22"/>
                      <w:szCs w:val="22"/>
                    </w:rPr>
                  </w:pPr>
                  <w:r w:rsidRPr="006B3A63">
                    <w:rPr>
                      <w:sz w:val="22"/>
                      <w:szCs w:val="22"/>
                    </w:rPr>
                    <w:t>Ādažu novads, Bauskas novads, Ķekavas novads, Mārupes novads, Ogres novads, Olaines novads, Ropažu novads, Salaspils novads, Dobeles novads, Jelgavas novads, Aizkraukles novads, Siguldas novads</w:t>
                  </w:r>
                </w:p>
              </w:tc>
            </w:tr>
            <w:tr w:rsidR="00D72BD7" w:rsidRPr="00625C07" w14:paraId="628F4B29" w14:textId="77777777" w:rsidTr="00A211A9">
              <w:trPr>
                <w:trHeight w:val="242"/>
              </w:trPr>
              <w:tc>
                <w:tcPr>
                  <w:tcW w:w="1168" w:type="pct"/>
                  <w:shd w:val="clear" w:color="auto" w:fill="auto"/>
                  <w:noWrap/>
                  <w:tcMar>
                    <w:top w:w="14" w:type="dxa"/>
                    <w:left w:w="57" w:type="dxa"/>
                    <w:bottom w:w="14" w:type="dxa"/>
                    <w:right w:w="14" w:type="dxa"/>
                  </w:tcMar>
                  <w:vAlign w:val="center"/>
                  <w:hideMark/>
                </w:tcPr>
                <w:p w14:paraId="0E28D303" w14:textId="77777777" w:rsidR="00D72BD7" w:rsidRPr="006B3A63" w:rsidRDefault="00D72BD7" w:rsidP="00A211A9">
                  <w:pPr>
                    <w:jc w:val="both"/>
                    <w:rPr>
                      <w:sz w:val="22"/>
                      <w:szCs w:val="22"/>
                    </w:rPr>
                  </w:pPr>
                  <w:r w:rsidRPr="006B3A63">
                    <w:rPr>
                      <w:sz w:val="22"/>
                      <w:szCs w:val="22"/>
                    </w:rPr>
                    <w:t>Vidzemes</w:t>
                  </w:r>
                </w:p>
              </w:tc>
              <w:tc>
                <w:tcPr>
                  <w:tcW w:w="860" w:type="pct"/>
                  <w:shd w:val="clear" w:color="auto" w:fill="auto"/>
                  <w:tcMar>
                    <w:top w:w="14" w:type="dxa"/>
                    <w:left w:w="57" w:type="dxa"/>
                    <w:bottom w:w="14" w:type="dxa"/>
                    <w:right w:w="14" w:type="dxa"/>
                  </w:tcMar>
                  <w:vAlign w:val="center"/>
                </w:tcPr>
                <w:p w14:paraId="4F33D6DB" w14:textId="77777777" w:rsidR="00D72BD7" w:rsidRPr="006B3A63" w:rsidRDefault="00D72BD7" w:rsidP="00A211A9">
                  <w:pPr>
                    <w:jc w:val="both"/>
                    <w:rPr>
                      <w:sz w:val="22"/>
                      <w:szCs w:val="22"/>
                    </w:rPr>
                  </w:pPr>
                  <w:r w:rsidRPr="006B3A63">
                    <w:rPr>
                      <w:sz w:val="22"/>
                      <w:szCs w:val="22"/>
                    </w:rPr>
                    <w:t>-</w:t>
                  </w:r>
                </w:p>
              </w:tc>
              <w:tc>
                <w:tcPr>
                  <w:tcW w:w="2973" w:type="pct"/>
                  <w:shd w:val="clear" w:color="auto" w:fill="auto"/>
                  <w:noWrap/>
                  <w:tcMar>
                    <w:top w:w="14" w:type="dxa"/>
                    <w:left w:w="57" w:type="dxa"/>
                    <w:bottom w:w="14" w:type="dxa"/>
                    <w:right w:w="14" w:type="dxa"/>
                  </w:tcMar>
                  <w:vAlign w:val="center"/>
                </w:tcPr>
                <w:p w14:paraId="12C67550" w14:textId="77777777" w:rsidR="00D72BD7" w:rsidRPr="006B3A63" w:rsidRDefault="00D72BD7" w:rsidP="00A211A9">
                  <w:pPr>
                    <w:jc w:val="both"/>
                    <w:rPr>
                      <w:sz w:val="22"/>
                      <w:szCs w:val="22"/>
                    </w:rPr>
                  </w:pPr>
                  <w:r w:rsidRPr="006B3A63">
                    <w:rPr>
                      <w:sz w:val="22"/>
                      <w:szCs w:val="22"/>
                    </w:rPr>
                    <w:t xml:space="preserve">Madonas novads, Alūksnes novads, Balvu novads, Gulbenes novads, </w:t>
                  </w:r>
                  <w:proofErr w:type="spellStart"/>
                  <w:r w:rsidRPr="006B3A63">
                    <w:rPr>
                      <w:sz w:val="22"/>
                      <w:szCs w:val="22"/>
                    </w:rPr>
                    <w:t>Cēsu</w:t>
                  </w:r>
                  <w:proofErr w:type="spellEnd"/>
                  <w:r w:rsidRPr="006B3A63">
                    <w:rPr>
                      <w:sz w:val="22"/>
                      <w:szCs w:val="22"/>
                    </w:rPr>
                    <w:t xml:space="preserve"> novads, Limbažu novads, Smiltenes novads, Valkas novads, Valmieras novads, Saulkrastu novads</w:t>
                  </w:r>
                </w:p>
              </w:tc>
            </w:tr>
            <w:tr w:rsidR="00D72BD7" w:rsidRPr="00625C07" w14:paraId="7549FE8E" w14:textId="77777777" w:rsidTr="00A211A9">
              <w:trPr>
                <w:trHeight w:val="232"/>
              </w:trPr>
              <w:tc>
                <w:tcPr>
                  <w:tcW w:w="1168" w:type="pct"/>
                  <w:shd w:val="clear" w:color="auto" w:fill="auto"/>
                  <w:noWrap/>
                  <w:tcMar>
                    <w:top w:w="14" w:type="dxa"/>
                    <w:left w:w="57" w:type="dxa"/>
                    <w:bottom w:w="14" w:type="dxa"/>
                    <w:right w:w="14" w:type="dxa"/>
                  </w:tcMar>
                  <w:vAlign w:val="center"/>
                  <w:hideMark/>
                </w:tcPr>
                <w:p w14:paraId="2E436094" w14:textId="77777777" w:rsidR="00D72BD7" w:rsidRPr="006B3A63" w:rsidRDefault="00D72BD7" w:rsidP="00A211A9">
                  <w:pPr>
                    <w:jc w:val="both"/>
                    <w:rPr>
                      <w:sz w:val="22"/>
                      <w:szCs w:val="22"/>
                    </w:rPr>
                  </w:pPr>
                  <w:proofErr w:type="spellStart"/>
                  <w:r w:rsidRPr="006B3A63">
                    <w:rPr>
                      <w:sz w:val="22"/>
                      <w:szCs w:val="22"/>
                    </w:rPr>
                    <w:t>Ziemeļkurzemes</w:t>
                  </w:r>
                  <w:proofErr w:type="spellEnd"/>
                </w:p>
              </w:tc>
              <w:tc>
                <w:tcPr>
                  <w:tcW w:w="860" w:type="pct"/>
                  <w:shd w:val="clear" w:color="auto" w:fill="auto"/>
                  <w:tcMar>
                    <w:top w:w="14" w:type="dxa"/>
                    <w:left w:w="57" w:type="dxa"/>
                    <w:bottom w:w="14" w:type="dxa"/>
                    <w:right w:w="14" w:type="dxa"/>
                  </w:tcMar>
                  <w:vAlign w:val="center"/>
                </w:tcPr>
                <w:p w14:paraId="69DCCAD4" w14:textId="77777777" w:rsidR="00D72BD7" w:rsidRPr="006B3A63" w:rsidRDefault="00D72BD7" w:rsidP="00A211A9">
                  <w:pPr>
                    <w:jc w:val="both"/>
                    <w:rPr>
                      <w:sz w:val="22"/>
                      <w:szCs w:val="22"/>
                    </w:rPr>
                  </w:pPr>
                  <w:r w:rsidRPr="006B3A63">
                    <w:rPr>
                      <w:sz w:val="22"/>
                      <w:szCs w:val="22"/>
                    </w:rPr>
                    <w:t>Jūrmala, Ventspils</w:t>
                  </w:r>
                </w:p>
              </w:tc>
              <w:tc>
                <w:tcPr>
                  <w:tcW w:w="2973" w:type="pct"/>
                  <w:shd w:val="clear" w:color="auto" w:fill="auto"/>
                  <w:noWrap/>
                  <w:tcMar>
                    <w:top w:w="14" w:type="dxa"/>
                    <w:left w:w="57" w:type="dxa"/>
                    <w:bottom w:w="14" w:type="dxa"/>
                    <w:right w:w="14" w:type="dxa"/>
                  </w:tcMar>
                  <w:vAlign w:val="center"/>
                </w:tcPr>
                <w:p w14:paraId="565E28A4" w14:textId="5585914A" w:rsidR="00D72BD7" w:rsidRPr="006B3A63" w:rsidRDefault="00D72BD7" w:rsidP="00A211A9">
                  <w:pPr>
                    <w:jc w:val="both"/>
                    <w:rPr>
                      <w:sz w:val="22"/>
                      <w:szCs w:val="22"/>
                    </w:rPr>
                  </w:pPr>
                  <w:r w:rsidRPr="006B3A63">
                    <w:rPr>
                      <w:sz w:val="22"/>
                      <w:szCs w:val="22"/>
                    </w:rPr>
                    <w:t>Ventspils novads, Talsu novads, Tukuma novads, Kuldīgas novad</w:t>
                  </w:r>
                  <w:r w:rsidR="000C5A4B">
                    <w:rPr>
                      <w:sz w:val="22"/>
                      <w:szCs w:val="22"/>
                    </w:rPr>
                    <w:t>s</w:t>
                  </w:r>
                </w:p>
              </w:tc>
            </w:tr>
          </w:tbl>
          <w:p w14:paraId="32B78BC4" w14:textId="77777777" w:rsidR="00D72BD7" w:rsidRDefault="00D72BD7" w:rsidP="00D72BD7">
            <w:pPr>
              <w:spacing w:before="120" w:after="120"/>
            </w:pPr>
          </w:p>
          <w:p w14:paraId="4679B38C" w14:textId="77777777" w:rsidR="00D72BD7" w:rsidRPr="00717678" w:rsidRDefault="00D72BD7" w:rsidP="006B3A63">
            <w:pPr>
              <w:spacing w:before="120" w:after="120"/>
              <w:jc w:val="both"/>
              <w:rPr>
                <w:b/>
                <w:bCs/>
              </w:rPr>
            </w:pPr>
            <w:r w:rsidRPr="00717678">
              <w:t xml:space="preserve">Reģionu tehniski ekonomiskie rādītāji ATR rezultāta raksturoti </w:t>
            </w:r>
            <w:r>
              <w:t>3</w:t>
            </w:r>
            <w:r w:rsidRPr="00717678">
              <w:t>. tabulā. Ņemot vērā atšķirīgo situāciju dažādos Latvijas reģionos, nav iespējams izlīdzsvarot viena reģiona robežās apsaimniekojamo atkritumu daudzumus, tomēr šāds modelis nodrošina iespēju kāpināt vienuviet apsaimniekojamos apjomus.</w:t>
            </w:r>
          </w:p>
          <w:p w14:paraId="45E9D76D" w14:textId="77777777" w:rsidR="00D72BD7" w:rsidRPr="00717678" w:rsidRDefault="00D72BD7" w:rsidP="00D72BD7">
            <w:pPr>
              <w:jc w:val="right"/>
            </w:pPr>
            <w:r>
              <w:t>3</w:t>
            </w:r>
            <w:r w:rsidRPr="00717678">
              <w:t>.tabula</w:t>
            </w:r>
          </w:p>
          <w:p w14:paraId="36FA5B12" w14:textId="77777777" w:rsidR="00D72BD7" w:rsidRPr="00717678" w:rsidRDefault="00D72BD7" w:rsidP="00D72BD7">
            <w:pPr>
              <w:jc w:val="right"/>
            </w:pPr>
            <w:r w:rsidRPr="00717678">
              <w:t xml:space="preserve"> </w:t>
            </w:r>
          </w:p>
          <w:p w14:paraId="3D849FA6" w14:textId="77777777" w:rsidR="00D72BD7" w:rsidRPr="00717678" w:rsidRDefault="00D72BD7" w:rsidP="00D72BD7">
            <w:pPr>
              <w:rPr>
                <w:b/>
                <w:bCs/>
              </w:rPr>
            </w:pPr>
            <w:proofErr w:type="spellStart"/>
            <w:r w:rsidRPr="00717678">
              <w:rPr>
                <w:b/>
                <w:bCs/>
              </w:rPr>
              <w:t>Jaunveidojamo</w:t>
            </w:r>
            <w:proofErr w:type="spellEnd"/>
            <w:r w:rsidRPr="00717678">
              <w:rPr>
                <w:b/>
                <w:bCs/>
              </w:rPr>
              <w:t xml:space="preserve"> </w:t>
            </w:r>
            <w:r>
              <w:rPr>
                <w:b/>
                <w:bCs/>
              </w:rPr>
              <w:t>piecu</w:t>
            </w:r>
            <w:r w:rsidRPr="00717678">
              <w:rPr>
                <w:b/>
                <w:bCs/>
              </w:rPr>
              <w:t xml:space="preserve"> AAR tehniski ekonomiskie rādītāji, prognoze 2020.gadā </w:t>
            </w:r>
            <w:r w:rsidRPr="00717678">
              <w:rPr>
                <w:rStyle w:val="FootnoteReference"/>
                <w:b/>
                <w:bCs/>
              </w:rPr>
              <w:footnoteReference w:id="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647"/>
              <w:gridCol w:w="935"/>
              <w:gridCol w:w="829"/>
              <w:gridCol w:w="831"/>
              <w:gridCol w:w="1037"/>
              <w:gridCol w:w="829"/>
            </w:tblGrid>
            <w:tr w:rsidR="00D72BD7" w:rsidRPr="00717678" w14:paraId="31F27EE8" w14:textId="77777777" w:rsidTr="00D75210">
              <w:trPr>
                <w:trHeight w:val="868"/>
                <w:jc w:val="center"/>
              </w:trPr>
              <w:tc>
                <w:tcPr>
                  <w:tcW w:w="1163" w:type="pct"/>
                  <w:shd w:val="clear" w:color="auto" w:fill="E2EFD9"/>
                  <w:noWrap/>
                  <w:tcMar>
                    <w:top w:w="14" w:type="dxa"/>
                    <w:left w:w="14" w:type="dxa"/>
                    <w:bottom w:w="14" w:type="dxa"/>
                    <w:right w:w="14" w:type="dxa"/>
                  </w:tcMar>
                  <w:vAlign w:val="center"/>
                  <w:hideMark/>
                </w:tcPr>
                <w:p w14:paraId="23ED828A" w14:textId="77777777" w:rsidR="00D72BD7" w:rsidRPr="00D75210" w:rsidRDefault="00D72BD7" w:rsidP="00D72BD7">
                  <w:pPr>
                    <w:rPr>
                      <w:b/>
                      <w:bCs/>
                      <w:sz w:val="18"/>
                      <w:szCs w:val="18"/>
                    </w:rPr>
                  </w:pPr>
                  <w:r w:rsidRPr="00D75210">
                    <w:rPr>
                      <w:b/>
                      <w:bCs/>
                      <w:sz w:val="18"/>
                      <w:szCs w:val="18"/>
                    </w:rPr>
                    <w:t>AAR</w:t>
                  </w:r>
                </w:p>
              </w:tc>
              <w:tc>
                <w:tcPr>
                  <w:tcW w:w="486" w:type="pct"/>
                  <w:shd w:val="clear" w:color="auto" w:fill="E2EFD9"/>
                  <w:tcMar>
                    <w:top w:w="14" w:type="dxa"/>
                    <w:left w:w="14" w:type="dxa"/>
                    <w:bottom w:w="14" w:type="dxa"/>
                    <w:right w:w="14" w:type="dxa"/>
                  </w:tcMar>
                  <w:vAlign w:val="center"/>
                  <w:hideMark/>
                </w:tcPr>
                <w:p w14:paraId="69B5BCCD" w14:textId="77777777" w:rsidR="00D72BD7" w:rsidRPr="00D75210" w:rsidRDefault="00D72BD7" w:rsidP="00D72BD7">
                  <w:pPr>
                    <w:jc w:val="center"/>
                    <w:rPr>
                      <w:b/>
                      <w:bCs/>
                      <w:sz w:val="18"/>
                      <w:szCs w:val="18"/>
                    </w:rPr>
                  </w:pPr>
                  <w:r w:rsidRPr="00D75210">
                    <w:rPr>
                      <w:b/>
                      <w:bCs/>
                      <w:sz w:val="18"/>
                      <w:szCs w:val="18"/>
                    </w:rPr>
                    <w:t>Pašvaldību skaits</w:t>
                  </w:r>
                </w:p>
              </w:tc>
              <w:tc>
                <w:tcPr>
                  <w:tcW w:w="702" w:type="pct"/>
                  <w:shd w:val="clear" w:color="auto" w:fill="E2EFD9"/>
                  <w:tcMar>
                    <w:top w:w="14" w:type="dxa"/>
                    <w:left w:w="14" w:type="dxa"/>
                    <w:bottom w:w="14" w:type="dxa"/>
                    <w:right w:w="14" w:type="dxa"/>
                  </w:tcMar>
                  <w:vAlign w:val="center"/>
                  <w:hideMark/>
                </w:tcPr>
                <w:p w14:paraId="7C18E80D" w14:textId="77777777" w:rsidR="00D72BD7" w:rsidRPr="00D75210" w:rsidRDefault="00D72BD7" w:rsidP="00D72BD7">
                  <w:pPr>
                    <w:jc w:val="center"/>
                    <w:rPr>
                      <w:b/>
                      <w:bCs/>
                      <w:sz w:val="18"/>
                      <w:szCs w:val="18"/>
                    </w:rPr>
                  </w:pPr>
                  <w:r w:rsidRPr="00D75210">
                    <w:rPr>
                      <w:b/>
                      <w:bCs/>
                      <w:sz w:val="18"/>
                      <w:szCs w:val="18"/>
                    </w:rPr>
                    <w:t>Iedzīvotāju skaits</w:t>
                  </w:r>
                </w:p>
              </w:tc>
              <w:tc>
                <w:tcPr>
                  <w:tcW w:w="623" w:type="pct"/>
                  <w:shd w:val="clear" w:color="auto" w:fill="E2EFD9"/>
                  <w:tcMar>
                    <w:top w:w="14" w:type="dxa"/>
                    <w:left w:w="14" w:type="dxa"/>
                    <w:bottom w:w="14" w:type="dxa"/>
                    <w:right w:w="14" w:type="dxa"/>
                  </w:tcMar>
                  <w:vAlign w:val="center"/>
                  <w:hideMark/>
                </w:tcPr>
                <w:p w14:paraId="628B23EC" w14:textId="77777777" w:rsidR="00D72BD7" w:rsidRPr="00D75210" w:rsidRDefault="00D72BD7" w:rsidP="00D72BD7">
                  <w:pPr>
                    <w:jc w:val="center"/>
                    <w:rPr>
                      <w:b/>
                      <w:bCs/>
                      <w:sz w:val="18"/>
                      <w:szCs w:val="18"/>
                    </w:rPr>
                  </w:pPr>
                  <w:r w:rsidRPr="00D75210">
                    <w:rPr>
                      <w:b/>
                      <w:bCs/>
                      <w:sz w:val="18"/>
                      <w:szCs w:val="18"/>
                    </w:rPr>
                    <w:t>Radīto atkritumu daudzums NSA    t</w:t>
                  </w:r>
                </w:p>
              </w:tc>
              <w:tc>
                <w:tcPr>
                  <w:tcW w:w="624" w:type="pct"/>
                  <w:shd w:val="clear" w:color="auto" w:fill="E2EFD9"/>
                  <w:tcMar>
                    <w:top w:w="14" w:type="dxa"/>
                    <w:left w:w="14" w:type="dxa"/>
                    <w:bottom w:w="14" w:type="dxa"/>
                    <w:right w:w="14" w:type="dxa"/>
                  </w:tcMar>
                  <w:vAlign w:val="center"/>
                  <w:hideMark/>
                </w:tcPr>
                <w:p w14:paraId="0EEDEF7A" w14:textId="77777777" w:rsidR="00D72BD7" w:rsidRPr="00D75210" w:rsidRDefault="00D72BD7" w:rsidP="00D72BD7">
                  <w:pPr>
                    <w:ind w:hanging="28"/>
                    <w:jc w:val="center"/>
                    <w:rPr>
                      <w:b/>
                      <w:bCs/>
                      <w:sz w:val="18"/>
                      <w:szCs w:val="18"/>
                    </w:rPr>
                  </w:pPr>
                  <w:r w:rsidRPr="00D75210">
                    <w:rPr>
                      <w:b/>
                      <w:bCs/>
                      <w:sz w:val="18"/>
                      <w:szCs w:val="18"/>
                    </w:rPr>
                    <w:t>Radīto atkritumu daudzums Citi t</w:t>
                  </w:r>
                </w:p>
              </w:tc>
              <w:tc>
                <w:tcPr>
                  <w:tcW w:w="779" w:type="pct"/>
                  <w:shd w:val="clear" w:color="auto" w:fill="E2EFD9"/>
                  <w:tcMar>
                    <w:top w:w="14" w:type="dxa"/>
                    <w:left w:w="14" w:type="dxa"/>
                    <w:bottom w:w="14" w:type="dxa"/>
                    <w:right w:w="14" w:type="dxa"/>
                  </w:tcMar>
                  <w:vAlign w:val="center"/>
                </w:tcPr>
                <w:p w14:paraId="5908CD85" w14:textId="77777777" w:rsidR="00D72BD7" w:rsidRPr="00D75210" w:rsidRDefault="00D72BD7" w:rsidP="00D72BD7">
                  <w:pPr>
                    <w:jc w:val="center"/>
                    <w:rPr>
                      <w:b/>
                      <w:bCs/>
                      <w:sz w:val="18"/>
                      <w:szCs w:val="18"/>
                    </w:rPr>
                  </w:pPr>
                  <w:r w:rsidRPr="00D75210">
                    <w:rPr>
                      <w:b/>
                      <w:bCs/>
                      <w:sz w:val="18"/>
                      <w:szCs w:val="18"/>
                    </w:rPr>
                    <w:t>Radīto atkritumu daudzums 2035. pret 2020.gadu         t</w:t>
                  </w:r>
                </w:p>
              </w:tc>
              <w:tc>
                <w:tcPr>
                  <w:tcW w:w="623" w:type="pct"/>
                  <w:shd w:val="clear" w:color="auto" w:fill="E2EFD9"/>
                  <w:tcMar>
                    <w:top w:w="14" w:type="dxa"/>
                    <w:left w:w="14" w:type="dxa"/>
                    <w:bottom w:w="14" w:type="dxa"/>
                    <w:right w:w="14" w:type="dxa"/>
                  </w:tcMar>
                  <w:vAlign w:val="center"/>
                </w:tcPr>
                <w:p w14:paraId="41C15BFB" w14:textId="77777777" w:rsidR="00D72BD7" w:rsidRPr="00D75210" w:rsidRDefault="00D72BD7" w:rsidP="00D72BD7">
                  <w:pPr>
                    <w:jc w:val="center"/>
                    <w:rPr>
                      <w:b/>
                      <w:bCs/>
                      <w:sz w:val="18"/>
                      <w:szCs w:val="18"/>
                    </w:rPr>
                  </w:pPr>
                  <w:r w:rsidRPr="00D75210">
                    <w:rPr>
                      <w:b/>
                      <w:bCs/>
                      <w:sz w:val="18"/>
                      <w:szCs w:val="18"/>
                    </w:rPr>
                    <w:t>Radīto atkritumu daudzums 2035. pret 2020.gadu         %</w:t>
                  </w:r>
                </w:p>
              </w:tc>
            </w:tr>
            <w:tr w:rsidR="00D72BD7" w:rsidRPr="00717678" w14:paraId="40489725" w14:textId="77777777" w:rsidTr="00D75210">
              <w:trPr>
                <w:trHeight w:val="229"/>
                <w:jc w:val="center"/>
              </w:trPr>
              <w:tc>
                <w:tcPr>
                  <w:tcW w:w="1163" w:type="pct"/>
                  <w:shd w:val="clear" w:color="auto" w:fill="auto"/>
                  <w:noWrap/>
                  <w:tcMar>
                    <w:top w:w="14" w:type="dxa"/>
                    <w:left w:w="14" w:type="dxa"/>
                    <w:bottom w:w="14" w:type="dxa"/>
                    <w:right w:w="14" w:type="dxa"/>
                  </w:tcMar>
                  <w:vAlign w:val="center"/>
                  <w:hideMark/>
                </w:tcPr>
                <w:p w14:paraId="3EFB5223" w14:textId="77777777" w:rsidR="00D72BD7" w:rsidRPr="00D75210" w:rsidRDefault="00D72BD7" w:rsidP="00D72BD7">
                  <w:pPr>
                    <w:rPr>
                      <w:sz w:val="20"/>
                      <w:szCs w:val="20"/>
                    </w:rPr>
                  </w:pPr>
                  <w:proofErr w:type="spellStart"/>
                  <w:r w:rsidRPr="00D75210">
                    <w:rPr>
                      <w:sz w:val="20"/>
                      <w:szCs w:val="20"/>
                    </w:rPr>
                    <w:t>Dienvidkurzemes</w:t>
                  </w:r>
                  <w:proofErr w:type="spellEnd"/>
                </w:p>
              </w:tc>
              <w:tc>
                <w:tcPr>
                  <w:tcW w:w="486" w:type="pct"/>
                  <w:shd w:val="clear" w:color="auto" w:fill="auto"/>
                  <w:noWrap/>
                  <w:tcMar>
                    <w:top w:w="14" w:type="dxa"/>
                    <w:left w:w="14" w:type="dxa"/>
                    <w:bottom w:w="14" w:type="dxa"/>
                    <w:right w:w="14" w:type="dxa"/>
                  </w:tcMar>
                  <w:vAlign w:val="center"/>
                  <w:hideMark/>
                </w:tcPr>
                <w:p w14:paraId="4A8AE9F9" w14:textId="77777777" w:rsidR="00D72BD7" w:rsidRPr="00D75210" w:rsidRDefault="00D72BD7" w:rsidP="00D72BD7">
                  <w:pPr>
                    <w:rPr>
                      <w:sz w:val="20"/>
                      <w:szCs w:val="20"/>
                    </w:rPr>
                  </w:pPr>
                  <w:r w:rsidRPr="00D75210">
                    <w:rPr>
                      <w:sz w:val="20"/>
                      <w:szCs w:val="20"/>
                    </w:rPr>
                    <w:t>3</w:t>
                  </w:r>
                </w:p>
              </w:tc>
              <w:tc>
                <w:tcPr>
                  <w:tcW w:w="702" w:type="pct"/>
                  <w:shd w:val="clear" w:color="auto" w:fill="auto"/>
                  <w:noWrap/>
                  <w:tcMar>
                    <w:top w:w="14" w:type="dxa"/>
                    <w:left w:w="14" w:type="dxa"/>
                    <w:bottom w:w="14" w:type="dxa"/>
                    <w:right w:w="14" w:type="dxa"/>
                  </w:tcMar>
                  <w:vAlign w:val="center"/>
                  <w:hideMark/>
                </w:tcPr>
                <w:p w14:paraId="4E3EC674" w14:textId="77777777" w:rsidR="00D72BD7" w:rsidRPr="00D75210" w:rsidRDefault="00D72BD7" w:rsidP="00D72BD7">
                  <w:pPr>
                    <w:jc w:val="center"/>
                    <w:rPr>
                      <w:sz w:val="20"/>
                      <w:szCs w:val="20"/>
                    </w:rPr>
                  </w:pPr>
                  <w:r w:rsidRPr="00D75210">
                    <w:rPr>
                      <w:sz w:val="20"/>
                      <w:szCs w:val="20"/>
                    </w:rPr>
                    <w:t>127651</w:t>
                  </w:r>
                </w:p>
              </w:tc>
              <w:tc>
                <w:tcPr>
                  <w:tcW w:w="623" w:type="pct"/>
                  <w:shd w:val="clear" w:color="auto" w:fill="auto"/>
                  <w:noWrap/>
                  <w:tcMar>
                    <w:top w:w="14" w:type="dxa"/>
                    <w:left w:w="14" w:type="dxa"/>
                    <w:bottom w:w="14" w:type="dxa"/>
                    <w:right w:w="14" w:type="dxa"/>
                  </w:tcMar>
                  <w:vAlign w:val="center"/>
                  <w:hideMark/>
                </w:tcPr>
                <w:p w14:paraId="5950378A" w14:textId="77777777" w:rsidR="00D72BD7" w:rsidRPr="00D75210" w:rsidRDefault="00D72BD7" w:rsidP="00D72BD7">
                  <w:pPr>
                    <w:jc w:val="center"/>
                    <w:rPr>
                      <w:sz w:val="20"/>
                      <w:szCs w:val="20"/>
                    </w:rPr>
                  </w:pPr>
                  <w:r w:rsidRPr="00D75210">
                    <w:rPr>
                      <w:sz w:val="20"/>
                      <w:szCs w:val="20"/>
                    </w:rPr>
                    <w:t>30 221</w:t>
                  </w:r>
                </w:p>
              </w:tc>
              <w:tc>
                <w:tcPr>
                  <w:tcW w:w="624" w:type="pct"/>
                  <w:shd w:val="clear" w:color="auto" w:fill="auto"/>
                  <w:noWrap/>
                  <w:tcMar>
                    <w:top w:w="14" w:type="dxa"/>
                    <w:left w:w="14" w:type="dxa"/>
                    <w:bottom w:w="14" w:type="dxa"/>
                    <w:right w:w="14" w:type="dxa"/>
                  </w:tcMar>
                  <w:vAlign w:val="center"/>
                  <w:hideMark/>
                </w:tcPr>
                <w:p w14:paraId="756F9C72" w14:textId="77777777" w:rsidR="00D72BD7" w:rsidRPr="00D75210" w:rsidRDefault="00D72BD7" w:rsidP="00D72BD7">
                  <w:pPr>
                    <w:jc w:val="center"/>
                    <w:rPr>
                      <w:sz w:val="20"/>
                      <w:szCs w:val="20"/>
                    </w:rPr>
                  </w:pPr>
                  <w:r w:rsidRPr="00D75210">
                    <w:rPr>
                      <w:sz w:val="20"/>
                      <w:szCs w:val="20"/>
                    </w:rPr>
                    <w:t>7555</w:t>
                  </w:r>
                </w:p>
              </w:tc>
              <w:tc>
                <w:tcPr>
                  <w:tcW w:w="779" w:type="pct"/>
                  <w:shd w:val="clear" w:color="auto" w:fill="auto"/>
                  <w:tcMar>
                    <w:top w:w="14" w:type="dxa"/>
                    <w:left w:w="14" w:type="dxa"/>
                    <w:bottom w:w="14" w:type="dxa"/>
                    <w:right w:w="14" w:type="dxa"/>
                  </w:tcMar>
                  <w:vAlign w:val="center"/>
                </w:tcPr>
                <w:p w14:paraId="55D1B028" w14:textId="77777777" w:rsidR="00D72BD7" w:rsidRPr="00D75210" w:rsidRDefault="00D72BD7" w:rsidP="00D72BD7">
                  <w:pPr>
                    <w:jc w:val="center"/>
                    <w:rPr>
                      <w:sz w:val="20"/>
                      <w:szCs w:val="20"/>
                    </w:rPr>
                  </w:pPr>
                  <w:r w:rsidRPr="00D75210">
                    <w:rPr>
                      <w:sz w:val="20"/>
                      <w:szCs w:val="20"/>
                    </w:rPr>
                    <w:t>1689</w:t>
                  </w:r>
                </w:p>
              </w:tc>
              <w:tc>
                <w:tcPr>
                  <w:tcW w:w="623" w:type="pct"/>
                  <w:shd w:val="clear" w:color="auto" w:fill="auto"/>
                  <w:tcMar>
                    <w:top w:w="14" w:type="dxa"/>
                    <w:left w:w="14" w:type="dxa"/>
                    <w:bottom w:w="14" w:type="dxa"/>
                    <w:right w:w="14" w:type="dxa"/>
                  </w:tcMar>
                  <w:vAlign w:val="center"/>
                </w:tcPr>
                <w:p w14:paraId="685FDA5A" w14:textId="77777777" w:rsidR="00D72BD7" w:rsidRPr="00D75210" w:rsidRDefault="00D72BD7" w:rsidP="00D72BD7">
                  <w:pPr>
                    <w:jc w:val="center"/>
                    <w:rPr>
                      <w:sz w:val="20"/>
                      <w:szCs w:val="20"/>
                    </w:rPr>
                  </w:pPr>
                  <w:r w:rsidRPr="00D75210">
                    <w:rPr>
                      <w:sz w:val="20"/>
                      <w:szCs w:val="20"/>
                    </w:rPr>
                    <w:t>4%</w:t>
                  </w:r>
                </w:p>
              </w:tc>
            </w:tr>
            <w:tr w:rsidR="00D72BD7" w:rsidRPr="00717678" w14:paraId="2C40452A" w14:textId="77777777" w:rsidTr="00D75210">
              <w:trPr>
                <w:trHeight w:val="248"/>
                <w:jc w:val="center"/>
              </w:trPr>
              <w:tc>
                <w:tcPr>
                  <w:tcW w:w="1163" w:type="pct"/>
                  <w:shd w:val="clear" w:color="auto" w:fill="auto"/>
                  <w:noWrap/>
                  <w:tcMar>
                    <w:top w:w="14" w:type="dxa"/>
                    <w:left w:w="14" w:type="dxa"/>
                    <w:bottom w:w="14" w:type="dxa"/>
                    <w:right w:w="14" w:type="dxa"/>
                  </w:tcMar>
                  <w:vAlign w:val="center"/>
                  <w:hideMark/>
                </w:tcPr>
                <w:p w14:paraId="3BDB4839" w14:textId="77777777" w:rsidR="00D72BD7" w:rsidRPr="00D75210" w:rsidRDefault="00D72BD7" w:rsidP="00D72BD7">
                  <w:pPr>
                    <w:rPr>
                      <w:sz w:val="20"/>
                      <w:szCs w:val="20"/>
                    </w:rPr>
                  </w:pPr>
                  <w:r w:rsidRPr="00D75210">
                    <w:rPr>
                      <w:sz w:val="20"/>
                      <w:szCs w:val="20"/>
                    </w:rPr>
                    <w:t>Latgales</w:t>
                  </w:r>
                </w:p>
              </w:tc>
              <w:tc>
                <w:tcPr>
                  <w:tcW w:w="486" w:type="pct"/>
                  <w:shd w:val="clear" w:color="auto" w:fill="auto"/>
                  <w:noWrap/>
                  <w:tcMar>
                    <w:top w:w="14" w:type="dxa"/>
                    <w:left w:w="14" w:type="dxa"/>
                    <w:bottom w:w="14" w:type="dxa"/>
                    <w:right w:w="14" w:type="dxa"/>
                  </w:tcMar>
                  <w:vAlign w:val="center"/>
                  <w:hideMark/>
                </w:tcPr>
                <w:p w14:paraId="666E8E1E" w14:textId="77777777" w:rsidR="00D72BD7" w:rsidRPr="00D75210" w:rsidRDefault="00D72BD7" w:rsidP="00D72BD7">
                  <w:pPr>
                    <w:rPr>
                      <w:sz w:val="20"/>
                      <w:szCs w:val="20"/>
                    </w:rPr>
                  </w:pPr>
                  <w:r w:rsidRPr="00D75210">
                    <w:rPr>
                      <w:sz w:val="20"/>
                      <w:szCs w:val="20"/>
                    </w:rPr>
                    <w:t>9</w:t>
                  </w:r>
                </w:p>
              </w:tc>
              <w:tc>
                <w:tcPr>
                  <w:tcW w:w="702" w:type="pct"/>
                  <w:shd w:val="clear" w:color="auto" w:fill="auto"/>
                  <w:noWrap/>
                  <w:tcMar>
                    <w:top w:w="14" w:type="dxa"/>
                    <w:left w:w="14" w:type="dxa"/>
                    <w:bottom w:w="14" w:type="dxa"/>
                    <w:right w:w="14" w:type="dxa"/>
                  </w:tcMar>
                  <w:vAlign w:val="center"/>
                  <w:hideMark/>
                </w:tcPr>
                <w:p w14:paraId="3A4F05D1" w14:textId="77777777" w:rsidR="00D72BD7" w:rsidRPr="00D75210" w:rsidRDefault="00D72BD7" w:rsidP="00D72BD7">
                  <w:pPr>
                    <w:jc w:val="center"/>
                    <w:rPr>
                      <w:sz w:val="20"/>
                      <w:szCs w:val="20"/>
                    </w:rPr>
                  </w:pPr>
                  <w:r w:rsidRPr="00D75210">
                    <w:rPr>
                      <w:sz w:val="20"/>
                      <w:szCs w:val="20"/>
                    </w:rPr>
                    <w:t>276939</w:t>
                  </w:r>
                </w:p>
              </w:tc>
              <w:tc>
                <w:tcPr>
                  <w:tcW w:w="623" w:type="pct"/>
                  <w:shd w:val="clear" w:color="auto" w:fill="auto"/>
                  <w:noWrap/>
                  <w:tcMar>
                    <w:top w:w="14" w:type="dxa"/>
                    <w:left w:w="14" w:type="dxa"/>
                    <w:bottom w:w="14" w:type="dxa"/>
                    <w:right w:w="14" w:type="dxa"/>
                  </w:tcMar>
                  <w:vAlign w:val="center"/>
                  <w:hideMark/>
                </w:tcPr>
                <w:p w14:paraId="049EF281" w14:textId="77777777" w:rsidR="00D72BD7" w:rsidRPr="00D75210" w:rsidRDefault="00D72BD7" w:rsidP="00D72BD7">
                  <w:pPr>
                    <w:jc w:val="center"/>
                    <w:rPr>
                      <w:sz w:val="20"/>
                      <w:szCs w:val="20"/>
                    </w:rPr>
                  </w:pPr>
                  <w:r w:rsidRPr="00D75210">
                    <w:rPr>
                      <w:sz w:val="20"/>
                      <w:szCs w:val="20"/>
                    </w:rPr>
                    <w:t>60 655</w:t>
                  </w:r>
                </w:p>
              </w:tc>
              <w:tc>
                <w:tcPr>
                  <w:tcW w:w="624" w:type="pct"/>
                  <w:shd w:val="clear" w:color="auto" w:fill="auto"/>
                  <w:noWrap/>
                  <w:tcMar>
                    <w:top w:w="14" w:type="dxa"/>
                    <w:left w:w="14" w:type="dxa"/>
                    <w:bottom w:w="14" w:type="dxa"/>
                    <w:right w:w="14" w:type="dxa"/>
                  </w:tcMar>
                  <w:vAlign w:val="center"/>
                  <w:hideMark/>
                </w:tcPr>
                <w:p w14:paraId="60C9EE97" w14:textId="77777777" w:rsidR="00D72BD7" w:rsidRPr="00D75210" w:rsidRDefault="00D72BD7" w:rsidP="00D72BD7">
                  <w:pPr>
                    <w:jc w:val="center"/>
                    <w:rPr>
                      <w:sz w:val="20"/>
                      <w:szCs w:val="20"/>
                    </w:rPr>
                  </w:pPr>
                  <w:r w:rsidRPr="00D75210">
                    <w:rPr>
                      <w:sz w:val="20"/>
                      <w:szCs w:val="20"/>
                    </w:rPr>
                    <w:t>10183</w:t>
                  </w:r>
                </w:p>
              </w:tc>
              <w:tc>
                <w:tcPr>
                  <w:tcW w:w="779" w:type="pct"/>
                  <w:shd w:val="clear" w:color="auto" w:fill="auto"/>
                  <w:tcMar>
                    <w:top w:w="14" w:type="dxa"/>
                    <w:left w:w="14" w:type="dxa"/>
                    <w:bottom w:w="14" w:type="dxa"/>
                    <w:right w:w="14" w:type="dxa"/>
                  </w:tcMar>
                  <w:vAlign w:val="center"/>
                </w:tcPr>
                <w:p w14:paraId="3DD30BBE" w14:textId="77777777" w:rsidR="00D72BD7" w:rsidRPr="00D75210" w:rsidRDefault="00D72BD7" w:rsidP="00D72BD7">
                  <w:pPr>
                    <w:jc w:val="center"/>
                    <w:rPr>
                      <w:sz w:val="20"/>
                      <w:szCs w:val="20"/>
                    </w:rPr>
                  </w:pPr>
                  <w:r w:rsidRPr="00D75210">
                    <w:rPr>
                      <w:sz w:val="20"/>
                      <w:szCs w:val="20"/>
                    </w:rPr>
                    <w:t>-1686</w:t>
                  </w:r>
                </w:p>
              </w:tc>
              <w:tc>
                <w:tcPr>
                  <w:tcW w:w="623" w:type="pct"/>
                  <w:shd w:val="clear" w:color="auto" w:fill="auto"/>
                  <w:tcMar>
                    <w:top w:w="14" w:type="dxa"/>
                    <w:left w:w="14" w:type="dxa"/>
                    <w:bottom w:w="14" w:type="dxa"/>
                    <w:right w:w="14" w:type="dxa"/>
                  </w:tcMar>
                  <w:vAlign w:val="center"/>
                </w:tcPr>
                <w:p w14:paraId="64765FA6" w14:textId="77777777" w:rsidR="00D72BD7" w:rsidRPr="00D75210" w:rsidRDefault="00D72BD7" w:rsidP="00D72BD7">
                  <w:pPr>
                    <w:jc w:val="center"/>
                    <w:rPr>
                      <w:sz w:val="20"/>
                      <w:szCs w:val="20"/>
                    </w:rPr>
                  </w:pPr>
                  <w:r w:rsidRPr="00D75210">
                    <w:rPr>
                      <w:sz w:val="20"/>
                      <w:szCs w:val="20"/>
                    </w:rPr>
                    <w:t>-2%</w:t>
                  </w:r>
                </w:p>
              </w:tc>
            </w:tr>
            <w:tr w:rsidR="00D72BD7" w:rsidRPr="00717678" w14:paraId="685A546E" w14:textId="77777777" w:rsidTr="00D75210">
              <w:trPr>
                <w:trHeight w:val="238"/>
                <w:jc w:val="center"/>
              </w:trPr>
              <w:tc>
                <w:tcPr>
                  <w:tcW w:w="1163" w:type="pct"/>
                  <w:shd w:val="clear" w:color="auto" w:fill="auto"/>
                  <w:noWrap/>
                  <w:tcMar>
                    <w:top w:w="14" w:type="dxa"/>
                    <w:left w:w="14" w:type="dxa"/>
                    <w:bottom w:w="14" w:type="dxa"/>
                    <w:right w:w="14" w:type="dxa"/>
                  </w:tcMar>
                  <w:vAlign w:val="center"/>
                  <w:hideMark/>
                </w:tcPr>
                <w:p w14:paraId="38AA1847" w14:textId="77777777" w:rsidR="00D72BD7" w:rsidRPr="00D75210" w:rsidRDefault="00D72BD7" w:rsidP="00D72BD7">
                  <w:pPr>
                    <w:rPr>
                      <w:sz w:val="20"/>
                      <w:szCs w:val="20"/>
                    </w:rPr>
                  </w:pPr>
                  <w:proofErr w:type="spellStart"/>
                  <w:r w:rsidRPr="00D75210">
                    <w:rPr>
                      <w:sz w:val="20"/>
                      <w:szCs w:val="20"/>
                    </w:rPr>
                    <w:t>Viduslatvijas</w:t>
                  </w:r>
                  <w:proofErr w:type="spellEnd"/>
                </w:p>
              </w:tc>
              <w:tc>
                <w:tcPr>
                  <w:tcW w:w="486" w:type="pct"/>
                  <w:shd w:val="clear" w:color="auto" w:fill="auto"/>
                  <w:noWrap/>
                  <w:tcMar>
                    <w:top w:w="14" w:type="dxa"/>
                    <w:left w:w="14" w:type="dxa"/>
                    <w:bottom w:w="14" w:type="dxa"/>
                    <w:right w:w="14" w:type="dxa"/>
                  </w:tcMar>
                  <w:vAlign w:val="center"/>
                  <w:hideMark/>
                </w:tcPr>
                <w:p w14:paraId="70722239" w14:textId="77777777" w:rsidR="00D72BD7" w:rsidRPr="00D75210" w:rsidRDefault="00D72BD7" w:rsidP="00D72BD7">
                  <w:pPr>
                    <w:rPr>
                      <w:sz w:val="20"/>
                      <w:szCs w:val="20"/>
                    </w:rPr>
                  </w:pPr>
                  <w:r w:rsidRPr="00D75210">
                    <w:rPr>
                      <w:sz w:val="20"/>
                      <w:szCs w:val="20"/>
                    </w:rPr>
                    <w:t>14</w:t>
                  </w:r>
                </w:p>
              </w:tc>
              <w:tc>
                <w:tcPr>
                  <w:tcW w:w="702" w:type="pct"/>
                  <w:shd w:val="clear" w:color="auto" w:fill="auto"/>
                  <w:noWrap/>
                  <w:tcMar>
                    <w:top w:w="14" w:type="dxa"/>
                    <w:left w:w="14" w:type="dxa"/>
                    <w:bottom w:w="14" w:type="dxa"/>
                    <w:right w:w="14" w:type="dxa"/>
                  </w:tcMar>
                  <w:vAlign w:val="center"/>
                  <w:hideMark/>
                </w:tcPr>
                <w:p w14:paraId="6597DB04" w14:textId="77777777" w:rsidR="00D72BD7" w:rsidRPr="00D75210" w:rsidRDefault="00D72BD7" w:rsidP="00D72BD7">
                  <w:pPr>
                    <w:jc w:val="center"/>
                    <w:rPr>
                      <w:sz w:val="20"/>
                      <w:szCs w:val="20"/>
                    </w:rPr>
                  </w:pPr>
                  <w:r w:rsidRPr="00D75210">
                    <w:rPr>
                      <w:sz w:val="20"/>
                      <w:szCs w:val="20"/>
                    </w:rPr>
                    <w:t>1059472</w:t>
                  </w:r>
                </w:p>
              </w:tc>
              <w:tc>
                <w:tcPr>
                  <w:tcW w:w="623" w:type="pct"/>
                  <w:shd w:val="clear" w:color="auto" w:fill="auto"/>
                  <w:noWrap/>
                  <w:tcMar>
                    <w:top w:w="14" w:type="dxa"/>
                    <w:left w:w="14" w:type="dxa"/>
                    <w:bottom w:w="14" w:type="dxa"/>
                    <w:right w:w="14" w:type="dxa"/>
                  </w:tcMar>
                  <w:vAlign w:val="center"/>
                  <w:hideMark/>
                </w:tcPr>
                <w:p w14:paraId="0DBA2177" w14:textId="77777777" w:rsidR="00D72BD7" w:rsidRPr="00D75210" w:rsidRDefault="00D72BD7" w:rsidP="00D72BD7">
                  <w:pPr>
                    <w:jc w:val="center"/>
                    <w:rPr>
                      <w:sz w:val="20"/>
                      <w:szCs w:val="20"/>
                    </w:rPr>
                  </w:pPr>
                  <w:r w:rsidRPr="00D75210">
                    <w:rPr>
                      <w:sz w:val="20"/>
                      <w:szCs w:val="20"/>
                    </w:rPr>
                    <w:t>336 590</w:t>
                  </w:r>
                </w:p>
              </w:tc>
              <w:tc>
                <w:tcPr>
                  <w:tcW w:w="624" w:type="pct"/>
                  <w:shd w:val="clear" w:color="auto" w:fill="auto"/>
                  <w:noWrap/>
                  <w:tcMar>
                    <w:top w:w="14" w:type="dxa"/>
                    <w:left w:w="14" w:type="dxa"/>
                    <w:bottom w:w="14" w:type="dxa"/>
                    <w:right w:w="14" w:type="dxa"/>
                  </w:tcMar>
                  <w:vAlign w:val="center"/>
                  <w:hideMark/>
                </w:tcPr>
                <w:p w14:paraId="38A2931F" w14:textId="77777777" w:rsidR="00D72BD7" w:rsidRPr="00D75210" w:rsidRDefault="00D72BD7" w:rsidP="00D72BD7">
                  <w:pPr>
                    <w:jc w:val="center"/>
                    <w:rPr>
                      <w:sz w:val="20"/>
                      <w:szCs w:val="20"/>
                    </w:rPr>
                  </w:pPr>
                  <w:r w:rsidRPr="00D75210">
                    <w:rPr>
                      <w:sz w:val="20"/>
                      <w:szCs w:val="20"/>
                    </w:rPr>
                    <w:t>99947</w:t>
                  </w:r>
                </w:p>
              </w:tc>
              <w:tc>
                <w:tcPr>
                  <w:tcW w:w="779" w:type="pct"/>
                  <w:shd w:val="clear" w:color="auto" w:fill="auto"/>
                  <w:tcMar>
                    <w:top w:w="14" w:type="dxa"/>
                    <w:left w:w="14" w:type="dxa"/>
                    <w:bottom w:w="14" w:type="dxa"/>
                    <w:right w:w="14" w:type="dxa"/>
                  </w:tcMar>
                  <w:vAlign w:val="center"/>
                </w:tcPr>
                <w:p w14:paraId="4FF2CB47" w14:textId="77777777" w:rsidR="00D72BD7" w:rsidRPr="00D75210" w:rsidRDefault="00D72BD7" w:rsidP="00D72BD7">
                  <w:pPr>
                    <w:jc w:val="center"/>
                    <w:rPr>
                      <w:sz w:val="20"/>
                      <w:szCs w:val="20"/>
                    </w:rPr>
                  </w:pPr>
                  <w:r w:rsidRPr="00D75210">
                    <w:rPr>
                      <w:sz w:val="20"/>
                      <w:szCs w:val="20"/>
                    </w:rPr>
                    <w:t>147052</w:t>
                  </w:r>
                </w:p>
              </w:tc>
              <w:tc>
                <w:tcPr>
                  <w:tcW w:w="623" w:type="pct"/>
                  <w:shd w:val="clear" w:color="auto" w:fill="auto"/>
                  <w:tcMar>
                    <w:top w:w="14" w:type="dxa"/>
                    <w:left w:w="14" w:type="dxa"/>
                    <w:bottom w:w="14" w:type="dxa"/>
                    <w:right w:w="14" w:type="dxa"/>
                  </w:tcMar>
                  <w:vAlign w:val="bottom"/>
                </w:tcPr>
                <w:p w14:paraId="306D336B" w14:textId="77777777" w:rsidR="00D72BD7" w:rsidRPr="00D75210" w:rsidRDefault="00D72BD7" w:rsidP="00D72BD7">
                  <w:pPr>
                    <w:jc w:val="center"/>
                    <w:rPr>
                      <w:sz w:val="20"/>
                      <w:szCs w:val="20"/>
                    </w:rPr>
                  </w:pPr>
                  <w:r w:rsidRPr="00D75210">
                    <w:rPr>
                      <w:sz w:val="20"/>
                      <w:szCs w:val="20"/>
                    </w:rPr>
                    <w:t>34%</w:t>
                  </w:r>
                </w:p>
              </w:tc>
            </w:tr>
            <w:tr w:rsidR="00D72BD7" w:rsidRPr="00717678" w14:paraId="222720A5" w14:textId="77777777" w:rsidTr="00D75210">
              <w:trPr>
                <w:trHeight w:val="238"/>
                <w:jc w:val="center"/>
              </w:trPr>
              <w:tc>
                <w:tcPr>
                  <w:tcW w:w="1163" w:type="pct"/>
                  <w:shd w:val="clear" w:color="auto" w:fill="auto"/>
                  <w:noWrap/>
                  <w:tcMar>
                    <w:top w:w="14" w:type="dxa"/>
                    <w:left w:w="14" w:type="dxa"/>
                    <w:bottom w:w="14" w:type="dxa"/>
                    <w:right w:w="14" w:type="dxa"/>
                  </w:tcMar>
                  <w:vAlign w:val="center"/>
                </w:tcPr>
                <w:p w14:paraId="6C65E184" w14:textId="77777777" w:rsidR="00D72BD7" w:rsidRPr="00D75210" w:rsidRDefault="00D72BD7" w:rsidP="00D72BD7">
                  <w:pPr>
                    <w:ind w:hanging="12"/>
                    <w:rPr>
                      <w:sz w:val="20"/>
                      <w:szCs w:val="20"/>
                    </w:rPr>
                  </w:pPr>
                  <w:r w:rsidRPr="00D75210">
                    <w:rPr>
                      <w:sz w:val="20"/>
                      <w:szCs w:val="20"/>
                    </w:rPr>
                    <w:t>Vidzemes</w:t>
                  </w:r>
                </w:p>
              </w:tc>
              <w:tc>
                <w:tcPr>
                  <w:tcW w:w="486" w:type="pct"/>
                  <w:shd w:val="clear" w:color="auto" w:fill="auto"/>
                  <w:noWrap/>
                  <w:tcMar>
                    <w:top w:w="14" w:type="dxa"/>
                    <w:left w:w="14" w:type="dxa"/>
                    <w:bottom w:w="14" w:type="dxa"/>
                    <w:right w:w="14" w:type="dxa"/>
                  </w:tcMar>
                  <w:vAlign w:val="center"/>
                </w:tcPr>
                <w:p w14:paraId="1B8971D4" w14:textId="77777777" w:rsidR="00D72BD7" w:rsidRPr="00D75210" w:rsidRDefault="00D72BD7" w:rsidP="00D72BD7">
                  <w:pPr>
                    <w:rPr>
                      <w:sz w:val="20"/>
                      <w:szCs w:val="20"/>
                    </w:rPr>
                  </w:pPr>
                  <w:r w:rsidRPr="00D75210">
                    <w:rPr>
                      <w:sz w:val="20"/>
                      <w:szCs w:val="20"/>
                    </w:rPr>
                    <w:t>10</w:t>
                  </w:r>
                </w:p>
              </w:tc>
              <w:tc>
                <w:tcPr>
                  <w:tcW w:w="702" w:type="pct"/>
                  <w:shd w:val="clear" w:color="auto" w:fill="auto"/>
                  <w:noWrap/>
                  <w:tcMar>
                    <w:top w:w="14" w:type="dxa"/>
                    <w:left w:w="14" w:type="dxa"/>
                    <w:bottom w:w="14" w:type="dxa"/>
                    <w:right w:w="14" w:type="dxa"/>
                  </w:tcMar>
                  <w:vAlign w:val="center"/>
                </w:tcPr>
                <w:p w14:paraId="02E082A6" w14:textId="77777777" w:rsidR="00D72BD7" w:rsidRPr="00D75210" w:rsidRDefault="00D72BD7" w:rsidP="00D72BD7">
                  <w:pPr>
                    <w:jc w:val="center"/>
                    <w:rPr>
                      <w:sz w:val="20"/>
                      <w:szCs w:val="20"/>
                    </w:rPr>
                  </w:pPr>
                  <w:r w:rsidRPr="00D75210">
                    <w:rPr>
                      <w:sz w:val="20"/>
                      <w:szCs w:val="20"/>
                    </w:rPr>
                    <w:t>238304</w:t>
                  </w:r>
                </w:p>
              </w:tc>
              <w:tc>
                <w:tcPr>
                  <w:tcW w:w="623" w:type="pct"/>
                  <w:shd w:val="clear" w:color="auto" w:fill="auto"/>
                  <w:noWrap/>
                  <w:tcMar>
                    <w:top w:w="14" w:type="dxa"/>
                    <w:left w:w="14" w:type="dxa"/>
                    <w:bottom w:w="14" w:type="dxa"/>
                    <w:right w:w="14" w:type="dxa"/>
                  </w:tcMar>
                  <w:vAlign w:val="center"/>
                </w:tcPr>
                <w:p w14:paraId="7A00C95B" w14:textId="77777777" w:rsidR="00D72BD7" w:rsidRPr="00D75210" w:rsidRDefault="00D72BD7" w:rsidP="00D72BD7">
                  <w:pPr>
                    <w:jc w:val="center"/>
                    <w:rPr>
                      <w:sz w:val="20"/>
                      <w:szCs w:val="20"/>
                    </w:rPr>
                  </w:pPr>
                  <w:r w:rsidRPr="00D75210">
                    <w:rPr>
                      <w:sz w:val="20"/>
                      <w:szCs w:val="20"/>
                    </w:rPr>
                    <w:t>38 918</w:t>
                  </w:r>
                </w:p>
              </w:tc>
              <w:tc>
                <w:tcPr>
                  <w:tcW w:w="624" w:type="pct"/>
                  <w:shd w:val="clear" w:color="auto" w:fill="auto"/>
                  <w:noWrap/>
                  <w:tcMar>
                    <w:top w:w="14" w:type="dxa"/>
                    <w:left w:w="14" w:type="dxa"/>
                    <w:bottom w:w="14" w:type="dxa"/>
                    <w:right w:w="14" w:type="dxa"/>
                  </w:tcMar>
                  <w:vAlign w:val="center"/>
                </w:tcPr>
                <w:p w14:paraId="0B39AAF7" w14:textId="77777777" w:rsidR="00D72BD7" w:rsidRPr="00D75210" w:rsidRDefault="00D72BD7" w:rsidP="00D72BD7">
                  <w:pPr>
                    <w:jc w:val="center"/>
                    <w:rPr>
                      <w:sz w:val="20"/>
                      <w:szCs w:val="20"/>
                    </w:rPr>
                  </w:pPr>
                  <w:r w:rsidRPr="00D75210">
                    <w:rPr>
                      <w:sz w:val="20"/>
                      <w:szCs w:val="20"/>
                    </w:rPr>
                    <w:t>16711</w:t>
                  </w:r>
                </w:p>
              </w:tc>
              <w:tc>
                <w:tcPr>
                  <w:tcW w:w="779" w:type="pct"/>
                  <w:shd w:val="clear" w:color="auto" w:fill="auto"/>
                  <w:tcMar>
                    <w:top w:w="14" w:type="dxa"/>
                    <w:left w:w="14" w:type="dxa"/>
                    <w:bottom w:w="14" w:type="dxa"/>
                    <w:right w:w="14" w:type="dxa"/>
                  </w:tcMar>
                  <w:vAlign w:val="center"/>
                </w:tcPr>
                <w:p w14:paraId="3E60765C" w14:textId="77777777" w:rsidR="00D72BD7" w:rsidRPr="00D75210" w:rsidRDefault="00D72BD7" w:rsidP="00D72BD7">
                  <w:pPr>
                    <w:jc w:val="center"/>
                    <w:rPr>
                      <w:sz w:val="20"/>
                      <w:szCs w:val="20"/>
                    </w:rPr>
                  </w:pPr>
                  <w:r w:rsidRPr="00D75210">
                    <w:rPr>
                      <w:sz w:val="20"/>
                      <w:szCs w:val="20"/>
                    </w:rPr>
                    <w:t>1481</w:t>
                  </w:r>
                </w:p>
              </w:tc>
              <w:tc>
                <w:tcPr>
                  <w:tcW w:w="623" w:type="pct"/>
                  <w:shd w:val="clear" w:color="auto" w:fill="auto"/>
                  <w:tcMar>
                    <w:top w:w="14" w:type="dxa"/>
                    <w:left w:w="14" w:type="dxa"/>
                    <w:bottom w:w="14" w:type="dxa"/>
                    <w:right w:w="14" w:type="dxa"/>
                  </w:tcMar>
                  <w:vAlign w:val="bottom"/>
                </w:tcPr>
                <w:p w14:paraId="15A97CD8" w14:textId="77777777" w:rsidR="00D72BD7" w:rsidRPr="00D75210" w:rsidRDefault="00D72BD7" w:rsidP="00D72BD7">
                  <w:pPr>
                    <w:jc w:val="center"/>
                    <w:rPr>
                      <w:sz w:val="20"/>
                      <w:szCs w:val="20"/>
                    </w:rPr>
                  </w:pPr>
                  <w:r w:rsidRPr="00D75210">
                    <w:rPr>
                      <w:sz w:val="20"/>
                      <w:szCs w:val="20"/>
                    </w:rPr>
                    <w:t>3%</w:t>
                  </w:r>
                </w:p>
              </w:tc>
            </w:tr>
            <w:tr w:rsidR="00D72BD7" w:rsidRPr="00717678" w14:paraId="0E1B1A58" w14:textId="77777777" w:rsidTr="00D75210">
              <w:trPr>
                <w:trHeight w:val="238"/>
                <w:jc w:val="center"/>
              </w:trPr>
              <w:tc>
                <w:tcPr>
                  <w:tcW w:w="1163" w:type="pct"/>
                  <w:shd w:val="clear" w:color="auto" w:fill="auto"/>
                  <w:noWrap/>
                  <w:tcMar>
                    <w:top w:w="14" w:type="dxa"/>
                    <w:left w:w="14" w:type="dxa"/>
                    <w:bottom w:w="14" w:type="dxa"/>
                    <w:right w:w="14" w:type="dxa"/>
                  </w:tcMar>
                  <w:vAlign w:val="center"/>
                </w:tcPr>
                <w:p w14:paraId="521C19EE" w14:textId="77777777" w:rsidR="00D72BD7" w:rsidRPr="00D75210" w:rsidRDefault="00D72BD7" w:rsidP="00D72BD7">
                  <w:pPr>
                    <w:rPr>
                      <w:sz w:val="20"/>
                      <w:szCs w:val="20"/>
                    </w:rPr>
                  </w:pPr>
                  <w:proofErr w:type="spellStart"/>
                  <w:r w:rsidRPr="00D75210">
                    <w:rPr>
                      <w:sz w:val="20"/>
                      <w:szCs w:val="20"/>
                    </w:rPr>
                    <w:t>Ziemeļkurzemes</w:t>
                  </w:r>
                  <w:proofErr w:type="spellEnd"/>
                </w:p>
              </w:tc>
              <w:tc>
                <w:tcPr>
                  <w:tcW w:w="486" w:type="pct"/>
                  <w:shd w:val="clear" w:color="auto" w:fill="auto"/>
                  <w:noWrap/>
                  <w:tcMar>
                    <w:top w:w="14" w:type="dxa"/>
                    <w:left w:w="14" w:type="dxa"/>
                    <w:bottom w:w="14" w:type="dxa"/>
                    <w:right w:w="14" w:type="dxa"/>
                  </w:tcMar>
                  <w:vAlign w:val="center"/>
                </w:tcPr>
                <w:p w14:paraId="1B1B9DF3" w14:textId="77777777" w:rsidR="00D72BD7" w:rsidRPr="00D75210" w:rsidRDefault="00D72BD7" w:rsidP="00D72BD7">
                  <w:pPr>
                    <w:rPr>
                      <w:sz w:val="20"/>
                      <w:szCs w:val="20"/>
                    </w:rPr>
                  </w:pPr>
                  <w:r w:rsidRPr="00D75210">
                    <w:rPr>
                      <w:sz w:val="20"/>
                      <w:szCs w:val="20"/>
                    </w:rPr>
                    <w:t>6</w:t>
                  </w:r>
                </w:p>
              </w:tc>
              <w:tc>
                <w:tcPr>
                  <w:tcW w:w="702" w:type="pct"/>
                  <w:shd w:val="clear" w:color="auto" w:fill="auto"/>
                  <w:noWrap/>
                  <w:tcMar>
                    <w:top w:w="14" w:type="dxa"/>
                    <w:left w:w="14" w:type="dxa"/>
                    <w:bottom w:w="14" w:type="dxa"/>
                    <w:right w:w="14" w:type="dxa"/>
                  </w:tcMar>
                  <w:vAlign w:val="center"/>
                </w:tcPr>
                <w:p w14:paraId="0D8728A1" w14:textId="77777777" w:rsidR="00D72BD7" w:rsidRPr="00D75210" w:rsidRDefault="00D72BD7" w:rsidP="00D72BD7">
                  <w:pPr>
                    <w:jc w:val="center"/>
                    <w:rPr>
                      <w:sz w:val="20"/>
                      <w:szCs w:val="20"/>
                    </w:rPr>
                  </w:pPr>
                  <w:r w:rsidRPr="00D75210">
                    <w:rPr>
                      <w:sz w:val="20"/>
                      <w:szCs w:val="20"/>
                    </w:rPr>
                    <w:t>201621</w:t>
                  </w:r>
                </w:p>
              </w:tc>
              <w:tc>
                <w:tcPr>
                  <w:tcW w:w="623" w:type="pct"/>
                  <w:shd w:val="clear" w:color="auto" w:fill="auto"/>
                  <w:noWrap/>
                  <w:tcMar>
                    <w:top w:w="14" w:type="dxa"/>
                    <w:left w:w="14" w:type="dxa"/>
                    <w:bottom w:w="14" w:type="dxa"/>
                    <w:right w:w="14" w:type="dxa"/>
                  </w:tcMar>
                  <w:vAlign w:val="center"/>
                </w:tcPr>
                <w:p w14:paraId="152E688E" w14:textId="77777777" w:rsidR="00D72BD7" w:rsidRPr="00D75210" w:rsidRDefault="00D72BD7" w:rsidP="00D72BD7">
                  <w:pPr>
                    <w:jc w:val="center"/>
                    <w:rPr>
                      <w:sz w:val="20"/>
                      <w:szCs w:val="20"/>
                    </w:rPr>
                  </w:pPr>
                  <w:r w:rsidRPr="00D75210">
                    <w:rPr>
                      <w:sz w:val="20"/>
                      <w:szCs w:val="20"/>
                    </w:rPr>
                    <w:t>48 785</w:t>
                  </w:r>
                </w:p>
              </w:tc>
              <w:tc>
                <w:tcPr>
                  <w:tcW w:w="624" w:type="pct"/>
                  <w:shd w:val="clear" w:color="auto" w:fill="auto"/>
                  <w:noWrap/>
                  <w:tcMar>
                    <w:top w:w="14" w:type="dxa"/>
                    <w:left w:w="14" w:type="dxa"/>
                    <w:bottom w:w="14" w:type="dxa"/>
                    <w:right w:w="14" w:type="dxa"/>
                  </w:tcMar>
                  <w:vAlign w:val="center"/>
                </w:tcPr>
                <w:p w14:paraId="306DCEAD" w14:textId="77777777" w:rsidR="00D72BD7" w:rsidRPr="00D75210" w:rsidRDefault="00D72BD7" w:rsidP="00D72BD7">
                  <w:pPr>
                    <w:jc w:val="center"/>
                    <w:rPr>
                      <w:sz w:val="20"/>
                      <w:szCs w:val="20"/>
                    </w:rPr>
                  </w:pPr>
                  <w:r w:rsidRPr="00D75210">
                    <w:rPr>
                      <w:sz w:val="20"/>
                      <w:szCs w:val="20"/>
                    </w:rPr>
                    <w:t>19848</w:t>
                  </w:r>
                </w:p>
              </w:tc>
              <w:tc>
                <w:tcPr>
                  <w:tcW w:w="779" w:type="pct"/>
                  <w:shd w:val="clear" w:color="auto" w:fill="auto"/>
                  <w:tcMar>
                    <w:top w:w="14" w:type="dxa"/>
                    <w:left w:w="14" w:type="dxa"/>
                    <w:bottom w:w="14" w:type="dxa"/>
                    <w:right w:w="14" w:type="dxa"/>
                  </w:tcMar>
                  <w:vAlign w:val="center"/>
                </w:tcPr>
                <w:p w14:paraId="7F9E9A6F" w14:textId="77777777" w:rsidR="00D72BD7" w:rsidRPr="00D75210" w:rsidRDefault="00D72BD7" w:rsidP="00D72BD7">
                  <w:pPr>
                    <w:jc w:val="center"/>
                    <w:rPr>
                      <w:sz w:val="20"/>
                      <w:szCs w:val="20"/>
                    </w:rPr>
                  </w:pPr>
                  <w:r w:rsidRPr="00D75210">
                    <w:rPr>
                      <w:sz w:val="20"/>
                      <w:szCs w:val="20"/>
                    </w:rPr>
                    <w:t>8481</w:t>
                  </w:r>
                </w:p>
              </w:tc>
              <w:tc>
                <w:tcPr>
                  <w:tcW w:w="623" w:type="pct"/>
                  <w:shd w:val="clear" w:color="auto" w:fill="auto"/>
                  <w:tcMar>
                    <w:top w:w="14" w:type="dxa"/>
                    <w:left w:w="14" w:type="dxa"/>
                    <w:bottom w:w="14" w:type="dxa"/>
                    <w:right w:w="14" w:type="dxa"/>
                  </w:tcMar>
                  <w:vAlign w:val="center"/>
                </w:tcPr>
                <w:p w14:paraId="0297A17E" w14:textId="77777777" w:rsidR="00D72BD7" w:rsidRPr="00D75210" w:rsidRDefault="00D72BD7" w:rsidP="00D72BD7">
                  <w:pPr>
                    <w:jc w:val="center"/>
                    <w:rPr>
                      <w:sz w:val="20"/>
                      <w:szCs w:val="20"/>
                    </w:rPr>
                  </w:pPr>
                  <w:r w:rsidRPr="00D75210">
                    <w:rPr>
                      <w:sz w:val="20"/>
                      <w:szCs w:val="20"/>
                    </w:rPr>
                    <w:t>12%</w:t>
                  </w:r>
                </w:p>
              </w:tc>
            </w:tr>
          </w:tbl>
          <w:p w14:paraId="198B4B33" w14:textId="0E7606EB" w:rsidR="00BC3860" w:rsidRDefault="00BC3860" w:rsidP="0074687F">
            <w:pPr>
              <w:ind w:right="140"/>
              <w:jc w:val="both"/>
            </w:pPr>
          </w:p>
          <w:p w14:paraId="60F40E6E" w14:textId="2C426288" w:rsidR="00D75210" w:rsidRDefault="002C6AB8" w:rsidP="0074687F">
            <w:pPr>
              <w:ind w:right="140"/>
              <w:jc w:val="both"/>
            </w:pPr>
            <w:r>
              <w:t>Pašreiz katrā AAR sadzīves atkritumu apglabāšana tiek veikta vienā reģionālajā sadzīves atkritumu apglabāšanas poligonā. Ar noteikumu projektu nosakot savādāku pašvaldību iedalījumu AAR, AAR būs šāds sadzīves atkritumu poligonu izvietojums (sk.4.tabulu):</w:t>
            </w:r>
          </w:p>
          <w:p w14:paraId="5764DF70" w14:textId="2D9EAA01" w:rsidR="002C6AB8" w:rsidRDefault="002C6AB8" w:rsidP="002C6AB8">
            <w:pPr>
              <w:ind w:right="140"/>
              <w:jc w:val="right"/>
            </w:pPr>
            <w:r>
              <w:t>4.tabula</w:t>
            </w:r>
          </w:p>
          <w:p w14:paraId="3AECB2FE" w14:textId="48CF6AF0" w:rsidR="00043074" w:rsidRPr="00043074" w:rsidRDefault="00043074" w:rsidP="00043074">
            <w:pPr>
              <w:ind w:right="140"/>
              <w:jc w:val="center"/>
              <w:rPr>
                <w:b/>
                <w:bCs/>
              </w:rPr>
            </w:pPr>
            <w:bookmarkStart w:id="2" w:name="_Hlk66963474"/>
            <w:r w:rsidRPr="00043074">
              <w:rPr>
                <w:b/>
                <w:bCs/>
              </w:rPr>
              <w:t>Sadzīves atkritumu poligonu izvietojums AAR atbilstoši noteikumu projekta prasībām</w:t>
            </w:r>
          </w:p>
          <w:tbl>
            <w:tblPr>
              <w:tblStyle w:val="TableGrid"/>
              <w:tblW w:w="0" w:type="auto"/>
              <w:tblLayout w:type="fixed"/>
              <w:tblLook w:val="04A0" w:firstRow="1" w:lastRow="0" w:firstColumn="1" w:lastColumn="0" w:noHBand="0" w:noVBand="1"/>
            </w:tblPr>
            <w:tblGrid>
              <w:gridCol w:w="3328"/>
              <w:gridCol w:w="3329"/>
            </w:tblGrid>
            <w:tr w:rsidR="002C6AB8" w14:paraId="1BF17A4B" w14:textId="77777777" w:rsidTr="002C6AB8">
              <w:tc>
                <w:tcPr>
                  <w:tcW w:w="3328" w:type="dxa"/>
                </w:tcPr>
                <w:p w14:paraId="5A5909D9" w14:textId="2348B147" w:rsidR="002C6AB8" w:rsidRDefault="002C6AB8" w:rsidP="002C6AB8">
                  <w:pPr>
                    <w:ind w:right="140"/>
                    <w:jc w:val="center"/>
                  </w:pPr>
                  <w:r>
                    <w:lastRenderedPageBreak/>
                    <w:t>AAR nosaukums</w:t>
                  </w:r>
                </w:p>
              </w:tc>
              <w:tc>
                <w:tcPr>
                  <w:tcW w:w="3329" w:type="dxa"/>
                </w:tcPr>
                <w:p w14:paraId="24DBB668" w14:textId="191DB22A" w:rsidR="002C6AB8" w:rsidRDefault="002C6AB8" w:rsidP="002C6AB8">
                  <w:pPr>
                    <w:ind w:right="140"/>
                    <w:jc w:val="center"/>
                  </w:pPr>
                  <w:r>
                    <w:t>Sadzīves atkritumu poligona nosaukums</w:t>
                  </w:r>
                </w:p>
              </w:tc>
            </w:tr>
            <w:tr w:rsidR="002C6AB8" w14:paraId="73AD6364" w14:textId="77777777" w:rsidTr="00DA3ED9">
              <w:tc>
                <w:tcPr>
                  <w:tcW w:w="3328" w:type="dxa"/>
                  <w:vAlign w:val="center"/>
                </w:tcPr>
                <w:p w14:paraId="19ED3FCD" w14:textId="42FF3646" w:rsidR="002C6AB8" w:rsidRPr="00043074" w:rsidRDefault="002C6AB8" w:rsidP="002C6AB8">
                  <w:pPr>
                    <w:ind w:right="140"/>
                    <w:jc w:val="right"/>
                  </w:pPr>
                  <w:proofErr w:type="spellStart"/>
                  <w:r w:rsidRPr="00043074">
                    <w:t>Dienvidkurzemes</w:t>
                  </w:r>
                  <w:proofErr w:type="spellEnd"/>
                </w:p>
              </w:tc>
              <w:tc>
                <w:tcPr>
                  <w:tcW w:w="3329" w:type="dxa"/>
                </w:tcPr>
                <w:p w14:paraId="3DB569EC" w14:textId="052A303E" w:rsidR="002C6AB8" w:rsidRDefault="002C6AB8" w:rsidP="002C6AB8">
                  <w:pPr>
                    <w:ind w:right="140"/>
                    <w:jc w:val="right"/>
                  </w:pPr>
                  <w:r>
                    <w:t>“Ķīvītes”</w:t>
                  </w:r>
                </w:p>
              </w:tc>
            </w:tr>
            <w:tr w:rsidR="002C6AB8" w14:paraId="662F44CB" w14:textId="77777777" w:rsidTr="00DA3ED9">
              <w:tc>
                <w:tcPr>
                  <w:tcW w:w="3328" w:type="dxa"/>
                  <w:vAlign w:val="center"/>
                </w:tcPr>
                <w:p w14:paraId="5DCAD94E" w14:textId="53D1E768" w:rsidR="002C6AB8" w:rsidRPr="00043074" w:rsidRDefault="002C6AB8" w:rsidP="002C6AB8">
                  <w:pPr>
                    <w:ind w:right="140"/>
                    <w:jc w:val="right"/>
                  </w:pPr>
                  <w:r w:rsidRPr="00043074">
                    <w:t>Latgales</w:t>
                  </w:r>
                </w:p>
              </w:tc>
              <w:tc>
                <w:tcPr>
                  <w:tcW w:w="3329" w:type="dxa"/>
                </w:tcPr>
                <w:p w14:paraId="49FF676B" w14:textId="6B2A6C36" w:rsidR="002C6AB8" w:rsidRDefault="002C6AB8" w:rsidP="002C6AB8">
                  <w:pPr>
                    <w:ind w:right="140"/>
                    <w:jc w:val="right"/>
                  </w:pPr>
                  <w:r>
                    <w:t xml:space="preserve">“Dziļā </w:t>
                  </w:r>
                  <w:proofErr w:type="spellStart"/>
                  <w:r>
                    <w:t>vāda</w:t>
                  </w:r>
                  <w:proofErr w:type="spellEnd"/>
                  <w:r>
                    <w:t>”, “</w:t>
                  </w:r>
                  <w:proofErr w:type="spellStart"/>
                  <w:r>
                    <w:t>Križevņiki</w:t>
                  </w:r>
                  <w:proofErr w:type="spellEnd"/>
                  <w:r>
                    <w:t>”, “</w:t>
                  </w:r>
                  <w:r w:rsidR="00043074">
                    <w:t>Cinīši”</w:t>
                  </w:r>
                </w:p>
              </w:tc>
            </w:tr>
            <w:tr w:rsidR="002C6AB8" w14:paraId="5658A806" w14:textId="77777777" w:rsidTr="00DA3ED9">
              <w:tc>
                <w:tcPr>
                  <w:tcW w:w="3328" w:type="dxa"/>
                  <w:vAlign w:val="center"/>
                </w:tcPr>
                <w:p w14:paraId="3E6F002E" w14:textId="36A761AA" w:rsidR="002C6AB8" w:rsidRPr="00043074" w:rsidRDefault="002C6AB8" w:rsidP="002C6AB8">
                  <w:pPr>
                    <w:ind w:right="140"/>
                    <w:jc w:val="right"/>
                  </w:pPr>
                  <w:proofErr w:type="spellStart"/>
                  <w:r w:rsidRPr="00043074">
                    <w:t>Viduslatvijas</w:t>
                  </w:r>
                  <w:proofErr w:type="spellEnd"/>
                </w:p>
              </w:tc>
              <w:tc>
                <w:tcPr>
                  <w:tcW w:w="3329" w:type="dxa"/>
                </w:tcPr>
                <w:p w14:paraId="4366B5C9" w14:textId="3D33B0BD" w:rsidR="002C6AB8" w:rsidRDefault="00043074" w:rsidP="002C6AB8">
                  <w:pPr>
                    <w:ind w:right="140"/>
                    <w:jc w:val="right"/>
                  </w:pPr>
                  <w:r>
                    <w:t>“Getliņi”, “Brakšķi”</w:t>
                  </w:r>
                </w:p>
              </w:tc>
            </w:tr>
            <w:tr w:rsidR="002C6AB8" w14:paraId="467E2CA3" w14:textId="77777777" w:rsidTr="00DA3ED9">
              <w:tc>
                <w:tcPr>
                  <w:tcW w:w="3328" w:type="dxa"/>
                  <w:vAlign w:val="center"/>
                </w:tcPr>
                <w:p w14:paraId="2232DD60" w14:textId="4E5A8B47" w:rsidR="002C6AB8" w:rsidRPr="00043074" w:rsidRDefault="002C6AB8" w:rsidP="002C6AB8">
                  <w:pPr>
                    <w:ind w:right="140"/>
                    <w:jc w:val="right"/>
                  </w:pPr>
                  <w:r w:rsidRPr="00043074">
                    <w:t>Vidzemes</w:t>
                  </w:r>
                </w:p>
              </w:tc>
              <w:tc>
                <w:tcPr>
                  <w:tcW w:w="3329" w:type="dxa"/>
                </w:tcPr>
                <w:p w14:paraId="146374A2" w14:textId="67738845" w:rsidR="002C6AB8" w:rsidRDefault="00043074" w:rsidP="002C6AB8">
                  <w:pPr>
                    <w:ind w:right="140"/>
                    <w:jc w:val="right"/>
                  </w:pPr>
                  <w:r>
                    <w:t>“Daibe”, “Kaudzītes”</w:t>
                  </w:r>
                </w:p>
              </w:tc>
            </w:tr>
            <w:tr w:rsidR="002C6AB8" w14:paraId="7977DF19" w14:textId="77777777" w:rsidTr="00DA3ED9">
              <w:tc>
                <w:tcPr>
                  <w:tcW w:w="3328" w:type="dxa"/>
                  <w:vAlign w:val="center"/>
                </w:tcPr>
                <w:p w14:paraId="0EDA5833" w14:textId="06B6B3E7" w:rsidR="002C6AB8" w:rsidRPr="00043074" w:rsidRDefault="002C6AB8" w:rsidP="002C6AB8">
                  <w:pPr>
                    <w:ind w:right="140"/>
                    <w:jc w:val="right"/>
                  </w:pPr>
                  <w:proofErr w:type="spellStart"/>
                  <w:r w:rsidRPr="00043074">
                    <w:t>Ziemeļkurzemes</w:t>
                  </w:r>
                  <w:proofErr w:type="spellEnd"/>
                </w:p>
              </w:tc>
              <w:tc>
                <w:tcPr>
                  <w:tcW w:w="3329" w:type="dxa"/>
                </w:tcPr>
                <w:p w14:paraId="69764667" w14:textId="5B11AA6D" w:rsidR="002C6AB8" w:rsidRDefault="00043074" w:rsidP="002C6AB8">
                  <w:pPr>
                    <w:ind w:right="140"/>
                    <w:jc w:val="right"/>
                  </w:pPr>
                  <w:r>
                    <w:t>“Janvāri”, “</w:t>
                  </w:r>
                  <w:proofErr w:type="spellStart"/>
                  <w:r>
                    <w:t>Pentuļi</w:t>
                  </w:r>
                  <w:proofErr w:type="spellEnd"/>
                  <w:r>
                    <w:t>”</w:t>
                  </w:r>
                </w:p>
              </w:tc>
            </w:tr>
            <w:bookmarkEnd w:id="2"/>
          </w:tbl>
          <w:p w14:paraId="1878BAFA" w14:textId="77777777" w:rsidR="002C6AB8" w:rsidRDefault="002C6AB8" w:rsidP="002C6AB8">
            <w:pPr>
              <w:ind w:right="140"/>
              <w:jc w:val="right"/>
            </w:pPr>
          </w:p>
          <w:p w14:paraId="3950ABA0" w14:textId="47D950AB" w:rsidR="000C5A4B" w:rsidRDefault="000C5A4B" w:rsidP="000C5A4B">
            <w:pPr>
              <w:ind w:firstLine="720"/>
              <w:jc w:val="both"/>
            </w:pPr>
            <w:r>
              <w:t xml:space="preserve">Atbilstoši Atkritumu apsaimniekošanas likuma 10.panta pirmajai AAR ietilpstošās pašvaldības izstrādā atkritumu apsaimniekošanas reģionālo plānu. Atkritumu apsaimniekošanas reģionālais plāns stājas spēkā pēc tam, kad to apstiprinājušas visas atkritumu apsaimniekošanas reģionā ietilpstošās pašvaldības. Lēmumus par atkritumu apsaimniekošanas reģionālā plāna apstiprināšanu iesniedz attiecīgajai Valsts vides dienesta reģionālajai vides pārvaldei. Saskaņā ar Atkritumu apsaimniekošanas likuma Pārejas noteikumu 49.punktu atkritumu apsaimniekošanas reģionos ietilpstošās pašvaldības līdz 2022. gada 30. decembrim izstrādā un apstiprina atkritumu apsaimniekošanas reģionālos plānus vai atkritumu apsaimniekošanas plānu pašvaldības administratīvajai teritorijai, ja pašvaldība nepiekrīt apstiprināt atkritumu apsaimniekošanas reģionālo plānu, laikposmam līdz 2027. gada 30. decembrim. </w:t>
            </w:r>
          </w:p>
          <w:p w14:paraId="76F89293" w14:textId="391C052B" w:rsidR="000C5A4B" w:rsidRDefault="000C5A4B" w:rsidP="000C5A4B">
            <w:pPr>
              <w:ind w:firstLine="720"/>
              <w:jc w:val="both"/>
            </w:pPr>
          </w:p>
          <w:p w14:paraId="70F62383" w14:textId="3AC1BAFA" w:rsidR="006555D1" w:rsidRPr="00717678" w:rsidRDefault="000C5A4B" w:rsidP="006555D1">
            <w:pPr>
              <w:ind w:firstLine="709"/>
            </w:pPr>
            <w:bookmarkStart w:id="3" w:name="_Hlk66961509"/>
            <w:r>
              <w:t xml:space="preserve">Atkritumu apsaimniekošanas valsts plāns 2021.-2028.gadam paredz, ka </w:t>
            </w:r>
            <w:r w:rsidR="006555D1">
              <w:t>a</w:t>
            </w:r>
            <w:r w:rsidR="006555D1" w:rsidRPr="00717678">
              <w:t>tkritumu apsaimniekošanas reģionu robežu pārskatīšana un reģionālās pieejas turpmāka attīstība īstenojama šādos termiņos:</w:t>
            </w:r>
          </w:p>
          <w:p w14:paraId="2DBD5C04" w14:textId="77777777" w:rsidR="006555D1" w:rsidRPr="006555D1" w:rsidRDefault="006555D1" w:rsidP="006555D1">
            <w:pPr>
              <w:numPr>
                <w:ilvl w:val="0"/>
                <w:numId w:val="5"/>
              </w:numPr>
              <w:jc w:val="both"/>
            </w:pPr>
            <w:r w:rsidRPr="00717678">
              <w:t xml:space="preserve">Līdz 2021.gada maija beigām MK nosaka </w:t>
            </w:r>
            <w:r w:rsidRPr="006555D1">
              <w:t>jaunos AAR, tajās ietilpstošās pašvaldības;</w:t>
            </w:r>
          </w:p>
          <w:p w14:paraId="547FD001" w14:textId="77777777" w:rsidR="006555D1" w:rsidRPr="00717678" w:rsidRDefault="006555D1" w:rsidP="006555D1">
            <w:pPr>
              <w:numPr>
                <w:ilvl w:val="0"/>
                <w:numId w:val="5"/>
              </w:numPr>
              <w:jc w:val="both"/>
            </w:pPr>
            <w:r w:rsidRPr="00717678">
              <w:t xml:space="preserve">Līdz 2022.gada 31.decembrim AAR pašvaldības izstrādā un apstiprina </w:t>
            </w:r>
            <w:r w:rsidRPr="006555D1">
              <w:t>reģionālos atkritumu apsaimniekošanas plānus</w:t>
            </w:r>
            <w:r w:rsidRPr="00717678">
              <w:rPr>
                <w:b/>
                <w:bCs/>
              </w:rPr>
              <w:t>;</w:t>
            </w:r>
          </w:p>
          <w:p w14:paraId="465BAC4D" w14:textId="551BAF7F" w:rsidR="006555D1" w:rsidRPr="00717678" w:rsidRDefault="006555D1" w:rsidP="006555D1">
            <w:pPr>
              <w:numPr>
                <w:ilvl w:val="0"/>
                <w:numId w:val="5"/>
              </w:numPr>
              <w:jc w:val="both"/>
            </w:pPr>
            <w:r w:rsidRPr="00717678">
              <w:t xml:space="preserve">Līdz 2023.gada 31.decembrim pašvaldības uz </w:t>
            </w:r>
            <w:r>
              <w:t>sadzīves atkritumu poligonu</w:t>
            </w:r>
            <w:r w:rsidRPr="00717678">
              <w:t xml:space="preserve"> bāzes izveido </w:t>
            </w:r>
            <w:r w:rsidRPr="006555D1">
              <w:t>reģionālos atkritumu apsaimniekošanas centrus</w:t>
            </w:r>
            <w:r w:rsidRPr="00717678">
              <w:t xml:space="preserve"> (</w:t>
            </w:r>
            <w:r>
              <w:t>turpmāk - RAAC</w:t>
            </w:r>
            <w:r w:rsidRPr="006555D1">
              <w:t>), kas nodrošina</w:t>
            </w:r>
            <w:r w:rsidRPr="00717678">
              <w:rPr>
                <w:b/>
                <w:bCs/>
              </w:rPr>
              <w:t xml:space="preserve"> </w:t>
            </w:r>
            <w:r w:rsidRPr="00717678">
              <w:t>atkritumu apstrādi, sagatavošanu pārstrādei, reģenerācijai, apglabāšanai un apglabāšanu;</w:t>
            </w:r>
          </w:p>
          <w:p w14:paraId="45EDDC11" w14:textId="72BBD85C" w:rsidR="006555D1" w:rsidRPr="006555D1" w:rsidRDefault="006555D1" w:rsidP="006555D1">
            <w:pPr>
              <w:numPr>
                <w:ilvl w:val="0"/>
                <w:numId w:val="5"/>
              </w:numPr>
              <w:jc w:val="both"/>
            </w:pPr>
            <w:r w:rsidRPr="00717678">
              <w:t xml:space="preserve">Līdz 2024.gada beigām </w:t>
            </w:r>
            <w:r w:rsidRPr="006555D1">
              <w:t>RAAC ir  saņēmis piesārņojošās darbības atļauju, reģistrējies S</w:t>
            </w:r>
            <w:r w:rsidR="00A12B75">
              <w:t>abiedriski pakalpojumu regulēšanas komisijā (turpmāk – SPRK)</w:t>
            </w:r>
            <w:r w:rsidRPr="006555D1">
              <w:t xml:space="preserve"> un iesniedzis SPRK apstiprināšanai sadzīves atkritumu ap</w:t>
            </w:r>
            <w:r w:rsidR="00A12B75">
              <w:t>glabāšanas</w:t>
            </w:r>
            <w:r w:rsidRPr="006555D1">
              <w:t xml:space="preserve"> tarifu.</w:t>
            </w:r>
          </w:p>
          <w:bookmarkEnd w:id="3"/>
          <w:p w14:paraId="02FF0E87" w14:textId="0A4B4B4E" w:rsidR="000C5A4B" w:rsidRDefault="000C5A4B" w:rsidP="000C5A4B">
            <w:pPr>
              <w:jc w:val="both"/>
            </w:pPr>
          </w:p>
          <w:p w14:paraId="0594AE94" w14:textId="50D024E2" w:rsidR="00985FC9" w:rsidRDefault="00985FC9" w:rsidP="000C5A4B">
            <w:pPr>
              <w:jc w:val="both"/>
            </w:pPr>
            <w:bookmarkStart w:id="4" w:name="_Hlk66965873"/>
            <w:r>
              <w:t xml:space="preserve">Atbilstoši Ministru kabineta 2021.gada 22.janvāra rīkojuma Nr.45 “Par Atkritumu apsaimniekošanas valsts plānu 2021.-2028.gadam” 4.1.apakšpunktam VARAM līdz 2022.gada 30.decembrim  Ministru kabinetā ir jāiesniedz informatīvais ziņojums par sadzīves atkritumu apglabāšanas poligonu finanšu saistībām. </w:t>
            </w:r>
          </w:p>
          <w:bookmarkEnd w:id="4"/>
          <w:p w14:paraId="13103573" w14:textId="3806B604" w:rsidR="00015372" w:rsidRDefault="00015372" w:rsidP="0074687F">
            <w:pPr>
              <w:ind w:right="140"/>
              <w:jc w:val="both"/>
            </w:pPr>
            <w:r>
              <w:t>Ņemot vērā Atkritumu apsaimniekošanas likuma 21.panta pirmajai daļ</w:t>
            </w:r>
            <w:r w:rsidR="00331A35">
              <w:t>ā noteiktās prasības,</w:t>
            </w:r>
            <w:r w:rsidR="00985FC9">
              <w:t xml:space="preserve"> </w:t>
            </w:r>
            <w:r w:rsidR="00985FC9" w:rsidRPr="00650692">
              <w:t xml:space="preserve">noteikumu projektā </w:t>
            </w:r>
            <w:r w:rsidR="00650692">
              <w:t xml:space="preserve"> ir</w:t>
            </w:r>
            <w:r w:rsidR="00331A35">
              <w:t xml:space="preserve"> jāparedz pārejas noteikums attiecībā uz termiņu, kādā pašvaldības noslēdz līgumu ar AAR sadzīves atkritumu poligonu pēc šo noteikumu stāšanās spēkā. </w:t>
            </w:r>
            <w:r w:rsidR="00985FC9">
              <w:t xml:space="preserve">Ņemot vērā izstrādājamos reģionālos atkritumu apsaimniekošanas </w:t>
            </w:r>
            <w:r w:rsidR="00985FC9">
              <w:lastRenderedPageBreak/>
              <w:t xml:space="preserve">plānus, kuros iezīmēsies poligoni, kuros tiks turpināta sadzīves atkritumu apglabāšana, un poligoni, kuru darbības virziens mainīsies, ir pamatoti ietvert noteikumu projektā pārejas noteikumus par to, ka </w:t>
            </w:r>
            <w:r w:rsidR="00650692" w:rsidRPr="00650692">
              <w:t>pašvaldība sadarbībā ar sadzīves atkritumu poligonu  apsaimniekotāju līdz 2022.gada 31.decembrim  izvērtē un veic grozījumus līgumos par sadzīves atkritumu apglabāšanu, kas noslēgti atbilstoši Atkritumu apsaimniekošanas likuma 21.panta pirmajai daļai, lai nodrošinātu pašvaldības administratīvajā teritorijā savākto sadzīves atkritumu apglabāšanu.</w:t>
            </w:r>
          </w:p>
          <w:p w14:paraId="4ECFF146" w14:textId="77777777" w:rsidR="00015372" w:rsidRPr="00103D6B" w:rsidRDefault="00015372" w:rsidP="0074687F">
            <w:pPr>
              <w:ind w:right="140"/>
              <w:jc w:val="both"/>
            </w:pPr>
          </w:p>
          <w:p w14:paraId="0FD0B4AE" w14:textId="77777777" w:rsidR="00BC3860" w:rsidRPr="00103D6B" w:rsidRDefault="00BC3860" w:rsidP="00410565">
            <w:pPr>
              <w:ind w:right="140"/>
              <w:jc w:val="both"/>
              <w:rPr>
                <w:i/>
                <w:iCs/>
              </w:rPr>
            </w:pPr>
            <w:r w:rsidRPr="00103D6B">
              <w:rPr>
                <w:i/>
                <w:iCs/>
              </w:rPr>
              <w:t>Tiesiskā regulējuma mērķis un būtība</w:t>
            </w:r>
          </w:p>
          <w:p w14:paraId="0B52B4E2" w14:textId="5CABA329" w:rsidR="00BC3860" w:rsidRDefault="006B3A63" w:rsidP="00520EB3">
            <w:pPr>
              <w:jc w:val="both"/>
              <w:rPr>
                <w:shd w:val="clear" w:color="auto" w:fill="FFFFFF"/>
              </w:rPr>
            </w:pPr>
            <w:r w:rsidRPr="00520EB3">
              <w:rPr>
                <w:shd w:val="clear" w:color="auto" w:fill="FFFFFF"/>
              </w:rPr>
              <w:t xml:space="preserve">Noteikumu projekts nosaka atkritumu apsaimniekošanas reģionus. </w:t>
            </w:r>
          </w:p>
          <w:p w14:paraId="3F9F568D" w14:textId="77777777" w:rsidR="00520EB3" w:rsidRPr="00520EB3" w:rsidRDefault="00520EB3" w:rsidP="00520EB3">
            <w:pPr>
              <w:jc w:val="both"/>
              <w:rPr>
                <w:shd w:val="clear" w:color="auto" w:fill="FFFFFF"/>
              </w:rPr>
            </w:pPr>
          </w:p>
          <w:p w14:paraId="20D92AD4" w14:textId="77777777" w:rsidR="00520EB3" w:rsidRPr="00520EB3" w:rsidRDefault="006B3A63" w:rsidP="00520EB3">
            <w:pPr>
              <w:jc w:val="both"/>
            </w:pPr>
            <w:r w:rsidRPr="00520EB3">
              <w:rPr>
                <w:shd w:val="clear" w:color="auto" w:fill="FFFFFF"/>
              </w:rPr>
              <w:t xml:space="preserve">Atkritumu apsaimniekošanas reģions ir </w:t>
            </w:r>
            <w:r w:rsidR="00520EB3" w:rsidRPr="00520EB3">
              <w:t>valsts administratīvās teritorijas daļa, kurā radīto atkritumu apsaimniekošana notiek atbilstoši atkritumu apsaimniekošanas normatīvajiem aktiem, atkritumu apsaimniekošanas valsts plānam un reģionālajam atkritumu apsaimniekošanas plānam</w:t>
            </w:r>
            <w:r w:rsidR="00520EB3">
              <w:t xml:space="preserve"> </w:t>
            </w:r>
            <w:r w:rsidR="00520EB3" w:rsidRPr="000C5A4B">
              <w:t>un kurā radītie sadzīves atkritumi, kuri netiek sagatavoti atkārtotai izmantošanai, pārstrādāti, izmantoti materiālu reģenerācijai,  tiek apglabāti reģiona sadzīves atkritumu poligonā.</w:t>
            </w:r>
          </w:p>
          <w:p w14:paraId="72EB8257" w14:textId="77777777" w:rsidR="006B3A63" w:rsidRDefault="006B3A63" w:rsidP="00520EB3">
            <w:pPr>
              <w:jc w:val="both"/>
              <w:rPr>
                <w:shd w:val="clear" w:color="auto" w:fill="FFFFFF"/>
              </w:rPr>
            </w:pPr>
          </w:p>
          <w:p w14:paraId="6901EE64" w14:textId="648C584D" w:rsidR="00520EB3" w:rsidRPr="00103D6B" w:rsidRDefault="00520EB3" w:rsidP="00520EB3">
            <w:pPr>
              <w:jc w:val="both"/>
              <w:rPr>
                <w:shd w:val="clear" w:color="auto" w:fill="FFFFFF"/>
              </w:rPr>
            </w:pPr>
            <w:r>
              <w:rPr>
                <w:shd w:val="clear" w:color="auto" w:fill="FFFFFF"/>
              </w:rPr>
              <w:t>Noteikumu projektā tiek noteikt</w:t>
            </w:r>
            <w:r w:rsidR="000C5A4B">
              <w:rPr>
                <w:shd w:val="clear" w:color="auto" w:fill="FFFFFF"/>
              </w:rPr>
              <w:t>s pašvaldību iedalījums</w:t>
            </w:r>
            <w:r>
              <w:rPr>
                <w:shd w:val="clear" w:color="auto" w:fill="FFFFFF"/>
              </w:rPr>
              <w:t xml:space="preserve"> piec</w:t>
            </w:r>
            <w:r w:rsidR="000C5A4B">
              <w:rPr>
                <w:shd w:val="clear" w:color="auto" w:fill="FFFFFF"/>
              </w:rPr>
              <w:t xml:space="preserve">os </w:t>
            </w:r>
            <w:r>
              <w:rPr>
                <w:shd w:val="clear" w:color="auto" w:fill="FFFFFF"/>
              </w:rPr>
              <w:t>atkritumu apsaimniekošanas reģion</w:t>
            </w:r>
            <w:r w:rsidR="000C5A4B">
              <w:rPr>
                <w:shd w:val="clear" w:color="auto" w:fill="FFFFFF"/>
              </w:rPr>
              <w:t>os</w:t>
            </w:r>
            <w:r>
              <w:rPr>
                <w:shd w:val="clear" w:color="auto" w:fill="FFFFFF"/>
              </w:rPr>
              <w:t>.</w:t>
            </w:r>
          </w:p>
        </w:tc>
      </w:tr>
      <w:tr w:rsidR="00BC3860" w:rsidRPr="00103D6B" w14:paraId="54321552" w14:textId="77777777" w:rsidTr="00D72BD7">
        <w:tc>
          <w:tcPr>
            <w:tcW w:w="289" w:type="pct"/>
          </w:tcPr>
          <w:p w14:paraId="0B1ED1E7" w14:textId="77777777" w:rsidR="00BC3860" w:rsidRPr="00103D6B" w:rsidRDefault="00BC3860" w:rsidP="00410565">
            <w:pPr>
              <w:ind w:right="140"/>
              <w:jc w:val="center"/>
            </w:pPr>
            <w:r w:rsidRPr="00103D6B">
              <w:lastRenderedPageBreak/>
              <w:t>3.</w:t>
            </w:r>
          </w:p>
        </w:tc>
        <w:tc>
          <w:tcPr>
            <w:tcW w:w="1035" w:type="pct"/>
          </w:tcPr>
          <w:p w14:paraId="38674942" w14:textId="77777777" w:rsidR="00BC3860" w:rsidRPr="00103D6B" w:rsidRDefault="00BC3860" w:rsidP="00410565">
            <w:pPr>
              <w:ind w:right="140"/>
            </w:pPr>
            <w:r w:rsidRPr="00103D6B">
              <w:t>Projekta izstrādē iesaistītās institūcijas un publiskas personas kapitālsabiedrības</w:t>
            </w:r>
          </w:p>
        </w:tc>
        <w:tc>
          <w:tcPr>
            <w:tcW w:w="3676" w:type="pct"/>
            <w:gridSpan w:val="2"/>
          </w:tcPr>
          <w:p w14:paraId="6D72479C" w14:textId="2630D3CB" w:rsidR="00BC3860" w:rsidRPr="00103D6B" w:rsidRDefault="00BC3860" w:rsidP="00410565">
            <w:pPr>
              <w:pStyle w:val="naiskr"/>
              <w:spacing w:before="0" w:after="0"/>
              <w:ind w:right="140"/>
              <w:jc w:val="both"/>
            </w:pPr>
            <w:r w:rsidRPr="00103D6B">
              <w:t>VARAM</w:t>
            </w:r>
            <w:r w:rsidR="00D30C5C">
              <w:t>.</w:t>
            </w:r>
          </w:p>
        </w:tc>
      </w:tr>
      <w:tr w:rsidR="00BC3860" w:rsidRPr="00103D6B" w14:paraId="346CA6FD" w14:textId="77777777" w:rsidTr="00D72BD7">
        <w:trPr>
          <w:trHeight w:val="571"/>
        </w:trPr>
        <w:tc>
          <w:tcPr>
            <w:tcW w:w="289" w:type="pct"/>
          </w:tcPr>
          <w:p w14:paraId="2068C920" w14:textId="77777777" w:rsidR="00BC3860" w:rsidRPr="00103D6B" w:rsidRDefault="00BC3860" w:rsidP="00410565">
            <w:pPr>
              <w:ind w:right="140"/>
              <w:jc w:val="center"/>
            </w:pPr>
            <w:r w:rsidRPr="00103D6B">
              <w:t>4.</w:t>
            </w:r>
          </w:p>
        </w:tc>
        <w:tc>
          <w:tcPr>
            <w:tcW w:w="1035" w:type="pct"/>
          </w:tcPr>
          <w:p w14:paraId="6EF89E66" w14:textId="77777777" w:rsidR="00BC3860" w:rsidRPr="00103D6B" w:rsidRDefault="00BC3860" w:rsidP="00410565">
            <w:pPr>
              <w:ind w:right="140"/>
            </w:pPr>
            <w:r w:rsidRPr="00103D6B">
              <w:t>Cita informācija</w:t>
            </w:r>
          </w:p>
        </w:tc>
        <w:tc>
          <w:tcPr>
            <w:tcW w:w="3676" w:type="pct"/>
            <w:gridSpan w:val="2"/>
          </w:tcPr>
          <w:p w14:paraId="52E19DB9" w14:textId="3A39C9E5" w:rsidR="00BC3860" w:rsidRPr="00103D6B" w:rsidRDefault="00BC3860" w:rsidP="00410565">
            <w:pPr>
              <w:ind w:right="140"/>
              <w:jc w:val="both"/>
            </w:pPr>
            <w:r w:rsidRPr="00103D6B">
              <w:t>Nav</w:t>
            </w:r>
            <w:r w:rsidR="00D30C5C">
              <w:t>.</w:t>
            </w:r>
          </w:p>
        </w:tc>
      </w:tr>
    </w:tbl>
    <w:p w14:paraId="474EF726" w14:textId="77777777" w:rsidR="00BC3860" w:rsidRPr="00103D6B" w:rsidRDefault="00BC3860" w:rsidP="00BC3860">
      <w:pPr>
        <w:ind w:right="1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60"/>
        <w:gridCol w:w="5758"/>
      </w:tblGrid>
      <w:tr w:rsidR="00BC3860" w:rsidRPr="00103D6B" w14:paraId="459F6570" w14:textId="77777777" w:rsidTr="00410565">
        <w:tc>
          <w:tcPr>
            <w:tcW w:w="9287" w:type="dxa"/>
            <w:gridSpan w:val="3"/>
          </w:tcPr>
          <w:p w14:paraId="3B6C5255" w14:textId="77777777" w:rsidR="00BC3860" w:rsidRPr="00103D6B" w:rsidRDefault="00BC3860" w:rsidP="00410565">
            <w:pPr>
              <w:ind w:right="140"/>
              <w:jc w:val="center"/>
              <w:rPr>
                <w:b/>
              </w:rPr>
            </w:pPr>
            <w:r w:rsidRPr="00103D6B">
              <w:rPr>
                <w:b/>
              </w:rPr>
              <w:t>II. Tiesību akta projekta ietekme uz sabiedrību</w:t>
            </w:r>
          </w:p>
        </w:tc>
      </w:tr>
      <w:tr w:rsidR="00BC3860" w:rsidRPr="00103D6B" w14:paraId="0BBA5287" w14:textId="77777777" w:rsidTr="00410565">
        <w:tc>
          <w:tcPr>
            <w:tcW w:w="648" w:type="dxa"/>
          </w:tcPr>
          <w:p w14:paraId="0F035C5F" w14:textId="77777777" w:rsidR="00BC3860" w:rsidRPr="00103D6B" w:rsidRDefault="00BC3860" w:rsidP="00410565">
            <w:pPr>
              <w:ind w:right="140"/>
              <w:jc w:val="center"/>
            </w:pPr>
            <w:r w:rsidRPr="00103D6B">
              <w:t>1.</w:t>
            </w:r>
          </w:p>
        </w:tc>
        <w:tc>
          <w:tcPr>
            <w:tcW w:w="2700" w:type="dxa"/>
          </w:tcPr>
          <w:p w14:paraId="0EFB6475" w14:textId="77777777" w:rsidR="00BC3860" w:rsidRPr="00103D6B" w:rsidRDefault="00BC3860" w:rsidP="00410565">
            <w:pPr>
              <w:ind w:right="140"/>
            </w:pPr>
            <w:r w:rsidRPr="00103D6B">
              <w:t xml:space="preserve">Sabiedrības </w:t>
            </w:r>
            <w:proofErr w:type="spellStart"/>
            <w:r w:rsidRPr="00103D6B">
              <w:t>mērķgrupas</w:t>
            </w:r>
            <w:proofErr w:type="spellEnd"/>
            <w:r w:rsidRPr="00103D6B">
              <w:t>, kuras tiesiskais regulējums ietekmē vai varētu ietekmēt</w:t>
            </w:r>
          </w:p>
        </w:tc>
        <w:tc>
          <w:tcPr>
            <w:tcW w:w="5939" w:type="dxa"/>
          </w:tcPr>
          <w:p w14:paraId="5D499BF7" w14:textId="77777777" w:rsidR="00BC3860" w:rsidRPr="00103D6B" w:rsidRDefault="00BC3860" w:rsidP="00410565">
            <w:pPr>
              <w:tabs>
                <w:tab w:val="left" w:pos="720"/>
              </w:tabs>
              <w:suppressAutoHyphens/>
              <w:ind w:right="140"/>
              <w:jc w:val="both"/>
            </w:pPr>
            <w:r w:rsidRPr="00103D6B">
              <w:t>Sadzīves atkritumu apsaimniekotāji – 50-60 komersanti;</w:t>
            </w:r>
          </w:p>
          <w:p w14:paraId="6BF14D29" w14:textId="77777777" w:rsidR="00BC3860" w:rsidRPr="00103D6B" w:rsidRDefault="00BC3860" w:rsidP="00410565">
            <w:pPr>
              <w:tabs>
                <w:tab w:val="left" w:pos="720"/>
              </w:tabs>
              <w:suppressAutoHyphens/>
              <w:ind w:right="140"/>
              <w:jc w:val="both"/>
            </w:pPr>
            <w:r w:rsidRPr="00103D6B">
              <w:rPr>
                <w:shd w:val="clear" w:color="auto" w:fill="FFFFFF"/>
              </w:rPr>
              <w:t>Pašvaldības – 119;</w:t>
            </w:r>
          </w:p>
          <w:p w14:paraId="232A1675" w14:textId="66BC0456" w:rsidR="00BC3860" w:rsidRPr="00103D6B" w:rsidRDefault="00214D2C" w:rsidP="00410565">
            <w:pPr>
              <w:tabs>
                <w:tab w:val="left" w:pos="720"/>
              </w:tabs>
              <w:suppressAutoHyphens/>
              <w:ind w:right="140"/>
              <w:jc w:val="both"/>
              <w:rPr>
                <w:shd w:val="clear" w:color="auto" w:fill="FFFFFF"/>
              </w:rPr>
            </w:pPr>
            <w:r>
              <w:rPr>
                <w:shd w:val="clear" w:color="auto" w:fill="FFFFFF"/>
              </w:rPr>
              <w:t>Sadzīves atkritumu poligonu operatori – 10 komersanti</w:t>
            </w:r>
            <w:r w:rsidR="00BC3860" w:rsidRPr="00103D6B">
              <w:rPr>
                <w:shd w:val="clear" w:color="auto" w:fill="FFFFFF"/>
              </w:rPr>
              <w:t>;</w:t>
            </w:r>
          </w:p>
          <w:p w14:paraId="20AC4406" w14:textId="77777777" w:rsidR="00BC3860" w:rsidRPr="00103D6B" w:rsidRDefault="00BC3860" w:rsidP="00410565">
            <w:pPr>
              <w:tabs>
                <w:tab w:val="left" w:pos="720"/>
              </w:tabs>
              <w:suppressAutoHyphens/>
              <w:ind w:right="140"/>
              <w:jc w:val="both"/>
            </w:pPr>
            <w:r w:rsidRPr="00103D6B">
              <w:rPr>
                <w:shd w:val="clear" w:color="auto" w:fill="FFFFFF"/>
              </w:rPr>
              <w:t>Visi sadzīves atkritumu radītāji Latvijā – fiziskās un juridiskās personas.</w:t>
            </w:r>
          </w:p>
        </w:tc>
      </w:tr>
      <w:tr w:rsidR="00BC3860" w:rsidRPr="00103D6B" w14:paraId="64C19E05" w14:textId="77777777" w:rsidTr="00410565">
        <w:tc>
          <w:tcPr>
            <w:tcW w:w="648" w:type="dxa"/>
            <w:shd w:val="clear" w:color="auto" w:fill="auto"/>
          </w:tcPr>
          <w:p w14:paraId="05FCCF4D" w14:textId="77777777" w:rsidR="00BC3860" w:rsidRPr="00103D6B" w:rsidRDefault="00BC3860" w:rsidP="00410565">
            <w:pPr>
              <w:ind w:right="140"/>
              <w:jc w:val="center"/>
            </w:pPr>
            <w:r w:rsidRPr="00103D6B">
              <w:t>2.</w:t>
            </w:r>
          </w:p>
        </w:tc>
        <w:tc>
          <w:tcPr>
            <w:tcW w:w="2700" w:type="dxa"/>
            <w:shd w:val="clear" w:color="auto" w:fill="FFFFFF"/>
          </w:tcPr>
          <w:p w14:paraId="4EA970AC" w14:textId="77777777" w:rsidR="00BC3860" w:rsidRPr="00103D6B" w:rsidRDefault="00BC3860" w:rsidP="00410565">
            <w:pPr>
              <w:ind w:right="140"/>
            </w:pPr>
            <w:r w:rsidRPr="00103D6B">
              <w:t>Tiesiskā regulējuma ietekme uz tautsaimniecību un administratīvo slogu</w:t>
            </w:r>
          </w:p>
        </w:tc>
        <w:tc>
          <w:tcPr>
            <w:tcW w:w="5939" w:type="dxa"/>
            <w:shd w:val="clear" w:color="auto" w:fill="auto"/>
          </w:tcPr>
          <w:p w14:paraId="55545D0F" w14:textId="2493C258" w:rsidR="00BC3860" w:rsidRPr="00103D6B" w:rsidRDefault="00BC3860" w:rsidP="00410565">
            <w:pPr>
              <w:spacing w:before="100" w:beforeAutospacing="1" w:after="100" w:afterAutospacing="1"/>
              <w:ind w:right="140"/>
              <w:jc w:val="both"/>
              <w:rPr>
                <w:u w:val="single"/>
              </w:rPr>
            </w:pPr>
            <w:r w:rsidRPr="00103D6B">
              <w:t>Noteikumu projekt</w:t>
            </w:r>
            <w:r>
              <w:t>a normās</w:t>
            </w:r>
            <w:r w:rsidRPr="00103D6B">
              <w:t xml:space="preserve"> ietvertais tiesiskais regulējums </w:t>
            </w:r>
            <w:r w:rsidRPr="00103D6B">
              <w:rPr>
                <w:u w:val="single"/>
              </w:rPr>
              <w:t xml:space="preserve">neskar uzņēmējdarbības vidi un mazos, vidējos uzņēmumus, </w:t>
            </w:r>
            <w:proofErr w:type="spellStart"/>
            <w:r w:rsidRPr="00103D6B">
              <w:rPr>
                <w:u w:val="single"/>
              </w:rPr>
              <w:t>mikrouzņēmumus</w:t>
            </w:r>
            <w:proofErr w:type="spellEnd"/>
            <w:r w:rsidRPr="00103D6B">
              <w:rPr>
                <w:u w:val="single"/>
              </w:rPr>
              <w:t xml:space="preserve"> un </w:t>
            </w:r>
            <w:proofErr w:type="spellStart"/>
            <w:r w:rsidRPr="00103D6B">
              <w:rPr>
                <w:u w:val="single"/>
              </w:rPr>
              <w:t>jaunuzņēmumus</w:t>
            </w:r>
            <w:proofErr w:type="spellEnd"/>
            <w:r w:rsidR="00520EB3">
              <w:rPr>
                <w:u w:val="single"/>
              </w:rPr>
              <w:t xml:space="preserve">. </w:t>
            </w:r>
            <w:r w:rsidRPr="00407C44">
              <w:t xml:space="preserve"> </w:t>
            </w:r>
            <w:r>
              <w:t xml:space="preserve">Normas, kuras izriet no šo noteikumu projekta neskar visu uzņēmējdarbības vidi kopumā, bet gan atsevišķus komersantus, kuri veic darbības ar atkritumiem.  </w:t>
            </w:r>
          </w:p>
          <w:p w14:paraId="2082FBD7" w14:textId="77777777" w:rsidR="00BC3860" w:rsidRPr="00103D6B" w:rsidRDefault="00BC3860" w:rsidP="00410565">
            <w:pPr>
              <w:spacing w:before="100" w:beforeAutospacing="1" w:after="100" w:afterAutospacing="1"/>
              <w:ind w:right="140"/>
              <w:jc w:val="both"/>
            </w:pPr>
            <w:r w:rsidRPr="00103D6B">
              <w:t>Noteikumu projekta</w:t>
            </w:r>
            <w:r>
              <w:t xml:space="preserve"> normu</w:t>
            </w:r>
            <w:r w:rsidRPr="00103D6B">
              <w:t xml:space="preserve"> realizācijas rezultātā </w:t>
            </w:r>
            <w:r w:rsidRPr="00103D6B">
              <w:rPr>
                <w:u w:val="single"/>
              </w:rPr>
              <w:t>tiks veicināta</w:t>
            </w:r>
            <w:r w:rsidRPr="00103D6B">
              <w:t xml:space="preserve"> Nacionālā attīstības plānā noteiktā 442. rādītāja </w:t>
            </w:r>
            <w:r w:rsidRPr="00103D6B">
              <w:lastRenderedPageBreak/>
              <w:t xml:space="preserve">“Atkritumu šķirošana un dalīti savākto atkritumu pārstrāde” izpilde.   </w:t>
            </w:r>
          </w:p>
          <w:p w14:paraId="5C043674" w14:textId="77777777" w:rsidR="00BC3860" w:rsidRPr="00103D6B" w:rsidRDefault="00BC3860" w:rsidP="00410565">
            <w:pPr>
              <w:spacing w:before="100" w:beforeAutospacing="1" w:after="100" w:afterAutospacing="1"/>
              <w:ind w:right="140"/>
              <w:jc w:val="both"/>
            </w:pPr>
            <w:r w:rsidRPr="00103D6B">
              <w:t xml:space="preserve">Noteikumu projektam </w:t>
            </w:r>
            <w:r w:rsidRPr="00103D6B">
              <w:rPr>
                <w:u w:val="single"/>
              </w:rPr>
              <w:t>nav ietekmes uz konkurenci</w:t>
            </w:r>
            <w:r w:rsidRPr="00103D6B">
              <w:t xml:space="preserve">, tā kā visiem atkritumu poligonu apsaimniekotājiem un atkritumu apsaimniekošanas komersantiem tiek noteiktas vienādas prasības. </w:t>
            </w:r>
          </w:p>
          <w:p w14:paraId="28A9E7B1" w14:textId="77777777" w:rsidR="00BC3860" w:rsidRPr="00103D6B" w:rsidRDefault="00BC3860" w:rsidP="00410565">
            <w:pPr>
              <w:ind w:right="140"/>
              <w:jc w:val="both"/>
            </w:pPr>
            <w:r w:rsidRPr="00103D6B">
              <w:t>Noteikumu projekta</w:t>
            </w:r>
            <w:r>
              <w:t xml:space="preserve"> normu</w:t>
            </w:r>
            <w:r w:rsidRPr="00103D6B">
              <w:t xml:space="preserve"> </w:t>
            </w:r>
            <w:r w:rsidRPr="00103D6B">
              <w:rPr>
                <w:u w:val="single"/>
              </w:rPr>
              <w:t>ietekme uz vidi</w:t>
            </w:r>
            <w:r w:rsidRPr="00103D6B">
              <w:t xml:space="preserve"> vērtējama pozitīvi. tiks veicināta atkritumu dalītā vākšana, veicināta atkritumos esošo materiālu atgriešana tautsaimniecībā, kā arī samazināti kopējie poligonos apglabājamo atkritumu </w:t>
            </w:r>
            <w:r>
              <w:t>daudzumi svara vienībās</w:t>
            </w:r>
            <w:r w:rsidRPr="00103D6B">
              <w:t xml:space="preserve"> un mazināta poligonu radīto siltumnīcas efektā gāzu emisija.</w:t>
            </w:r>
          </w:p>
          <w:p w14:paraId="192A4C31" w14:textId="518A8945" w:rsidR="00BC3860" w:rsidRPr="00103D6B" w:rsidRDefault="00BC3860" w:rsidP="00410565">
            <w:pPr>
              <w:spacing w:before="100" w:beforeAutospacing="1" w:after="100" w:afterAutospacing="1"/>
              <w:ind w:right="140"/>
              <w:jc w:val="both"/>
            </w:pPr>
            <w:r w:rsidRPr="00103D6B">
              <w:t xml:space="preserve">Noteikumu projekta </w:t>
            </w:r>
            <w:r>
              <w:t>normām</w:t>
            </w:r>
            <w:r w:rsidRPr="00103D6B">
              <w:t xml:space="preserve"> </w:t>
            </w:r>
            <w:r w:rsidR="00B0016A">
              <w:rPr>
                <w:u w:val="single"/>
              </w:rPr>
              <w:t xml:space="preserve">nav </w:t>
            </w:r>
            <w:r w:rsidRPr="00103D6B">
              <w:rPr>
                <w:u w:val="single"/>
              </w:rPr>
              <w:t xml:space="preserve"> ietekmes uz veselību</w:t>
            </w:r>
            <w:r w:rsidRPr="00103D6B">
              <w:t>.</w:t>
            </w:r>
          </w:p>
          <w:p w14:paraId="06B9B3F1" w14:textId="13AC65B3" w:rsidR="00BC3860" w:rsidRPr="00103D6B" w:rsidRDefault="00BC3860" w:rsidP="00410565">
            <w:pPr>
              <w:spacing w:before="100" w:beforeAutospacing="1" w:after="100" w:afterAutospacing="1"/>
              <w:ind w:right="140"/>
              <w:jc w:val="both"/>
            </w:pPr>
            <w:r w:rsidRPr="00103D6B">
              <w:t xml:space="preserve">Noteikumu projekta </w:t>
            </w:r>
            <w:r>
              <w:t>normas</w:t>
            </w:r>
            <w:r w:rsidRPr="00103D6B">
              <w:t xml:space="preserve"> </w:t>
            </w:r>
            <w:r w:rsidRPr="00103D6B">
              <w:rPr>
                <w:u w:val="single"/>
              </w:rPr>
              <w:t>neskar nevalstiskās organizācijas</w:t>
            </w:r>
            <w:r w:rsidR="00B0016A">
              <w:rPr>
                <w:u w:val="single"/>
              </w:rPr>
              <w:t>, jo noteikumu projekts tām nerada papildus tiesības un pienākumus</w:t>
            </w:r>
            <w:r w:rsidRPr="00103D6B">
              <w:t>.</w:t>
            </w:r>
          </w:p>
          <w:p w14:paraId="1D38EA9C" w14:textId="77777777" w:rsidR="00BC3860" w:rsidRPr="00103D6B" w:rsidRDefault="00BC3860" w:rsidP="00410565">
            <w:pPr>
              <w:ind w:right="140"/>
              <w:jc w:val="both"/>
            </w:pPr>
            <w:r w:rsidRPr="00103D6B">
              <w:rPr>
                <w:u w:val="single"/>
              </w:rPr>
              <w:t xml:space="preserve">Administratīvais slogs komersantiem nepieaugs, tā kā atkritumu apsaimniekošanas komersanti jau šobrīd sniedz datus par atkritumu apsaimniekošanu atbilstoši  normatīvajiem aktiem par </w:t>
            </w:r>
            <w:r w:rsidRPr="00103D6B">
              <w:rPr>
                <w:szCs w:val="28"/>
              </w:rPr>
              <w:t>vides aizsardzības oficiālās statistikas un piesārņojošās darbības pārskata veidlapām</w:t>
            </w:r>
            <w:r w:rsidRPr="00103D6B">
              <w:t xml:space="preserve">.  </w:t>
            </w:r>
          </w:p>
          <w:p w14:paraId="2B8D3625" w14:textId="77777777" w:rsidR="00BC3860" w:rsidRPr="00103D6B" w:rsidRDefault="00BC3860" w:rsidP="00410565">
            <w:pPr>
              <w:ind w:right="140"/>
              <w:jc w:val="both"/>
            </w:pPr>
          </w:p>
          <w:p w14:paraId="6362EA41" w14:textId="63AAB00D" w:rsidR="00BC3860" w:rsidRPr="00103D6B" w:rsidRDefault="00BC3860" w:rsidP="00410565">
            <w:pPr>
              <w:ind w:right="140"/>
              <w:jc w:val="both"/>
            </w:pPr>
            <w:r w:rsidRPr="00103D6B">
              <w:t>Noteikumu projekt</w:t>
            </w:r>
            <w:r>
              <w:t>a normas</w:t>
            </w:r>
            <w:r w:rsidRPr="00103D6B">
              <w:t xml:space="preserve"> </w:t>
            </w:r>
            <w:r w:rsidR="00A211A9">
              <w:t>ne</w:t>
            </w:r>
            <w:r w:rsidRPr="00103D6B">
              <w:t>rada finansiālu  ietekmi</w:t>
            </w:r>
            <w:r w:rsidR="00D219F6">
              <w:t xml:space="preserve"> uz valsts, pašvaldību un atkritumu apsaimniekošanas komersantu budžetiem</w:t>
            </w:r>
            <w:r w:rsidR="00A211A9">
              <w:t>.</w:t>
            </w:r>
            <w:r w:rsidR="00D219F6">
              <w:t xml:space="preserve"> </w:t>
            </w:r>
            <w:r w:rsidRPr="00103D6B">
              <w:t xml:space="preserve"> </w:t>
            </w:r>
            <w:r w:rsidR="00A211A9">
              <w:t>J</w:t>
            </w:r>
            <w:r w:rsidRPr="00103D6B">
              <w:t>au  pašlaik atkritumu apsaimniekotājiem ir iespējams mazināt regulējuma finansiālo ietekmi, izmantojot Eiropas Savienības Kohēzijas fonda līdzekļus laika periodam no 2013.līdz 2020.gadam un no  2021.-2027.gadam.</w:t>
            </w:r>
            <w:r w:rsidR="00D219F6">
              <w:t xml:space="preserve"> Noteikumu projektā ir ietverts pārejas noteikums, ka </w:t>
            </w:r>
            <w:r w:rsidR="00D219F6" w:rsidRPr="00650692">
              <w:t>pašvaldība sadarbībā ar sadzīves atkritumu poligonu  apsaimniekotāju līdz 2022.gada 31.decembrim  izvērtē un veic grozījumus līgumos par sadzīves atkritumu apglabāšanu, kas noslēgti atbilstoši Atkritumu apsaimniekošanas likuma 21.panta pirmajai daļai, lai nodrošinātu pašvaldības administratīvajā teritorijā savākto sadzīves atkritumu apglabāšanu.</w:t>
            </w:r>
          </w:p>
        </w:tc>
      </w:tr>
      <w:tr w:rsidR="00BC3860" w:rsidRPr="00103D6B" w14:paraId="23F953A7" w14:textId="77777777" w:rsidTr="00410565">
        <w:tc>
          <w:tcPr>
            <w:tcW w:w="648" w:type="dxa"/>
          </w:tcPr>
          <w:p w14:paraId="72D820EC" w14:textId="77777777" w:rsidR="00BC3860" w:rsidRPr="00103D6B" w:rsidRDefault="00BC3860" w:rsidP="00410565">
            <w:pPr>
              <w:ind w:right="140"/>
              <w:jc w:val="center"/>
            </w:pPr>
            <w:r w:rsidRPr="00103D6B">
              <w:lastRenderedPageBreak/>
              <w:t>3.</w:t>
            </w:r>
          </w:p>
        </w:tc>
        <w:tc>
          <w:tcPr>
            <w:tcW w:w="2700" w:type="dxa"/>
          </w:tcPr>
          <w:p w14:paraId="6873E848" w14:textId="77777777" w:rsidR="00BC3860" w:rsidRPr="00103D6B" w:rsidRDefault="00BC3860" w:rsidP="00410565">
            <w:pPr>
              <w:ind w:right="140"/>
            </w:pPr>
            <w:r w:rsidRPr="00103D6B">
              <w:t>Administratīvo izmaksu monetārs novērtējums</w:t>
            </w:r>
          </w:p>
        </w:tc>
        <w:tc>
          <w:tcPr>
            <w:tcW w:w="5939" w:type="dxa"/>
          </w:tcPr>
          <w:p w14:paraId="41A2F762" w14:textId="62DE5A0C" w:rsidR="00BC3860" w:rsidRPr="00103D6B" w:rsidRDefault="00BC3860" w:rsidP="00410565">
            <w:pPr>
              <w:pStyle w:val="Title"/>
              <w:ind w:right="140"/>
              <w:jc w:val="both"/>
              <w:rPr>
                <w:b w:val="0"/>
                <w:bCs w:val="0"/>
              </w:rPr>
            </w:pPr>
            <w:r w:rsidRPr="00103D6B">
              <w:rPr>
                <w:b w:val="0"/>
                <w:bCs w:val="0"/>
              </w:rPr>
              <w:t>Administratīvās izmaksas nav iespējams monetāri novērtēt</w:t>
            </w:r>
            <w:r w:rsidR="00FE09A3">
              <w:rPr>
                <w:b w:val="0"/>
                <w:bCs w:val="0"/>
              </w:rPr>
              <w:t xml:space="preserve">, tā kā noteikumu projektā nav ietverti pasākumi, kuri rada administratīvas izmaksas. </w:t>
            </w:r>
          </w:p>
        </w:tc>
      </w:tr>
      <w:tr w:rsidR="00BC3860" w:rsidRPr="00103D6B" w14:paraId="69896DDB" w14:textId="77777777" w:rsidTr="00410565">
        <w:tc>
          <w:tcPr>
            <w:tcW w:w="648" w:type="dxa"/>
          </w:tcPr>
          <w:p w14:paraId="2F0AFA79" w14:textId="77777777" w:rsidR="00BC3860" w:rsidRPr="00103D6B" w:rsidRDefault="00BC3860" w:rsidP="00410565">
            <w:pPr>
              <w:ind w:right="140"/>
              <w:jc w:val="center"/>
            </w:pPr>
            <w:r w:rsidRPr="00103D6B">
              <w:t>4.</w:t>
            </w:r>
          </w:p>
        </w:tc>
        <w:tc>
          <w:tcPr>
            <w:tcW w:w="2700" w:type="dxa"/>
          </w:tcPr>
          <w:p w14:paraId="5337AE66" w14:textId="77777777" w:rsidR="00BC3860" w:rsidRPr="00103D6B" w:rsidRDefault="00BC3860" w:rsidP="00410565">
            <w:pPr>
              <w:ind w:right="140"/>
            </w:pPr>
            <w:r w:rsidRPr="00103D6B">
              <w:t>Atbilstības izmaksu monetārs novērtējums</w:t>
            </w:r>
          </w:p>
        </w:tc>
        <w:tc>
          <w:tcPr>
            <w:tcW w:w="5939" w:type="dxa"/>
          </w:tcPr>
          <w:p w14:paraId="1A2A72F9" w14:textId="77777777" w:rsidR="00BC3860" w:rsidRPr="00103D6B" w:rsidRDefault="00BC3860" w:rsidP="00410565">
            <w:pPr>
              <w:pStyle w:val="Title"/>
              <w:ind w:right="140"/>
              <w:jc w:val="both"/>
              <w:rPr>
                <w:b w:val="0"/>
                <w:bCs w:val="0"/>
              </w:rPr>
            </w:pPr>
            <w:r>
              <w:rPr>
                <w:b w:val="0"/>
                <w:bCs w:val="0"/>
              </w:rPr>
              <w:t>Noteikumu projekts šo jomu neskar.</w:t>
            </w:r>
          </w:p>
        </w:tc>
      </w:tr>
      <w:tr w:rsidR="00BC3860" w:rsidRPr="00103D6B" w14:paraId="2B816087" w14:textId="77777777" w:rsidTr="00410565">
        <w:tc>
          <w:tcPr>
            <w:tcW w:w="648" w:type="dxa"/>
          </w:tcPr>
          <w:p w14:paraId="58485BA0" w14:textId="77777777" w:rsidR="00BC3860" w:rsidRPr="00103D6B" w:rsidRDefault="00BC3860" w:rsidP="00410565">
            <w:pPr>
              <w:ind w:right="140"/>
              <w:jc w:val="center"/>
            </w:pPr>
            <w:r w:rsidRPr="00103D6B">
              <w:t>5.</w:t>
            </w:r>
          </w:p>
        </w:tc>
        <w:tc>
          <w:tcPr>
            <w:tcW w:w="2700" w:type="dxa"/>
          </w:tcPr>
          <w:p w14:paraId="6AEFE6A2" w14:textId="77777777" w:rsidR="00BC3860" w:rsidRPr="00103D6B" w:rsidRDefault="00BC3860" w:rsidP="00410565">
            <w:pPr>
              <w:ind w:right="140"/>
            </w:pPr>
            <w:r w:rsidRPr="00103D6B">
              <w:t>Cita informācija</w:t>
            </w:r>
          </w:p>
        </w:tc>
        <w:tc>
          <w:tcPr>
            <w:tcW w:w="5939" w:type="dxa"/>
          </w:tcPr>
          <w:p w14:paraId="106FC912" w14:textId="377F88D3" w:rsidR="00BC3860" w:rsidRPr="00103D6B" w:rsidRDefault="00BC3860" w:rsidP="00410565">
            <w:pPr>
              <w:pStyle w:val="Title"/>
              <w:ind w:right="140"/>
              <w:jc w:val="both"/>
              <w:rPr>
                <w:b w:val="0"/>
                <w:bCs w:val="0"/>
              </w:rPr>
            </w:pPr>
            <w:r w:rsidRPr="00103D6B">
              <w:rPr>
                <w:b w:val="0"/>
                <w:bCs w:val="0"/>
              </w:rPr>
              <w:t>Nav</w:t>
            </w:r>
            <w:r w:rsidR="00E160D6">
              <w:rPr>
                <w:b w:val="0"/>
                <w:bCs w:val="0"/>
              </w:rPr>
              <w:t>.</w:t>
            </w:r>
          </w:p>
        </w:tc>
      </w:tr>
    </w:tbl>
    <w:p w14:paraId="1D60DC3C" w14:textId="77777777" w:rsidR="00BC3860" w:rsidRPr="00103D6B" w:rsidRDefault="00BC3860" w:rsidP="00BC3860">
      <w:pPr>
        <w:ind w:right="140"/>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C3860" w:rsidRPr="00103D6B" w14:paraId="61DF964A" w14:textId="77777777" w:rsidTr="00A211A9">
        <w:tc>
          <w:tcPr>
            <w:tcW w:w="9101" w:type="dxa"/>
            <w:tcBorders>
              <w:top w:val="single" w:sz="4" w:space="0" w:color="auto"/>
              <w:left w:val="single" w:sz="4" w:space="0" w:color="auto"/>
              <w:bottom w:val="single" w:sz="4" w:space="0" w:color="auto"/>
              <w:right w:val="single" w:sz="4" w:space="0" w:color="auto"/>
            </w:tcBorders>
            <w:shd w:val="clear" w:color="auto" w:fill="auto"/>
            <w:hideMark/>
          </w:tcPr>
          <w:p w14:paraId="27ED9E53" w14:textId="77777777" w:rsidR="00BC3860" w:rsidRPr="00103D6B" w:rsidRDefault="00BC3860" w:rsidP="00410565">
            <w:pPr>
              <w:ind w:right="140"/>
              <w:jc w:val="center"/>
              <w:rPr>
                <w:b/>
              </w:rPr>
            </w:pPr>
            <w:r w:rsidRPr="00103D6B">
              <w:rPr>
                <w:b/>
              </w:rPr>
              <w:t>III. Tiesību akta projekta ietekme uz valsts budžetu un pašvaldību budžetiem</w:t>
            </w:r>
          </w:p>
        </w:tc>
      </w:tr>
      <w:tr w:rsidR="00BC3860" w:rsidRPr="00103D6B" w14:paraId="578E60CE" w14:textId="77777777" w:rsidTr="00A211A9">
        <w:tc>
          <w:tcPr>
            <w:tcW w:w="9101" w:type="dxa"/>
            <w:tcBorders>
              <w:top w:val="single" w:sz="4" w:space="0" w:color="auto"/>
              <w:left w:val="single" w:sz="4" w:space="0" w:color="auto"/>
              <w:bottom w:val="single" w:sz="4" w:space="0" w:color="auto"/>
              <w:right w:val="single" w:sz="4" w:space="0" w:color="auto"/>
            </w:tcBorders>
            <w:shd w:val="clear" w:color="auto" w:fill="auto"/>
            <w:hideMark/>
          </w:tcPr>
          <w:p w14:paraId="5995814E" w14:textId="77777777" w:rsidR="00BC3860" w:rsidRPr="00103D6B" w:rsidRDefault="00BC3860" w:rsidP="00410565">
            <w:pPr>
              <w:ind w:right="140"/>
              <w:jc w:val="center"/>
            </w:pPr>
            <w:r w:rsidRPr="00103D6B">
              <w:t>Noteikumu projekts šo jomu neskar.</w:t>
            </w:r>
          </w:p>
        </w:tc>
      </w:tr>
    </w:tbl>
    <w:p w14:paraId="0C24A604" w14:textId="77777777" w:rsidR="00BC3860" w:rsidRPr="00103D6B" w:rsidRDefault="00BC3860" w:rsidP="00BC3860">
      <w:pPr>
        <w:ind w:right="140"/>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5811"/>
      </w:tblGrid>
      <w:tr w:rsidR="00BC3860" w:rsidRPr="00103D6B" w14:paraId="5A50C63E" w14:textId="77777777" w:rsidTr="00410565">
        <w:tc>
          <w:tcPr>
            <w:tcW w:w="92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19F7F" w14:textId="77777777" w:rsidR="00BC3860" w:rsidRPr="00103D6B" w:rsidRDefault="00BC3860" w:rsidP="00410565">
            <w:pPr>
              <w:ind w:right="140"/>
              <w:jc w:val="center"/>
              <w:rPr>
                <w:b/>
              </w:rPr>
            </w:pPr>
            <w:r w:rsidRPr="00103D6B">
              <w:rPr>
                <w:b/>
              </w:rPr>
              <w:t>IV. Tiesību akta projekta ietekme uz spēkā esošo tiesību normu sistēmu</w:t>
            </w:r>
          </w:p>
        </w:tc>
      </w:tr>
      <w:tr w:rsidR="00BC3860" w:rsidRPr="00103D6B" w14:paraId="5D0D6CD6" w14:textId="77777777" w:rsidTr="00410565">
        <w:trPr>
          <w:trHeight w:val="285"/>
        </w:trPr>
        <w:tc>
          <w:tcPr>
            <w:tcW w:w="709" w:type="dxa"/>
            <w:tcBorders>
              <w:top w:val="single" w:sz="4" w:space="0" w:color="auto"/>
              <w:left w:val="single" w:sz="4" w:space="0" w:color="auto"/>
              <w:right w:val="single" w:sz="4" w:space="0" w:color="auto"/>
            </w:tcBorders>
            <w:shd w:val="clear" w:color="auto" w:fill="auto"/>
          </w:tcPr>
          <w:p w14:paraId="67D22325" w14:textId="77777777" w:rsidR="00BC3860" w:rsidRPr="00103D6B" w:rsidDel="00195728" w:rsidRDefault="00BC3860" w:rsidP="00410565">
            <w:pPr>
              <w:ind w:right="140"/>
              <w:jc w:val="center"/>
            </w:pPr>
            <w:r w:rsidRPr="00103D6B">
              <w:t>1.</w:t>
            </w:r>
          </w:p>
        </w:tc>
        <w:tc>
          <w:tcPr>
            <w:tcW w:w="2694" w:type="dxa"/>
            <w:tcBorders>
              <w:top w:val="single" w:sz="4" w:space="0" w:color="auto"/>
              <w:left w:val="single" w:sz="4" w:space="0" w:color="auto"/>
              <w:right w:val="single" w:sz="4" w:space="0" w:color="auto"/>
            </w:tcBorders>
            <w:shd w:val="clear" w:color="auto" w:fill="auto"/>
          </w:tcPr>
          <w:p w14:paraId="039B2E7E" w14:textId="77777777" w:rsidR="00BC3860" w:rsidRPr="00103D6B" w:rsidDel="00195728" w:rsidRDefault="00BC3860" w:rsidP="00410565">
            <w:pPr>
              <w:ind w:right="140"/>
              <w:jc w:val="center"/>
            </w:pPr>
            <w:r w:rsidRPr="00103D6B">
              <w:t>Saistītie tiesību aktu projekti</w:t>
            </w:r>
          </w:p>
        </w:tc>
        <w:tc>
          <w:tcPr>
            <w:tcW w:w="5811" w:type="dxa"/>
            <w:tcBorders>
              <w:top w:val="single" w:sz="4" w:space="0" w:color="auto"/>
              <w:left w:val="single" w:sz="4" w:space="0" w:color="auto"/>
              <w:right w:val="single" w:sz="4" w:space="0" w:color="auto"/>
            </w:tcBorders>
            <w:shd w:val="clear" w:color="auto" w:fill="auto"/>
          </w:tcPr>
          <w:p w14:paraId="73534866" w14:textId="77777777" w:rsidR="00BC3860" w:rsidRPr="00103D6B" w:rsidDel="00195728" w:rsidRDefault="00BC3860" w:rsidP="00410565">
            <w:pPr>
              <w:ind w:right="140"/>
              <w:jc w:val="both"/>
            </w:pPr>
            <w:r>
              <w:t>Noteikumu projekts šo jomu neskar.</w:t>
            </w:r>
          </w:p>
        </w:tc>
      </w:tr>
      <w:tr w:rsidR="00BC3860" w:rsidRPr="00103D6B" w14:paraId="730DB0CF" w14:textId="77777777" w:rsidTr="00410565">
        <w:trPr>
          <w:trHeight w:val="285"/>
        </w:trPr>
        <w:tc>
          <w:tcPr>
            <w:tcW w:w="709" w:type="dxa"/>
            <w:tcBorders>
              <w:top w:val="single" w:sz="4" w:space="0" w:color="auto"/>
              <w:left w:val="single" w:sz="4" w:space="0" w:color="auto"/>
              <w:right w:val="single" w:sz="4" w:space="0" w:color="auto"/>
            </w:tcBorders>
            <w:shd w:val="clear" w:color="auto" w:fill="auto"/>
          </w:tcPr>
          <w:p w14:paraId="67152A47" w14:textId="77777777" w:rsidR="00BC3860" w:rsidRPr="00103D6B" w:rsidDel="00195728" w:rsidRDefault="00BC3860" w:rsidP="00410565">
            <w:pPr>
              <w:ind w:right="140"/>
              <w:jc w:val="center"/>
            </w:pPr>
            <w:r w:rsidRPr="00103D6B">
              <w:t>2.</w:t>
            </w:r>
          </w:p>
        </w:tc>
        <w:tc>
          <w:tcPr>
            <w:tcW w:w="2694" w:type="dxa"/>
            <w:tcBorders>
              <w:top w:val="single" w:sz="4" w:space="0" w:color="auto"/>
              <w:left w:val="single" w:sz="4" w:space="0" w:color="auto"/>
              <w:right w:val="single" w:sz="4" w:space="0" w:color="auto"/>
            </w:tcBorders>
            <w:shd w:val="clear" w:color="auto" w:fill="auto"/>
          </w:tcPr>
          <w:p w14:paraId="3203CC25" w14:textId="77777777" w:rsidR="00BC3860" w:rsidRPr="00103D6B" w:rsidDel="00195728" w:rsidRDefault="00BC3860" w:rsidP="00410565">
            <w:pPr>
              <w:ind w:right="140"/>
              <w:jc w:val="center"/>
            </w:pPr>
            <w:r w:rsidRPr="00103D6B">
              <w:t>Atbildīgā institūcija</w:t>
            </w:r>
          </w:p>
        </w:tc>
        <w:tc>
          <w:tcPr>
            <w:tcW w:w="5811" w:type="dxa"/>
            <w:tcBorders>
              <w:top w:val="single" w:sz="4" w:space="0" w:color="auto"/>
              <w:left w:val="single" w:sz="4" w:space="0" w:color="auto"/>
              <w:right w:val="single" w:sz="4" w:space="0" w:color="auto"/>
            </w:tcBorders>
            <w:shd w:val="clear" w:color="auto" w:fill="auto"/>
          </w:tcPr>
          <w:p w14:paraId="56BB85ED" w14:textId="32B0D4F4" w:rsidR="00BC3860" w:rsidRPr="00103D6B" w:rsidDel="00195728" w:rsidRDefault="00BC3860" w:rsidP="00410565">
            <w:pPr>
              <w:ind w:right="140"/>
            </w:pPr>
            <w:r w:rsidRPr="00103D6B">
              <w:t>VARAM</w:t>
            </w:r>
            <w:r w:rsidR="00E160D6">
              <w:t>.</w:t>
            </w:r>
          </w:p>
        </w:tc>
      </w:tr>
      <w:tr w:rsidR="00BC3860" w:rsidRPr="00103D6B" w14:paraId="79E1029E" w14:textId="77777777" w:rsidTr="00410565">
        <w:trPr>
          <w:trHeight w:val="285"/>
        </w:trPr>
        <w:tc>
          <w:tcPr>
            <w:tcW w:w="709" w:type="dxa"/>
            <w:tcBorders>
              <w:top w:val="single" w:sz="4" w:space="0" w:color="auto"/>
              <w:left w:val="single" w:sz="4" w:space="0" w:color="auto"/>
              <w:right w:val="single" w:sz="4" w:space="0" w:color="auto"/>
            </w:tcBorders>
            <w:shd w:val="clear" w:color="auto" w:fill="auto"/>
          </w:tcPr>
          <w:p w14:paraId="6F44DBA0" w14:textId="77777777" w:rsidR="00BC3860" w:rsidRPr="00103D6B" w:rsidDel="00195728" w:rsidRDefault="00BC3860" w:rsidP="00410565">
            <w:pPr>
              <w:ind w:right="140"/>
              <w:jc w:val="center"/>
            </w:pPr>
            <w:r w:rsidRPr="00103D6B">
              <w:t>3.</w:t>
            </w:r>
          </w:p>
        </w:tc>
        <w:tc>
          <w:tcPr>
            <w:tcW w:w="2694" w:type="dxa"/>
            <w:tcBorders>
              <w:top w:val="single" w:sz="4" w:space="0" w:color="auto"/>
              <w:left w:val="single" w:sz="4" w:space="0" w:color="auto"/>
              <w:right w:val="single" w:sz="4" w:space="0" w:color="auto"/>
            </w:tcBorders>
            <w:shd w:val="clear" w:color="auto" w:fill="auto"/>
          </w:tcPr>
          <w:p w14:paraId="3FAA6EA7" w14:textId="77777777" w:rsidR="00BC3860" w:rsidRPr="00103D6B" w:rsidDel="00195728" w:rsidRDefault="00BC3860" w:rsidP="00410565">
            <w:pPr>
              <w:ind w:right="140"/>
              <w:jc w:val="center"/>
            </w:pPr>
            <w:r w:rsidRPr="00103D6B">
              <w:t>Cita informācija</w:t>
            </w:r>
          </w:p>
        </w:tc>
        <w:tc>
          <w:tcPr>
            <w:tcW w:w="5811" w:type="dxa"/>
            <w:tcBorders>
              <w:top w:val="single" w:sz="4" w:space="0" w:color="auto"/>
              <w:left w:val="single" w:sz="4" w:space="0" w:color="auto"/>
              <w:right w:val="single" w:sz="4" w:space="0" w:color="auto"/>
            </w:tcBorders>
            <w:shd w:val="clear" w:color="auto" w:fill="auto"/>
          </w:tcPr>
          <w:p w14:paraId="0863DB4E" w14:textId="44E6675D" w:rsidR="00BC3860" w:rsidRPr="00103D6B" w:rsidDel="00195728" w:rsidRDefault="00BC3860" w:rsidP="00410565">
            <w:pPr>
              <w:ind w:right="140"/>
            </w:pPr>
            <w:r w:rsidRPr="00103D6B">
              <w:t>Nav</w:t>
            </w:r>
            <w:r w:rsidR="00E160D6">
              <w:t>.</w:t>
            </w:r>
          </w:p>
        </w:tc>
      </w:tr>
      <w:tr w:rsidR="00BC3860" w:rsidRPr="00103D6B" w14:paraId="37F00931" w14:textId="77777777" w:rsidTr="00410565">
        <w:tc>
          <w:tcPr>
            <w:tcW w:w="92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2E6BF2" w14:textId="77777777" w:rsidR="00BC3860" w:rsidRPr="00103D6B" w:rsidRDefault="00BC3860" w:rsidP="00410565">
            <w:pPr>
              <w:ind w:right="140"/>
              <w:jc w:val="center"/>
            </w:pPr>
          </w:p>
        </w:tc>
      </w:tr>
    </w:tbl>
    <w:p w14:paraId="0E9D7452" w14:textId="77777777" w:rsidR="00BC3860" w:rsidRPr="00103D6B" w:rsidRDefault="00BC3860" w:rsidP="00BC3860">
      <w:pPr>
        <w:ind w:right="140"/>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BC3860" w:rsidRPr="00103D6B" w14:paraId="6DE2F507" w14:textId="77777777" w:rsidTr="0074687F">
        <w:trPr>
          <w:jc w:val="center"/>
        </w:trPr>
        <w:tc>
          <w:tcPr>
            <w:tcW w:w="9209" w:type="dxa"/>
          </w:tcPr>
          <w:p w14:paraId="49842742" w14:textId="77777777" w:rsidR="00BC3860" w:rsidRPr="00103D6B" w:rsidRDefault="00BC3860" w:rsidP="00410565">
            <w:pPr>
              <w:pStyle w:val="naisnod"/>
              <w:spacing w:before="0" w:after="0"/>
              <w:ind w:right="140"/>
            </w:pPr>
            <w:r w:rsidRPr="00103D6B">
              <w:t>V. Tiesību akta projekta atbilstība Latvijas Republikas starptautiskajām saistībām</w:t>
            </w:r>
          </w:p>
        </w:tc>
      </w:tr>
      <w:tr w:rsidR="0074687F" w:rsidRPr="00103D6B" w14:paraId="4634B95C" w14:textId="77777777" w:rsidTr="0074687F">
        <w:trPr>
          <w:jc w:val="center"/>
        </w:trPr>
        <w:tc>
          <w:tcPr>
            <w:tcW w:w="9209" w:type="dxa"/>
          </w:tcPr>
          <w:p w14:paraId="5A1DD9AD" w14:textId="794F86C3" w:rsidR="0074687F" w:rsidRPr="00D219F6" w:rsidRDefault="0074687F" w:rsidP="00410565">
            <w:pPr>
              <w:pStyle w:val="naisnod"/>
              <w:spacing w:before="0" w:after="0"/>
              <w:ind w:right="140"/>
              <w:rPr>
                <w:b w:val="0"/>
                <w:bCs w:val="0"/>
              </w:rPr>
            </w:pPr>
            <w:r w:rsidRPr="00D219F6">
              <w:rPr>
                <w:b w:val="0"/>
                <w:bCs w:val="0"/>
              </w:rPr>
              <w:t>Noteikumu projekts šo jomu neskar.</w:t>
            </w:r>
          </w:p>
        </w:tc>
      </w:tr>
    </w:tbl>
    <w:p w14:paraId="40F900F1" w14:textId="77777777" w:rsidR="00BC3860" w:rsidRPr="00103D6B" w:rsidRDefault="00BC3860" w:rsidP="00BC3860">
      <w:pPr>
        <w:pStyle w:val="naisf"/>
        <w:spacing w:before="0" w:after="0"/>
        <w:ind w:right="140" w:firstLine="0"/>
      </w:pPr>
    </w:p>
    <w:p w14:paraId="1871D05E" w14:textId="77777777" w:rsidR="00BC3860" w:rsidRPr="00103D6B" w:rsidRDefault="00BC3860" w:rsidP="00BC3860">
      <w:pPr>
        <w:ind w:right="140"/>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2"/>
        <w:gridCol w:w="3115"/>
        <w:gridCol w:w="5744"/>
      </w:tblGrid>
      <w:tr w:rsidR="00BC3860" w:rsidRPr="00103D6B" w14:paraId="5995F346" w14:textId="77777777" w:rsidTr="00A211A9">
        <w:trPr>
          <w:jc w:val="center"/>
        </w:trPr>
        <w:tc>
          <w:tcPr>
            <w:tcW w:w="9351" w:type="dxa"/>
            <w:gridSpan w:val="3"/>
            <w:tcMar>
              <w:top w:w="57" w:type="dxa"/>
              <w:left w:w="57" w:type="dxa"/>
              <w:bottom w:w="57" w:type="dxa"/>
              <w:right w:w="57" w:type="dxa"/>
            </w:tcMar>
          </w:tcPr>
          <w:p w14:paraId="615373FF" w14:textId="77777777" w:rsidR="00BC3860" w:rsidRPr="00103D6B" w:rsidRDefault="00BC3860" w:rsidP="00410565">
            <w:pPr>
              <w:pStyle w:val="naisnod"/>
              <w:spacing w:before="0" w:after="0"/>
              <w:ind w:left="57" w:right="140"/>
            </w:pPr>
            <w:r w:rsidRPr="00103D6B">
              <w:t>VI. Sabiedrības līdzdalība un komunikācijas aktivitātes</w:t>
            </w:r>
          </w:p>
        </w:tc>
      </w:tr>
      <w:tr w:rsidR="00BC3860" w:rsidRPr="00103D6B" w14:paraId="44B36D32" w14:textId="77777777" w:rsidTr="00A211A9">
        <w:trPr>
          <w:trHeight w:val="16"/>
          <w:jc w:val="center"/>
        </w:trPr>
        <w:tc>
          <w:tcPr>
            <w:tcW w:w="492" w:type="dxa"/>
            <w:tcMar>
              <w:top w:w="57" w:type="dxa"/>
              <w:left w:w="57" w:type="dxa"/>
              <w:bottom w:w="57" w:type="dxa"/>
              <w:right w:w="57" w:type="dxa"/>
            </w:tcMar>
          </w:tcPr>
          <w:p w14:paraId="68A2A503" w14:textId="77777777" w:rsidR="00BC3860" w:rsidRPr="00103D6B" w:rsidRDefault="00BC3860" w:rsidP="00410565">
            <w:pPr>
              <w:pStyle w:val="naiskr"/>
              <w:spacing w:before="0" w:after="0"/>
              <w:ind w:left="57" w:right="140"/>
              <w:jc w:val="center"/>
              <w:rPr>
                <w:bCs/>
              </w:rPr>
            </w:pPr>
            <w:r w:rsidRPr="00103D6B">
              <w:rPr>
                <w:bCs/>
              </w:rPr>
              <w:t>1.</w:t>
            </w:r>
          </w:p>
        </w:tc>
        <w:tc>
          <w:tcPr>
            <w:tcW w:w="3115" w:type="dxa"/>
            <w:tcMar>
              <w:top w:w="57" w:type="dxa"/>
              <w:left w:w="57" w:type="dxa"/>
              <w:bottom w:w="57" w:type="dxa"/>
              <w:right w:w="57" w:type="dxa"/>
            </w:tcMar>
          </w:tcPr>
          <w:p w14:paraId="42A14319" w14:textId="77777777" w:rsidR="00BC3860" w:rsidRPr="00103D6B" w:rsidRDefault="00BC3860" w:rsidP="00410565">
            <w:pPr>
              <w:pStyle w:val="naiskr"/>
              <w:tabs>
                <w:tab w:val="left" w:pos="170"/>
              </w:tabs>
              <w:spacing w:before="0" w:after="0"/>
              <w:ind w:left="57" w:right="140"/>
            </w:pPr>
            <w:r w:rsidRPr="00103D6B">
              <w:t xml:space="preserve">Plānotās sabiedrības līdzdalības un komunikācijas aktivitātes saistībā ar projektu </w:t>
            </w:r>
          </w:p>
        </w:tc>
        <w:tc>
          <w:tcPr>
            <w:tcW w:w="5744" w:type="dxa"/>
            <w:tcMar>
              <w:top w:w="57" w:type="dxa"/>
              <w:left w:w="57" w:type="dxa"/>
              <w:bottom w:w="57" w:type="dxa"/>
              <w:right w:w="57" w:type="dxa"/>
            </w:tcMar>
          </w:tcPr>
          <w:p w14:paraId="3F97FC36" w14:textId="4AC0FCA6" w:rsidR="00BC3860" w:rsidRPr="00103D6B" w:rsidRDefault="00BC3860" w:rsidP="00D219F6">
            <w:pPr>
              <w:pStyle w:val="naisf"/>
              <w:spacing w:before="0" w:after="0"/>
              <w:ind w:left="57" w:right="140" w:firstLine="0"/>
            </w:pPr>
            <w:r w:rsidRPr="00103D6B">
              <w:t>Saskaņā ar Ministru kabineta 2009. gada 25. augusta noteikumu Nr. 970 „Sabiedrības līdzdalības kārtība attīstības plānošanas procesā” 7.4.</w:t>
            </w:r>
            <w:r w:rsidRPr="00103D6B">
              <w:rPr>
                <w:vertAlign w:val="superscript"/>
              </w:rPr>
              <w:t>1</w:t>
            </w:r>
            <w:r w:rsidRPr="00103D6B">
              <w:t xml:space="preserve"> apakšpunktu sabiedrības pārstāvji ir aicināti līdzdarboties, rakstiski sniedzot viedokli par noteikumu projektu tā izstrādes stadijā VARAM tīmekļvietnē </w:t>
            </w:r>
            <w:hyperlink r:id="rId10" w:history="1">
              <w:r w:rsidR="00E160D6" w:rsidRPr="00E95D55">
                <w:rPr>
                  <w:rStyle w:val="Hyperlink"/>
                </w:rPr>
                <w:t>www.varam.gov.lv</w:t>
              </w:r>
            </w:hyperlink>
            <w:r w:rsidR="00BB589C">
              <w:t xml:space="preserve"> sadaļā “Sabiedrības līdzdalība”</w:t>
            </w:r>
            <w:r w:rsidR="00E160D6">
              <w:t xml:space="preserve">. </w:t>
            </w:r>
            <w:r w:rsidRPr="00103D6B">
              <w:t xml:space="preserve"> </w:t>
            </w:r>
            <w:r w:rsidR="00E160D6">
              <w:t xml:space="preserve"> </w:t>
            </w:r>
          </w:p>
        </w:tc>
      </w:tr>
      <w:tr w:rsidR="00BC3860" w:rsidRPr="00103D6B" w14:paraId="63804FC5" w14:textId="77777777" w:rsidTr="00A211A9">
        <w:trPr>
          <w:trHeight w:val="339"/>
          <w:jc w:val="center"/>
        </w:trPr>
        <w:tc>
          <w:tcPr>
            <w:tcW w:w="492" w:type="dxa"/>
            <w:tcMar>
              <w:top w:w="57" w:type="dxa"/>
              <w:left w:w="57" w:type="dxa"/>
              <w:bottom w:w="57" w:type="dxa"/>
              <w:right w:w="57" w:type="dxa"/>
            </w:tcMar>
          </w:tcPr>
          <w:p w14:paraId="3270FF3E" w14:textId="77777777" w:rsidR="00BC3860" w:rsidRPr="00103D6B" w:rsidRDefault="00BC3860" w:rsidP="00410565">
            <w:pPr>
              <w:pStyle w:val="naiskr"/>
              <w:spacing w:before="0" w:after="0"/>
              <w:ind w:left="57" w:right="140"/>
              <w:jc w:val="center"/>
              <w:rPr>
                <w:bCs/>
              </w:rPr>
            </w:pPr>
            <w:r w:rsidRPr="00103D6B">
              <w:rPr>
                <w:bCs/>
              </w:rPr>
              <w:t>2.</w:t>
            </w:r>
          </w:p>
        </w:tc>
        <w:tc>
          <w:tcPr>
            <w:tcW w:w="3115" w:type="dxa"/>
            <w:tcMar>
              <w:top w:w="57" w:type="dxa"/>
              <w:left w:w="57" w:type="dxa"/>
              <w:bottom w:w="57" w:type="dxa"/>
              <w:right w:w="57" w:type="dxa"/>
            </w:tcMar>
          </w:tcPr>
          <w:p w14:paraId="33FCAC77" w14:textId="77777777" w:rsidR="00BC3860" w:rsidRPr="00103D6B" w:rsidRDefault="00BC3860" w:rsidP="00410565">
            <w:pPr>
              <w:pStyle w:val="naiskr"/>
              <w:spacing w:before="0" w:after="0"/>
              <w:ind w:left="57" w:right="140"/>
            </w:pPr>
            <w:r w:rsidRPr="00103D6B">
              <w:t xml:space="preserve">Sabiedrības līdzdalība projekta izstrādē </w:t>
            </w:r>
          </w:p>
        </w:tc>
        <w:tc>
          <w:tcPr>
            <w:tcW w:w="5744" w:type="dxa"/>
            <w:tcMar>
              <w:top w:w="57" w:type="dxa"/>
              <w:left w:w="57" w:type="dxa"/>
              <w:bottom w:w="57" w:type="dxa"/>
              <w:right w:w="57" w:type="dxa"/>
            </w:tcMar>
          </w:tcPr>
          <w:p w14:paraId="7F711AE2" w14:textId="41BB2231" w:rsidR="00BC3860" w:rsidRDefault="00BC3860" w:rsidP="00410565">
            <w:pPr>
              <w:pStyle w:val="naiskr"/>
              <w:spacing w:before="0" w:after="0"/>
              <w:ind w:right="140"/>
              <w:jc w:val="both"/>
              <w:rPr>
                <w:iCs/>
              </w:rPr>
            </w:pPr>
            <w:r w:rsidRPr="00103D6B">
              <w:rPr>
                <w:iCs/>
              </w:rPr>
              <w:t xml:space="preserve">Noteikumu projekts un tā sākotnējās ietekmes novērtējuma ziņojums (anotācija) </w:t>
            </w:r>
            <w:r w:rsidRPr="00A211A9">
              <w:rPr>
                <w:iCs/>
                <w:highlight w:val="yellow"/>
              </w:rPr>
              <w:t>202</w:t>
            </w:r>
            <w:r w:rsidR="0074687F" w:rsidRPr="00A211A9">
              <w:rPr>
                <w:iCs/>
                <w:highlight w:val="yellow"/>
              </w:rPr>
              <w:t>1</w:t>
            </w:r>
            <w:r w:rsidRPr="00A211A9">
              <w:rPr>
                <w:iCs/>
                <w:highlight w:val="yellow"/>
              </w:rPr>
              <w:t>.gada</w:t>
            </w:r>
            <w:r w:rsidR="00BB589C">
              <w:rPr>
                <w:iCs/>
                <w:highlight w:val="yellow"/>
              </w:rPr>
              <w:t xml:space="preserve"> 6.aprīlī</w:t>
            </w:r>
            <w:r w:rsidRPr="00103D6B">
              <w:rPr>
                <w:iCs/>
              </w:rPr>
              <w:t xml:space="preserve"> tika publicēta VARAM tīmekļvietnes sadaļā “Sabiedrības līdzdalība”</w:t>
            </w:r>
            <w:r w:rsidRPr="00103D6B">
              <w:rPr>
                <w:rStyle w:val="Vresenkurs"/>
              </w:rPr>
              <w:t xml:space="preserve"> </w:t>
            </w:r>
            <w:r w:rsidRPr="00103D6B">
              <w:rPr>
                <w:rStyle w:val="Vresenkurs"/>
              </w:rPr>
              <w:footnoteReference w:id="6"/>
            </w:r>
            <w:r w:rsidRPr="00103D6B">
              <w:rPr>
                <w:iCs/>
              </w:rPr>
              <w:t xml:space="preserve">, un Valsts kancelejas tīmekļvietnē: </w:t>
            </w:r>
            <w:hyperlink r:id="rId11" w:history="1">
              <w:r w:rsidRPr="00103D6B">
                <w:rPr>
                  <w:rStyle w:val="Hyperlink"/>
                  <w:iCs/>
                  <w:color w:val="auto"/>
                </w:rPr>
                <w:t>https://mk.gov.lv/lv/content/sabiedribas-lidzdaliba</w:t>
              </w:r>
            </w:hyperlink>
            <w:r w:rsidRPr="00103D6B">
              <w:rPr>
                <w:iCs/>
              </w:rPr>
              <w:t>, aicinot sabiedrības pārstāvjus rakstiski sniegt viedokli par Noteikumu projektu tā izstrādes stadijā – nosūtot to elektroniski.</w:t>
            </w:r>
          </w:p>
          <w:p w14:paraId="31213F26" w14:textId="248C3C66" w:rsidR="00BC3860" w:rsidRPr="00103D6B" w:rsidRDefault="00BC3860" w:rsidP="00410565">
            <w:pPr>
              <w:pStyle w:val="naiskr"/>
              <w:spacing w:before="0" w:after="0"/>
              <w:ind w:right="140"/>
              <w:jc w:val="both"/>
              <w:rPr>
                <w:iCs/>
              </w:rPr>
            </w:pPr>
          </w:p>
        </w:tc>
      </w:tr>
      <w:tr w:rsidR="00BC3860" w:rsidRPr="00103D6B" w14:paraId="06D7A0F5" w14:textId="77777777" w:rsidTr="00A211A9">
        <w:trPr>
          <w:trHeight w:val="375"/>
          <w:jc w:val="center"/>
        </w:trPr>
        <w:tc>
          <w:tcPr>
            <w:tcW w:w="492" w:type="dxa"/>
            <w:tcMar>
              <w:top w:w="57" w:type="dxa"/>
              <w:left w:w="57" w:type="dxa"/>
              <w:bottom w:w="57" w:type="dxa"/>
              <w:right w:w="57" w:type="dxa"/>
            </w:tcMar>
          </w:tcPr>
          <w:p w14:paraId="4C8136E5" w14:textId="77777777" w:rsidR="00BC3860" w:rsidRPr="00103D6B" w:rsidRDefault="00BC3860" w:rsidP="00410565">
            <w:pPr>
              <w:pStyle w:val="naiskr"/>
              <w:spacing w:before="0" w:after="0"/>
              <w:ind w:left="57" w:right="140"/>
              <w:jc w:val="center"/>
              <w:rPr>
                <w:bCs/>
              </w:rPr>
            </w:pPr>
            <w:r w:rsidRPr="00103D6B">
              <w:rPr>
                <w:bCs/>
              </w:rPr>
              <w:t>3.</w:t>
            </w:r>
          </w:p>
        </w:tc>
        <w:tc>
          <w:tcPr>
            <w:tcW w:w="3115" w:type="dxa"/>
            <w:tcMar>
              <w:top w:w="57" w:type="dxa"/>
              <w:left w:w="57" w:type="dxa"/>
              <w:bottom w:w="57" w:type="dxa"/>
              <w:right w:w="57" w:type="dxa"/>
            </w:tcMar>
          </w:tcPr>
          <w:p w14:paraId="1423D279" w14:textId="77777777" w:rsidR="00BC3860" w:rsidRPr="00103D6B" w:rsidRDefault="00BC3860" w:rsidP="00410565">
            <w:pPr>
              <w:pStyle w:val="naiskr"/>
              <w:spacing w:before="0" w:after="0"/>
              <w:ind w:left="57" w:right="140"/>
            </w:pPr>
            <w:r w:rsidRPr="00103D6B">
              <w:t xml:space="preserve">Sabiedrības līdzdalības rezultāti </w:t>
            </w:r>
          </w:p>
        </w:tc>
        <w:tc>
          <w:tcPr>
            <w:tcW w:w="5744" w:type="dxa"/>
            <w:tcMar>
              <w:top w:w="57" w:type="dxa"/>
              <w:left w:w="57" w:type="dxa"/>
              <w:bottom w:w="57" w:type="dxa"/>
              <w:right w:w="57" w:type="dxa"/>
            </w:tcMar>
          </w:tcPr>
          <w:p w14:paraId="3BA367F3" w14:textId="2D771D25" w:rsidR="00BC3860" w:rsidRPr="00103D6B" w:rsidRDefault="0074687F" w:rsidP="00410565">
            <w:pPr>
              <w:pStyle w:val="naiskr"/>
              <w:spacing w:before="0" w:after="0"/>
              <w:ind w:right="140"/>
              <w:jc w:val="both"/>
            </w:pPr>
            <w:r>
              <w:rPr>
                <w:b/>
                <w:bCs/>
                <w:szCs w:val="22"/>
              </w:rPr>
              <w:t xml:space="preserve">Sadaļa tiks aizpildīta pēc sabiedrības viedokļu saņemšanas. </w:t>
            </w:r>
          </w:p>
        </w:tc>
      </w:tr>
      <w:tr w:rsidR="00BC3860" w:rsidRPr="00103D6B" w14:paraId="5BE05773" w14:textId="77777777" w:rsidTr="00A211A9">
        <w:trPr>
          <w:trHeight w:val="476"/>
          <w:jc w:val="center"/>
        </w:trPr>
        <w:tc>
          <w:tcPr>
            <w:tcW w:w="492" w:type="dxa"/>
            <w:tcMar>
              <w:top w:w="57" w:type="dxa"/>
              <w:left w:w="57" w:type="dxa"/>
              <w:bottom w:w="57" w:type="dxa"/>
              <w:right w:w="57" w:type="dxa"/>
            </w:tcMar>
          </w:tcPr>
          <w:p w14:paraId="19469C04" w14:textId="77777777" w:rsidR="00BC3860" w:rsidRPr="00103D6B" w:rsidRDefault="00BC3860" w:rsidP="00410565">
            <w:pPr>
              <w:pStyle w:val="naiskr"/>
              <w:spacing w:before="0" w:after="0"/>
              <w:ind w:left="57" w:right="140"/>
              <w:jc w:val="center"/>
              <w:rPr>
                <w:bCs/>
              </w:rPr>
            </w:pPr>
            <w:r w:rsidRPr="00103D6B">
              <w:rPr>
                <w:bCs/>
              </w:rPr>
              <w:t>4.</w:t>
            </w:r>
          </w:p>
        </w:tc>
        <w:tc>
          <w:tcPr>
            <w:tcW w:w="3115" w:type="dxa"/>
            <w:tcMar>
              <w:top w:w="57" w:type="dxa"/>
              <w:left w:w="57" w:type="dxa"/>
              <w:bottom w:w="57" w:type="dxa"/>
              <w:right w:w="57" w:type="dxa"/>
            </w:tcMar>
          </w:tcPr>
          <w:p w14:paraId="44DC0418" w14:textId="77777777" w:rsidR="00BC3860" w:rsidRPr="00103D6B" w:rsidRDefault="00BC3860" w:rsidP="00410565">
            <w:pPr>
              <w:pStyle w:val="naiskr"/>
              <w:spacing w:before="0" w:after="0"/>
              <w:ind w:left="57" w:right="140"/>
            </w:pPr>
            <w:r w:rsidRPr="00103D6B">
              <w:t>Cita informācija</w:t>
            </w:r>
          </w:p>
        </w:tc>
        <w:tc>
          <w:tcPr>
            <w:tcW w:w="5744" w:type="dxa"/>
            <w:tcMar>
              <w:top w:w="57" w:type="dxa"/>
              <w:left w:w="57" w:type="dxa"/>
              <w:bottom w:w="57" w:type="dxa"/>
              <w:right w:w="57" w:type="dxa"/>
            </w:tcMar>
          </w:tcPr>
          <w:p w14:paraId="4795E0DD" w14:textId="00B512CA" w:rsidR="00BC3860" w:rsidRPr="00103D6B" w:rsidRDefault="00BC3860" w:rsidP="00410565">
            <w:pPr>
              <w:pStyle w:val="naiskr"/>
              <w:spacing w:before="0" w:after="0"/>
              <w:ind w:right="140"/>
              <w:jc w:val="both"/>
            </w:pPr>
            <w:r w:rsidRPr="00103D6B">
              <w:t>Nav</w:t>
            </w:r>
            <w:r w:rsidR="00E160D6">
              <w:t>.</w:t>
            </w:r>
          </w:p>
        </w:tc>
      </w:tr>
    </w:tbl>
    <w:p w14:paraId="4887B676" w14:textId="77777777" w:rsidR="00BC3860" w:rsidRPr="00103D6B" w:rsidRDefault="00BC3860" w:rsidP="00BC3860">
      <w:pPr>
        <w:ind w:right="140"/>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2"/>
        <w:gridCol w:w="3117"/>
        <w:gridCol w:w="5865"/>
      </w:tblGrid>
      <w:tr w:rsidR="00BC3860" w:rsidRPr="00103D6B" w14:paraId="6B192266" w14:textId="77777777" w:rsidTr="00410565">
        <w:trPr>
          <w:jc w:val="center"/>
        </w:trPr>
        <w:tc>
          <w:tcPr>
            <w:tcW w:w="9474" w:type="dxa"/>
            <w:gridSpan w:val="3"/>
            <w:tcBorders>
              <w:top w:val="single" w:sz="4" w:space="0" w:color="auto"/>
            </w:tcBorders>
            <w:tcMar>
              <w:top w:w="57" w:type="dxa"/>
              <w:left w:w="57" w:type="dxa"/>
              <w:bottom w:w="57" w:type="dxa"/>
              <w:right w:w="57" w:type="dxa"/>
            </w:tcMar>
          </w:tcPr>
          <w:p w14:paraId="196FA4FC" w14:textId="77777777" w:rsidR="00BC3860" w:rsidRPr="00103D6B" w:rsidRDefault="00BC3860" w:rsidP="00410565">
            <w:pPr>
              <w:pStyle w:val="naisnod"/>
              <w:spacing w:before="0" w:after="0"/>
              <w:ind w:left="57" w:right="140"/>
            </w:pPr>
            <w:r w:rsidRPr="00103D6B">
              <w:t>VII. Tiesību akta projekta izpildes nodrošināšana un tās ietekme uz institūcijām</w:t>
            </w:r>
          </w:p>
        </w:tc>
      </w:tr>
      <w:tr w:rsidR="00BC3860" w:rsidRPr="00103D6B" w14:paraId="07890782" w14:textId="77777777" w:rsidTr="00410565">
        <w:trPr>
          <w:trHeight w:val="427"/>
          <w:jc w:val="center"/>
        </w:trPr>
        <w:tc>
          <w:tcPr>
            <w:tcW w:w="486" w:type="dxa"/>
            <w:tcMar>
              <w:top w:w="57" w:type="dxa"/>
              <w:left w:w="57" w:type="dxa"/>
              <w:bottom w:w="57" w:type="dxa"/>
              <w:right w:w="57" w:type="dxa"/>
            </w:tcMar>
          </w:tcPr>
          <w:p w14:paraId="3E498E81" w14:textId="77777777" w:rsidR="00BC3860" w:rsidRPr="00103D6B" w:rsidRDefault="00BC3860" w:rsidP="00410565">
            <w:pPr>
              <w:pStyle w:val="naisnod"/>
              <w:spacing w:before="0" w:after="0"/>
              <w:ind w:left="57" w:right="140"/>
              <w:rPr>
                <w:b w:val="0"/>
              </w:rPr>
            </w:pPr>
            <w:r w:rsidRPr="00103D6B">
              <w:rPr>
                <w:b w:val="0"/>
              </w:rPr>
              <w:t>1.</w:t>
            </w:r>
          </w:p>
        </w:tc>
        <w:tc>
          <w:tcPr>
            <w:tcW w:w="3118" w:type="dxa"/>
            <w:tcMar>
              <w:top w:w="57" w:type="dxa"/>
              <w:left w:w="57" w:type="dxa"/>
              <w:bottom w:w="57" w:type="dxa"/>
              <w:right w:w="57" w:type="dxa"/>
            </w:tcMar>
          </w:tcPr>
          <w:p w14:paraId="26ECB0A0" w14:textId="77777777" w:rsidR="00BC3860" w:rsidRPr="00103D6B" w:rsidRDefault="00BC3860" w:rsidP="00410565">
            <w:pPr>
              <w:pStyle w:val="naisf"/>
              <w:spacing w:before="0" w:after="0"/>
              <w:ind w:left="57" w:right="140" w:firstLine="0"/>
              <w:jc w:val="left"/>
            </w:pPr>
            <w:r w:rsidRPr="00103D6B">
              <w:t xml:space="preserve">Projekta izpildē iesaistītās institūcijas </w:t>
            </w:r>
          </w:p>
        </w:tc>
        <w:tc>
          <w:tcPr>
            <w:tcW w:w="5870" w:type="dxa"/>
            <w:tcMar>
              <w:top w:w="57" w:type="dxa"/>
              <w:left w:w="57" w:type="dxa"/>
              <w:bottom w:w="57" w:type="dxa"/>
              <w:right w:w="57" w:type="dxa"/>
            </w:tcMar>
          </w:tcPr>
          <w:p w14:paraId="6140A1B8" w14:textId="1597F0DB" w:rsidR="00BC3860" w:rsidRPr="00103D6B" w:rsidRDefault="00295232" w:rsidP="00410565">
            <w:pPr>
              <w:pStyle w:val="naisc"/>
              <w:spacing w:before="0" w:after="0"/>
              <w:ind w:right="140"/>
              <w:jc w:val="both"/>
            </w:pPr>
            <w:r>
              <w:t>Pašvaldības</w:t>
            </w:r>
            <w:r w:rsidR="00BC3860" w:rsidRPr="00103D6B">
              <w:t>.</w:t>
            </w:r>
          </w:p>
        </w:tc>
      </w:tr>
      <w:tr w:rsidR="00BC3860" w:rsidRPr="00103D6B" w14:paraId="2B353C57" w14:textId="77777777" w:rsidTr="00410565">
        <w:trPr>
          <w:trHeight w:val="463"/>
          <w:jc w:val="center"/>
        </w:trPr>
        <w:tc>
          <w:tcPr>
            <w:tcW w:w="486" w:type="dxa"/>
            <w:tcMar>
              <w:top w:w="57" w:type="dxa"/>
              <w:left w:w="57" w:type="dxa"/>
              <w:bottom w:w="57" w:type="dxa"/>
              <w:right w:w="57" w:type="dxa"/>
            </w:tcMar>
          </w:tcPr>
          <w:p w14:paraId="2EF1BCC7" w14:textId="77777777" w:rsidR="00BC3860" w:rsidRPr="00103D6B" w:rsidRDefault="00BC3860" w:rsidP="00410565">
            <w:pPr>
              <w:pStyle w:val="naisnod"/>
              <w:spacing w:before="0" w:after="0"/>
              <w:ind w:left="57" w:right="140"/>
              <w:rPr>
                <w:b w:val="0"/>
              </w:rPr>
            </w:pPr>
            <w:r w:rsidRPr="00103D6B">
              <w:rPr>
                <w:b w:val="0"/>
              </w:rPr>
              <w:t>2.</w:t>
            </w:r>
          </w:p>
        </w:tc>
        <w:tc>
          <w:tcPr>
            <w:tcW w:w="3118" w:type="dxa"/>
            <w:tcMar>
              <w:top w:w="57" w:type="dxa"/>
              <w:left w:w="57" w:type="dxa"/>
              <w:bottom w:w="57" w:type="dxa"/>
              <w:right w:w="57" w:type="dxa"/>
            </w:tcMar>
          </w:tcPr>
          <w:p w14:paraId="0AE3DAC3" w14:textId="77777777" w:rsidR="00BC3860" w:rsidRPr="00103D6B" w:rsidRDefault="00BC3860" w:rsidP="00410565">
            <w:pPr>
              <w:ind w:right="140"/>
              <w:jc w:val="both"/>
            </w:pPr>
            <w:r w:rsidRPr="00103D6B">
              <w:t>Projekta izpildes ietekme uz pārvaldes funkcijām un institucionālo struktūru.</w:t>
            </w:r>
          </w:p>
          <w:p w14:paraId="624C34B8" w14:textId="77777777" w:rsidR="00BC3860" w:rsidRPr="00103D6B" w:rsidRDefault="00BC3860" w:rsidP="00410565">
            <w:pPr>
              <w:ind w:right="140"/>
              <w:jc w:val="both"/>
            </w:pPr>
            <w:r w:rsidRPr="00103D6B">
              <w:br/>
              <w:t>Jaunu institūciju izveide, esošu institūciju likvidācija vai reorganizācija, to ietekme uz institūcijas cilvēkresursiem</w:t>
            </w:r>
          </w:p>
        </w:tc>
        <w:tc>
          <w:tcPr>
            <w:tcW w:w="5870" w:type="dxa"/>
            <w:tcMar>
              <w:top w:w="57" w:type="dxa"/>
              <w:left w:w="57" w:type="dxa"/>
              <w:bottom w:w="57" w:type="dxa"/>
              <w:right w:w="57" w:type="dxa"/>
            </w:tcMar>
          </w:tcPr>
          <w:p w14:paraId="7F95A704" w14:textId="7C2D4149" w:rsidR="00BC3860" w:rsidRPr="00103D6B" w:rsidRDefault="00E160D6" w:rsidP="00410565">
            <w:pPr>
              <w:ind w:right="140"/>
              <w:jc w:val="both"/>
              <w:rPr>
                <w:bCs/>
              </w:rPr>
            </w:pPr>
            <w:r>
              <w:t xml:space="preserve">\Noteikumu projekts šo jomu neskar. </w:t>
            </w:r>
          </w:p>
        </w:tc>
      </w:tr>
      <w:tr w:rsidR="00BC3860" w:rsidRPr="00103D6B" w14:paraId="1EB391E6" w14:textId="77777777" w:rsidTr="00410565">
        <w:trPr>
          <w:trHeight w:val="476"/>
          <w:jc w:val="center"/>
        </w:trPr>
        <w:tc>
          <w:tcPr>
            <w:tcW w:w="486" w:type="dxa"/>
            <w:tcMar>
              <w:top w:w="57" w:type="dxa"/>
              <w:left w:w="57" w:type="dxa"/>
              <w:bottom w:w="57" w:type="dxa"/>
              <w:right w:w="57" w:type="dxa"/>
            </w:tcMar>
          </w:tcPr>
          <w:p w14:paraId="3458A10F" w14:textId="77777777" w:rsidR="00BC3860" w:rsidRPr="00103D6B" w:rsidRDefault="00BC3860" w:rsidP="00410565">
            <w:pPr>
              <w:pStyle w:val="naiskr"/>
              <w:spacing w:before="0" w:after="0"/>
              <w:ind w:left="57" w:right="140"/>
              <w:jc w:val="center"/>
            </w:pPr>
            <w:r w:rsidRPr="00103D6B">
              <w:lastRenderedPageBreak/>
              <w:t>3.</w:t>
            </w:r>
          </w:p>
        </w:tc>
        <w:tc>
          <w:tcPr>
            <w:tcW w:w="3118" w:type="dxa"/>
            <w:tcMar>
              <w:top w:w="57" w:type="dxa"/>
              <w:left w:w="57" w:type="dxa"/>
              <w:bottom w:w="57" w:type="dxa"/>
              <w:right w:w="57" w:type="dxa"/>
            </w:tcMar>
          </w:tcPr>
          <w:p w14:paraId="472792EB" w14:textId="77777777" w:rsidR="00BC3860" w:rsidRPr="00103D6B" w:rsidRDefault="00BC3860" w:rsidP="00410565">
            <w:pPr>
              <w:pStyle w:val="naiskr"/>
              <w:spacing w:before="0" w:after="0"/>
              <w:ind w:left="57" w:right="140"/>
            </w:pPr>
            <w:r w:rsidRPr="00103D6B">
              <w:t>Cita informācija</w:t>
            </w:r>
          </w:p>
        </w:tc>
        <w:tc>
          <w:tcPr>
            <w:tcW w:w="5870" w:type="dxa"/>
            <w:tcMar>
              <w:top w:w="57" w:type="dxa"/>
              <w:left w:w="57" w:type="dxa"/>
              <w:bottom w:w="57" w:type="dxa"/>
              <w:right w:w="57" w:type="dxa"/>
            </w:tcMar>
          </w:tcPr>
          <w:p w14:paraId="543C0C60" w14:textId="0E24366E" w:rsidR="00BC3860" w:rsidRPr="00103D6B" w:rsidRDefault="00BC3860" w:rsidP="00410565">
            <w:pPr>
              <w:pStyle w:val="naiskr"/>
              <w:spacing w:before="0" w:after="0"/>
              <w:ind w:left="57" w:right="140"/>
            </w:pPr>
            <w:r w:rsidRPr="00103D6B">
              <w:t>Nav</w:t>
            </w:r>
            <w:r w:rsidR="00E160D6">
              <w:t>,</w:t>
            </w:r>
          </w:p>
        </w:tc>
      </w:tr>
    </w:tbl>
    <w:p w14:paraId="5917EB82" w14:textId="77777777" w:rsidR="00BC3860" w:rsidRPr="00103D6B" w:rsidRDefault="00BC3860" w:rsidP="00BC3860">
      <w:pPr>
        <w:pStyle w:val="tv2161"/>
        <w:spacing w:before="0" w:line="240" w:lineRule="auto"/>
        <w:ind w:right="140" w:firstLine="0"/>
        <w:jc w:val="both"/>
        <w:rPr>
          <w:rFonts w:ascii="Times New Roman" w:hAnsi="Times New Roman"/>
          <w:sz w:val="24"/>
          <w:szCs w:val="24"/>
        </w:rPr>
      </w:pPr>
    </w:p>
    <w:p w14:paraId="05B2ACBA" w14:textId="77777777" w:rsidR="00BC3860" w:rsidRPr="00103D6B" w:rsidRDefault="00BC3860" w:rsidP="00BC3860">
      <w:pPr>
        <w:pStyle w:val="tv2161"/>
        <w:spacing w:before="0" w:line="240" w:lineRule="auto"/>
        <w:ind w:right="140" w:firstLine="0"/>
        <w:jc w:val="both"/>
        <w:rPr>
          <w:rFonts w:ascii="Times New Roman" w:hAnsi="Times New Roman"/>
          <w:sz w:val="24"/>
          <w:szCs w:val="24"/>
        </w:rPr>
      </w:pPr>
      <w:r w:rsidRPr="00103D6B">
        <w:rPr>
          <w:rFonts w:ascii="Times New Roman" w:hAnsi="Times New Roman"/>
          <w:sz w:val="24"/>
          <w:szCs w:val="24"/>
        </w:rPr>
        <w:t xml:space="preserve">Vides aizsardzības un </w:t>
      </w:r>
    </w:p>
    <w:p w14:paraId="02245411" w14:textId="691DDD72" w:rsidR="00BC3860" w:rsidRPr="00103D6B" w:rsidRDefault="00BC3860" w:rsidP="00BC3860">
      <w:pPr>
        <w:ind w:right="140"/>
      </w:pPr>
      <w:r w:rsidRPr="00103D6B">
        <w:t>reģionālās attīstības ministr</w:t>
      </w:r>
      <w:r w:rsidR="00295232">
        <w:t>s</w:t>
      </w:r>
      <w:r w:rsidR="00295232">
        <w:tab/>
      </w:r>
      <w:r w:rsidR="00295232">
        <w:tab/>
      </w:r>
      <w:r w:rsidR="00295232">
        <w:tab/>
      </w:r>
      <w:r w:rsidR="00295232">
        <w:tab/>
      </w:r>
      <w:r w:rsidR="00295232">
        <w:tab/>
      </w:r>
      <w:r w:rsidR="00295232">
        <w:tab/>
        <w:t>A.</w:t>
      </w:r>
      <w:r w:rsidR="00E160D6">
        <w:t xml:space="preserve"> </w:t>
      </w:r>
      <w:r w:rsidR="00295232">
        <w:t>T.</w:t>
      </w:r>
      <w:r w:rsidR="00E160D6">
        <w:t xml:space="preserve"> </w:t>
      </w:r>
      <w:proofErr w:type="spellStart"/>
      <w:r w:rsidR="00295232">
        <w:t>Plešs</w:t>
      </w:r>
      <w:proofErr w:type="spellEnd"/>
    </w:p>
    <w:p w14:paraId="46B9B56A" w14:textId="77777777" w:rsidR="00BC3860" w:rsidRPr="00103D6B" w:rsidRDefault="00BC3860" w:rsidP="00BC3860">
      <w:pPr>
        <w:ind w:right="140"/>
      </w:pPr>
    </w:p>
    <w:p w14:paraId="5D7187EA" w14:textId="77777777" w:rsidR="00BC3860" w:rsidRPr="00103D6B" w:rsidRDefault="00BC3860" w:rsidP="00BC3860">
      <w:pPr>
        <w:ind w:right="140"/>
      </w:pPr>
    </w:p>
    <w:p w14:paraId="6777F5C5" w14:textId="77777777" w:rsidR="00BC3860" w:rsidRPr="004E6AFF" w:rsidRDefault="00BC3860" w:rsidP="00BC3860">
      <w:pPr>
        <w:tabs>
          <w:tab w:val="left" w:pos="6237"/>
        </w:tabs>
        <w:rPr>
          <w:sz w:val="20"/>
          <w:szCs w:val="20"/>
        </w:rPr>
      </w:pPr>
      <w:r w:rsidRPr="004E6AFF">
        <w:rPr>
          <w:sz w:val="20"/>
          <w:szCs w:val="20"/>
        </w:rPr>
        <w:t>Doniņa 67026515</w:t>
      </w:r>
    </w:p>
    <w:p w14:paraId="001C77A3" w14:textId="77777777" w:rsidR="00BC3860" w:rsidRPr="004E6AFF" w:rsidRDefault="004F649E" w:rsidP="00BC3860">
      <w:pPr>
        <w:tabs>
          <w:tab w:val="left" w:pos="6237"/>
        </w:tabs>
        <w:rPr>
          <w:sz w:val="20"/>
          <w:szCs w:val="20"/>
        </w:rPr>
      </w:pPr>
      <w:hyperlink r:id="rId12" w:history="1">
        <w:r w:rsidR="00BC3860" w:rsidRPr="004E6AFF">
          <w:rPr>
            <w:rStyle w:val="Hyperlink"/>
            <w:sz w:val="20"/>
            <w:szCs w:val="20"/>
          </w:rPr>
          <w:t>Ilze.Donina@varam.gov.lv</w:t>
        </w:r>
      </w:hyperlink>
      <w:r w:rsidR="00BC3860" w:rsidRPr="004E6AFF">
        <w:rPr>
          <w:sz w:val="20"/>
          <w:szCs w:val="20"/>
        </w:rPr>
        <w:t xml:space="preserve"> </w:t>
      </w:r>
    </w:p>
    <w:p w14:paraId="48A07145" w14:textId="77777777" w:rsidR="002A4951" w:rsidRDefault="004F649E"/>
    <w:sectPr w:rsidR="002A4951" w:rsidSect="009D406B">
      <w:headerReference w:type="default" r:id="rId13"/>
      <w:footerReference w:type="default" r:id="rId14"/>
      <w:footerReference w:type="firs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667D" w14:textId="77777777" w:rsidR="004F649E" w:rsidRDefault="004F649E" w:rsidP="00BC3860">
      <w:r>
        <w:separator/>
      </w:r>
    </w:p>
  </w:endnote>
  <w:endnote w:type="continuationSeparator" w:id="0">
    <w:p w14:paraId="79F60BCD" w14:textId="77777777" w:rsidR="004F649E" w:rsidRDefault="004F649E" w:rsidP="00BC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D718" w14:textId="074AB4C3" w:rsidR="00A211A9" w:rsidRPr="00DF4A86" w:rsidRDefault="00A211A9" w:rsidP="00A211A9">
    <w:pPr>
      <w:jc w:val="both"/>
      <w:rPr>
        <w:sz w:val="20"/>
      </w:rPr>
    </w:pPr>
    <w:r>
      <w:rPr>
        <w:sz w:val="20"/>
      </w:rPr>
      <w:t>VARAMAnot_</w:t>
    </w:r>
    <w:r w:rsidR="002A5408">
      <w:rPr>
        <w:sz w:val="20"/>
      </w:rPr>
      <w:t>0604</w:t>
    </w:r>
    <w:r>
      <w:rPr>
        <w:sz w:val="20"/>
      </w:rPr>
      <w:t>21_AAR</w:t>
    </w:r>
  </w:p>
  <w:p w14:paraId="257032A1" w14:textId="77777777" w:rsidR="00515019" w:rsidRPr="00BE4B60" w:rsidRDefault="004F649E" w:rsidP="00BE4B60">
    <w:pPr>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C5C1" w14:textId="25589847" w:rsidR="00487F95" w:rsidRPr="00DF4A86" w:rsidRDefault="002A2EAD" w:rsidP="00DF4A86">
    <w:pPr>
      <w:jc w:val="both"/>
      <w:rPr>
        <w:sz w:val="20"/>
      </w:rPr>
    </w:pPr>
    <w:r>
      <w:rPr>
        <w:sz w:val="20"/>
      </w:rPr>
      <w:t>VARAMAnot_</w:t>
    </w:r>
    <w:r w:rsidR="002A5408">
      <w:rPr>
        <w:sz w:val="20"/>
      </w:rPr>
      <w:t>0604</w:t>
    </w:r>
    <w:r w:rsidR="00A211A9">
      <w:rPr>
        <w:sz w:val="20"/>
      </w:rPr>
      <w:t>21_AAR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46E8" w14:textId="77777777" w:rsidR="004F649E" w:rsidRDefault="004F649E" w:rsidP="00BC3860">
      <w:r>
        <w:separator/>
      </w:r>
    </w:p>
  </w:footnote>
  <w:footnote w:type="continuationSeparator" w:id="0">
    <w:p w14:paraId="5E2AEEEC" w14:textId="77777777" w:rsidR="004F649E" w:rsidRDefault="004F649E" w:rsidP="00BC3860">
      <w:r>
        <w:continuationSeparator/>
      </w:r>
    </w:p>
  </w:footnote>
  <w:footnote w:id="1">
    <w:p w14:paraId="0FFC0634" w14:textId="72BF5F9B" w:rsidR="00B764D8" w:rsidRDefault="00B764D8">
      <w:pPr>
        <w:pStyle w:val="FootnoteText"/>
      </w:pPr>
      <w:r>
        <w:rPr>
          <w:rStyle w:val="FootnoteReference"/>
        </w:rPr>
        <w:footnoteRef/>
      </w:r>
      <w:r>
        <w:t xml:space="preserve"> Ministru kabineta 2021.gada 22.janvāra rīkojums Nr.45 “Par Atkritumu apsaimniekošanas valsts plānu 2021.-2028.gadam”. Pieejams: </w:t>
      </w:r>
      <w:hyperlink r:id="rId1" w:history="1">
        <w:r w:rsidRPr="00453D24">
          <w:rPr>
            <w:rStyle w:val="Hyperlink"/>
          </w:rPr>
          <w:t>https://likumi.lv/ta/id/320476</w:t>
        </w:r>
      </w:hyperlink>
      <w:r>
        <w:t xml:space="preserve"> </w:t>
      </w:r>
    </w:p>
  </w:footnote>
  <w:footnote w:id="2">
    <w:p w14:paraId="7B11CD3B" w14:textId="77777777" w:rsidR="00D72BD7" w:rsidRPr="00A211A9" w:rsidRDefault="00D72BD7" w:rsidP="00D72BD7">
      <w:pPr>
        <w:pStyle w:val="FootnoteText"/>
      </w:pPr>
      <w:r>
        <w:rPr>
          <w:rStyle w:val="FootnoteReference"/>
        </w:rPr>
        <w:footnoteRef/>
      </w:r>
      <w:r>
        <w:t xml:space="preserve"> </w:t>
      </w:r>
      <w:r w:rsidRPr="00A211A9">
        <w:t>Atkritumu apsaimniekošanas valsts plāns 2021.-2028.gadam</w:t>
      </w:r>
    </w:p>
  </w:footnote>
  <w:footnote w:id="3">
    <w:p w14:paraId="74FB4266" w14:textId="52A59074" w:rsidR="00D72BD7" w:rsidRPr="00A211A9" w:rsidRDefault="00D72BD7" w:rsidP="00D72BD7">
      <w:pPr>
        <w:pStyle w:val="footnote"/>
        <w:rPr>
          <w:color w:val="auto"/>
          <w:sz w:val="20"/>
          <w:szCs w:val="20"/>
        </w:rPr>
      </w:pPr>
      <w:r w:rsidRPr="00A211A9">
        <w:rPr>
          <w:rStyle w:val="FootnoteReference"/>
          <w:color w:val="auto"/>
          <w:sz w:val="20"/>
          <w:szCs w:val="20"/>
        </w:rPr>
        <w:footnoteRef/>
      </w:r>
      <w:r w:rsidRPr="00A211A9">
        <w:rPr>
          <w:color w:val="auto"/>
          <w:sz w:val="20"/>
          <w:szCs w:val="20"/>
        </w:rPr>
        <w:t xml:space="preserve"> SIA “</w:t>
      </w:r>
      <w:proofErr w:type="spellStart"/>
      <w:r w:rsidRPr="00A211A9">
        <w:rPr>
          <w:color w:val="auto"/>
          <w:sz w:val="20"/>
          <w:szCs w:val="20"/>
        </w:rPr>
        <w:t>Geo</w:t>
      </w:r>
      <w:proofErr w:type="spellEnd"/>
      <w:r w:rsidRPr="00A211A9">
        <w:rPr>
          <w:color w:val="auto"/>
          <w:sz w:val="20"/>
          <w:szCs w:val="20"/>
        </w:rPr>
        <w:t xml:space="preserve"> </w:t>
      </w:r>
      <w:proofErr w:type="spellStart"/>
      <w:r w:rsidRPr="00A211A9">
        <w:rPr>
          <w:color w:val="auto"/>
          <w:sz w:val="20"/>
          <w:szCs w:val="20"/>
        </w:rPr>
        <w:t>Consultants</w:t>
      </w:r>
      <w:proofErr w:type="spellEnd"/>
      <w:r w:rsidRPr="00A211A9">
        <w:rPr>
          <w:color w:val="auto"/>
          <w:sz w:val="20"/>
          <w:szCs w:val="20"/>
        </w:rPr>
        <w:t xml:space="preserve">”, 2020. Pētījums “Investīciju vajadzību izvērtējums atkritumu apsaimniekošanas valsts plāna 2021. - 2028. gadam izstrādei” (IL/57/2020), pieejams: </w:t>
      </w:r>
      <w:hyperlink r:id="rId2" w:history="1">
        <w:r w:rsidR="00A211A9" w:rsidRPr="00A211A9">
          <w:rPr>
            <w:rStyle w:val="Hyperlink"/>
            <w:rFonts w:cs="Calibri Light"/>
            <w:sz w:val="20"/>
            <w:szCs w:val="20"/>
          </w:rPr>
          <w:t>https://www.varam.gov.lv/sites/varam/files/content/investiciju-vajadzibu-izvertejums-aavp-2021_2028-geoconsultants-2020.pdf</w:t>
        </w:r>
      </w:hyperlink>
      <w:r w:rsidR="00A211A9" w:rsidRPr="00A211A9">
        <w:rPr>
          <w:color w:val="auto"/>
          <w:sz w:val="20"/>
          <w:szCs w:val="20"/>
        </w:rPr>
        <w:t xml:space="preserve"> </w:t>
      </w:r>
    </w:p>
  </w:footnote>
  <w:footnote w:id="4">
    <w:p w14:paraId="662F2788" w14:textId="77777777" w:rsidR="00D72BD7" w:rsidRPr="000235DD" w:rsidRDefault="00D72BD7" w:rsidP="00D72BD7">
      <w:pPr>
        <w:pStyle w:val="footnote"/>
      </w:pPr>
      <w:r w:rsidRPr="000235DD">
        <w:rPr>
          <w:rStyle w:val="FootnoteReference"/>
        </w:rPr>
        <w:footnoteRef/>
      </w:r>
      <w:r w:rsidRPr="000235DD">
        <w:t xml:space="preserve"> </w:t>
      </w:r>
      <w:r w:rsidRPr="00A211A9">
        <w:rPr>
          <w:rStyle w:val="footnoteChar"/>
          <w:color w:val="auto"/>
          <w:sz w:val="20"/>
          <w:szCs w:val="20"/>
        </w:rPr>
        <w:t>SIA “</w:t>
      </w:r>
      <w:proofErr w:type="spellStart"/>
      <w:r w:rsidRPr="00A211A9">
        <w:rPr>
          <w:rStyle w:val="footnoteChar"/>
          <w:color w:val="auto"/>
          <w:sz w:val="20"/>
          <w:szCs w:val="20"/>
        </w:rPr>
        <w:t>Geo</w:t>
      </w:r>
      <w:proofErr w:type="spellEnd"/>
      <w:r w:rsidRPr="00A211A9">
        <w:rPr>
          <w:rStyle w:val="footnoteChar"/>
          <w:color w:val="auto"/>
          <w:sz w:val="20"/>
          <w:szCs w:val="20"/>
        </w:rPr>
        <w:t xml:space="preserve"> </w:t>
      </w:r>
      <w:proofErr w:type="spellStart"/>
      <w:r w:rsidRPr="00A211A9">
        <w:rPr>
          <w:rStyle w:val="footnoteChar"/>
          <w:color w:val="auto"/>
          <w:sz w:val="20"/>
          <w:szCs w:val="20"/>
        </w:rPr>
        <w:t>Consultants</w:t>
      </w:r>
      <w:proofErr w:type="spellEnd"/>
      <w:r w:rsidRPr="00A211A9">
        <w:rPr>
          <w:rStyle w:val="footnoteChar"/>
          <w:color w:val="auto"/>
          <w:sz w:val="20"/>
          <w:szCs w:val="20"/>
        </w:rPr>
        <w:t xml:space="preserve">”, 2020. Pētījums “Investīciju vajadzību izvērtējums atkritumu apsaimniekošanas valsts plāna 2021. - 2028. gadam izstrādei” (IL/57/2020), pieejams: </w:t>
      </w:r>
      <w:hyperlink r:id="rId3" w:history="1">
        <w:r w:rsidRPr="00A211A9">
          <w:rPr>
            <w:rStyle w:val="footnoteChar"/>
            <w:color w:val="auto"/>
            <w:sz w:val="20"/>
            <w:szCs w:val="20"/>
          </w:rPr>
          <w:t>https://www.varam.gov.lv/sites/varam/files/content/investiciju-vajadzibu-izvertejums-aavp-2021_2028-geoconsultants-2020.pdf</w:t>
        </w:r>
      </w:hyperlink>
      <w:r w:rsidRPr="00A211A9">
        <w:rPr>
          <w:sz w:val="20"/>
          <w:szCs w:val="18"/>
        </w:rPr>
        <w:t xml:space="preserve"> </w:t>
      </w:r>
    </w:p>
    <w:p w14:paraId="3A0C7C93" w14:textId="77777777" w:rsidR="00D72BD7" w:rsidRPr="00914DCC" w:rsidRDefault="00D72BD7" w:rsidP="00D72BD7">
      <w:pPr>
        <w:pStyle w:val="footnote"/>
      </w:pPr>
    </w:p>
  </w:footnote>
  <w:footnote w:id="5">
    <w:p w14:paraId="0C13EA06" w14:textId="77777777" w:rsidR="00D72BD7" w:rsidRPr="007B20E9" w:rsidRDefault="00D72BD7" w:rsidP="00D72BD7">
      <w:pPr>
        <w:pStyle w:val="footnote"/>
      </w:pPr>
      <w:r w:rsidRPr="000235DD">
        <w:rPr>
          <w:rStyle w:val="FootnoteReference"/>
        </w:rPr>
        <w:footnoteRef/>
      </w:r>
      <w:r w:rsidRPr="000235DD">
        <w:t xml:space="preserve"> </w:t>
      </w:r>
      <w:bookmarkStart w:id="1" w:name="_Hlk58606978"/>
      <w:r w:rsidRPr="00A211A9">
        <w:rPr>
          <w:color w:val="auto"/>
          <w:sz w:val="20"/>
          <w:szCs w:val="18"/>
        </w:rPr>
        <w:t>SIA “</w:t>
      </w:r>
      <w:proofErr w:type="spellStart"/>
      <w:r w:rsidRPr="00A211A9">
        <w:rPr>
          <w:color w:val="auto"/>
          <w:sz w:val="20"/>
          <w:szCs w:val="18"/>
        </w:rPr>
        <w:t>Geo</w:t>
      </w:r>
      <w:proofErr w:type="spellEnd"/>
      <w:r w:rsidRPr="00A211A9">
        <w:rPr>
          <w:color w:val="auto"/>
          <w:sz w:val="20"/>
          <w:szCs w:val="18"/>
        </w:rPr>
        <w:t xml:space="preserve"> </w:t>
      </w:r>
      <w:proofErr w:type="spellStart"/>
      <w:r w:rsidRPr="00A211A9">
        <w:rPr>
          <w:color w:val="auto"/>
          <w:sz w:val="20"/>
          <w:szCs w:val="18"/>
        </w:rPr>
        <w:t>Consultants</w:t>
      </w:r>
      <w:proofErr w:type="spellEnd"/>
      <w:r w:rsidRPr="00A211A9">
        <w:rPr>
          <w:color w:val="auto"/>
          <w:sz w:val="20"/>
          <w:szCs w:val="18"/>
        </w:rPr>
        <w:t xml:space="preserve">”, 2020. Pētījums “Investīciju vajadzību izvērtējums atkritumu apsaimniekošanas valsts plāna 2021. - 2028. gadam izstrādei” (IL/57/2020), pieejams: </w:t>
      </w:r>
      <w:hyperlink r:id="rId4" w:history="1">
        <w:r w:rsidRPr="00A211A9">
          <w:rPr>
            <w:rStyle w:val="Hyperlink"/>
            <w:color w:val="auto"/>
            <w:sz w:val="20"/>
            <w:szCs w:val="18"/>
          </w:rPr>
          <w:t>https://www.varam.gov.lv/sites/varam/files/content/investiciju-vajadzibu-izvertejums-aavp-2021_2028-geoconsultants-2020.pdf</w:t>
        </w:r>
      </w:hyperlink>
      <w:r w:rsidRPr="00A211A9">
        <w:rPr>
          <w:color w:val="auto"/>
          <w:sz w:val="20"/>
          <w:szCs w:val="18"/>
        </w:rPr>
        <w:t xml:space="preserve"> </w:t>
      </w:r>
      <w:bookmarkEnd w:id="1"/>
    </w:p>
  </w:footnote>
  <w:footnote w:id="6">
    <w:p w14:paraId="5A939931" w14:textId="77777777" w:rsidR="00BC3860" w:rsidRDefault="00BC3860" w:rsidP="00BC3860">
      <w:pPr>
        <w:pStyle w:val="FootnoteText"/>
      </w:pPr>
      <w:r w:rsidRPr="00B34B0B">
        <w:rPr>
          <w:rStyle w:val="Vresrakstzmes"/>
          <w:vertAlign w:val="superscript"/>
        </w:rPr>
        <w:footnoteRef/>
      </w:r>
      <w:r w:rsidRPr="00B34B0B">
        <w:rPr>
          <w:rStyle w:val="Vresrakstzmes"/>
          <w:vertAlign w:val="superscript"/>
        </w:rPr>
        <w:t> </w:t>
      </w:r>
      <w:r>
        <w:t xml:space="preserve">Skat. </w:t>
      </w:r>
      <w:r w:rsidRPr="00BA6FB5">
        <w:rPr>
          <w:rStyle w:val="Internetasaite"/>
          <w:iCs/>
        </w:rPr>
        <w:t>https://www.varam.gov.lv/lv/normativo-aktu-projekti-vides-aizsardzibas-joma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E07D" w14:textId="77777777" w:rsidR="00487F95" w:rsidRDefault="002A2EAD">
    <w:pPr>
      <w:pStyle w:val="Header"/>
    </w:pPr>
    <w:r w:rsidRPr="00013525">
      <w:rPr>
        <w:rStyle w:val="PageNumber"/>
      </w:rPr>
      <w:tab/>
      <w:t xml:space="preserve"> </w:t>
    </w:r>
    <w:r w:rsidRPr="00013525">
      <w:rPr>
        <w:rStyle w:val="PageNumber"/>
      </w:rPr>
      <w:fldChar w:fldCharType="begin"/>
    </w:r>
    <w:r w:rsidRPr="00013525">
      <w:rPr>
        <w:rStyle w:val="PageNumber"/>
      </w:rPr>
      <w:instrText xml:space="preserve"> PAGE </w:instrText>
    </w:r>
    <w:r w:rsidRPr="00013525">
      <w:rPr>
        <w:rStyle w:val="PageNumber"/>
      </w:rPr>
      <w:fldChar w:fldCharType="separate"/>
    </w:r>
    <w:r>
      <w:rPr>
        <w:rStyle w:val="PageNumber"/>
        <w:noProof/>
      </w:rPr>
      <w:t>17</w:t>
    </w:r>
    <w:r w:rsidRPr="00013525">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162DE"/>
    <w:multiLevelType w:val="hybridMultilevel"/>
    <w:tmpl w:val="321CBF1A"/>
    <w:lvl w:ilvl="0" w:tplc="04260011">
      <w:start w:val="1"/>
      <w:numFmt w:val="decimal"/>
      <w:lvlText w:val="%1)"/>
      <w:lvlJc w:val="left"/>
      <w:pPr>
        <w:ind w:left="720" w:hanging="360"/>
      </w:pPr>
    </w:lvl>
    <w:lvl w:ilvl="1" w:tplc="B0760CEA">
      <w:start w:val="1"/>
      <w:numFmt w:val="lowerLetter"/>
      <w:lvlText w:val="%2."/>
      <w:lvlJc w:val="left"/>
      <w:pPr>
        <w:ind w:left="1440" w:hanging="360"/>
      </w:pPr>
    </w:lvl>
    <w:lvl w:ilvl="2" w:tplc="D5883BB8">
      <w:start w:val="1"/>
      <w:numFmt w:val="lowerRoman"/>
      <w:lvlText w:val="%3."/>
      <w:lvlJc w:val="right"/>
      <w:pPr>
        <w:ind w:left="2160" w:hanging="180"/>
      </w:pPr>
    </w:lvl>
    <w:lvl w:ilvl="3" w:tplc="56CA1420">
      <w:start w:val="1"/>
      <w:numFmt w:val="decimal"/>
      <w:lvlText w:val="%4."/>
      <w:lvlJc w:val="left"/>
      <w:pPr>
        <w:ind w:left="2880" w:hanging="360"/>
      </w:pPr>
    </w:lvl>
    <w:lvl w:ilvl="4" w:tplc="867E2850">
      <w:start w:val="1"/>
      <w:numFmt w:val="lowerLetter"/>
      <w:lvlText w:val="%5."/>
      <w:lvlJc w:val="left"/>
      <w:pPr>
        <w:ind w:left="3600" w:hanging="360"/>
      </w:pPr>
    </w:lvl>
    <w:lvl w:ilvl="5" w:tplc="132CFF44">
      <w:start w:val="1"/>
      <w:numFmt w:val="lowerRoman"/>
      <w:lvlText w:val="%6."/>
      <w:lvlJc w:val="right"/>
      <w:pPr>
        <w:ind w:left="4320" w:hanging="180"/>
      </w:pPr>
    </w:lvl>
    <w:lvl w:ilvl="6" w:tplc="8512910C">
      <w:start w:val="1"/>
      <w:numFmt w:val="decimal"/>
      <w:lvlText w:val="%7."/>
      <w:lvlJc w:val="left"/>
      <w:pPr>
        <w:ind w:left="5040" w:hanging="360"/>
      </w:pPr>
    </w:lvl>
    <w:lvl w:ilvl="7" w:tplc="E0C45A6C">
      <w:start w:val="1"/>
      <w:numFmt w:val="lowerLetter"/>
      <w:lvlText w:val="%8."/>
      <w:lvlJc w:val="left"/>
      <w:pPr>
        <w:ind w:left="5760" w:hanging="360"/>
      </w:pPr>
    </w:lvl>
    <w:lvl w:ilvl="8" w:tplc="3A60BF7E">
      <w:start w:val="1"/>
      <w:numFmt w:val="lowerRoman"/>
      <w:lvlText w:val="%9."/>
      <w:lvlJc w:val="right"/>
      <w:pPr>
        <w:ind w:left="6480" w:hanging="180"/>
      </w:pPr>
    </w:lvl>
  </w:abstractNum>
  <w:abstractNum w:abstractNumId="1" w15:restartNumberingAfterBreak="0">
    <w:nsid w:val="4E4901BC"/>
    <w:multiLevelType w:val="hybridMultilevel"/>
    <w:tmpl w:val="5266900C"/>
    <w:lvl w:ilvl="0" w:tplc="AF88721C">
      <w:start w:val="132"/>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1EC01F8"/>
    <w:multiLevelType w:val="hybridMultilevel"/>
    <w:tmpl w:val="814CE4BA"/>
    <w:lvl w:ilvl="0" w:tplc="6D46AE6E">
      <w:start w:val="1"/>
      <w:numFmt w:val="bullet"/>
      <w:lvlText w:val="•"/>
      <w:lvlJc w:val="left"/>
      <w:pPr>
        <w:tabs>
          <w:tab w:val="num" w:pos="720"/>
        </w:tabs>
        <w:ind w:left="720" w:hanging="360"/>
      </w:pPr>
      <w:rPr>
        <w:rFonts w:ascii="Times New Roman" w:hAnsi="Times New Roman" w:hint="default"/>
      </w:rPr>
    </w:lvl>
    <w:lvl w:ilvl="1" w:tplc="4978EE42" w:tentative="1">
      <w:start w:val="1"/>
      <w:numFmt w:val="bullet"/>
      <w:lvlText w:val="•"/>
      <w:lvlJc w:val="left"/>
      <w:pPr>
        <w:tabs>
          <w:tab w:val="num" w:pos="1440"/>
        </w:tabs>
        <w:ind w:left="1440" w:hanging="360"/>
      </w:pPr>
      <w:rPr>
        <w:rFonts w:ascii="Times New Roman" w:hAnsi="Times New Roman" w:hint="default"/>
      </w:rPr>
    </w:lvl>
    <w:lvl w:ilvl="2" w:tplc="DEF60AC2" w:tentative="1">
      <w:start w:val="1"/>
      <w:numFmt w:val="bullet"/>
      <w:lvlText w:val="•"/>
      <w:lvlJc w:val="left"/>
      <w:pPr>
        <w:tabs>
          <w:tab w:val="num" w:pos="2160"/>
        </w:tabs>
        <w:ind w:left="2160" w:hanging="360"/>
      </w:pPr>
      <w:rPr>
        <w:rFonts w:ascii="Times New Roman" w:hAnsi="Times New Roman" w:hint="default"/>
      </w:rPr>
    </w:lvl>
    <w:lvl w:ilvl="3" w:tplc="13A04D94" w:tentative="1">
      <w:start w:val="1"/>
      <w:numFmt w:val="bullet"/>
      <w:lvlText w:val="•"/>
      <w:lvlJc w:val="left"/>
      <w:pPr>
        <w:tabs>
          <w:tab w:val="num" w:pos="2880"/>
        </w:tabs>
        <w:ind w:left="2880" w:hanging="360"/>
      </w:pPr>
      <w:rPr>
        <w:rFonts w:ascii="Times New Roman" w:hAnsi="Times New Roman" w:hint="default"/>
      </w:rPr>
    </w:lvl>
    <w:lvl w:ilvl="4" w:tplc="840C4B62" w:tentative="1">
      <w:start w:val="1"/>
      <w:numFmt w:val="bullet"/>
      <w:lvlText w:val="•"/>
      <w:lvlJc w:val="left"/>
      <w:pPr>
        <w:tabs>
          <w:tab w:val="num" w:pos="3600"/>
        </w:tabs>
        <w:ind w:left="3600" w:hanging="360"/>
      </w:pPr>
      <w:rPr>
        <w:rFonts w:ascii="Times New Roman" w:hAnsi="Times New Roman" w:hint="default"/>
      </w:rPr>
    </w:lvl>
    <w:lvl w:ilvl="5" w:tplc="78026AFA" w:tentative="1">
      <w:start w:val="1"/>
      <w:numFmt w:val="bullet"/>
      <w:lvlText w:val="•"/>
      <w:lvlJc w:val="left"/>
      <w:pPr>
        <w:tabs>
          <w:tab w:val="num" w:pos="4320"/>
        </w:tabs>
        <w:ind w:left="4320" w:hanging="360"/>
      </w:pPr>
      <w:rPr>
        <w:rFonts w:ascii="Times New Roman" w:hAnsi="Times New Roman" w:hint="default"/>
      </w:rPr>
    </w:lvl>
    <w:lvl w:ilvl="6" w:tplc="56F41FB2" w:tentative="1">
      <w:start w:val="1"/>
      <w:numFmt w:val="bullet"/>
      <w:lvlText w:val="•"/>
      <w:lvlJc w:val="left"/>
      <w:pPr>
        <w:tabs>
          <w:tab w:val="num" w:pos="5040"/>
        </w:tabs>
        <w:ind w:left="5040" w:hanging="360"/>
      </w:pPr>
      <w:rPr>
        <w:rFonts w:ascii="Times New Roman" w:hAnsi="Times New Roman" w:hint="default"/>
      </w:rPr>
    </w:lvl>
    <w:lvl w:ilvl="7" w:tplc="5FCC97D0" w:tentative="1">
      <w:start w:val="1"/>
      <w:numFmt w:val="bullet"/>
      <w:lvlText w:val="•"/>
      <w:lvlJc w:val="left"/>
      <w:pPr>
        <w:tabs>
          <w:tab w:val="num" w:pos="5760"/>
        </w:tabs>
        <w:ind w:left="5760" w:hanging="360"/>
      </w:pPr>
      <w:rPr>
        <w:rFonts w:ascii="Times New Roman" w:hAnsi="Times New Roman" w:hint="default"/>
      </w:rPr>
    </w:lvl>
    <w:lvl w:ilvl="8" w:tplc="721644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53139F"/>
    <w:multiLevelType w:val="hybridMultilevel"/>
    <w:tmpl w:val="6778DF0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8E0759A"/>
    <w:multiLevelType w:val="hybridMultilevel"/>
    <w:tmpl w:val="A45C05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60"/>
    <w:rsid w:val="00015372"/>
    <w:rsid w:val="000170F9"/>
    <w:rsid w:val="00043074"/>
    <w:rsid w:val="000C1F6B"/>
    <w:rsid w:val="000C5A4B"/>
    <w:rsid w:val="00130FB9"/>
    <w:rsid w:val="001C4E6B"/>
    <w:rsid w:val="001C7472"/>
    <w:rsid w:val="00214D2C"/>
    <w:rsid w:val="00295232"/>
    <w:rsid w:val="002A2EAD"/>
    <w:rsid w:val="002A5408"/>
    <w:rsid w:val="002C6AB8"/>
    <w:rsid w:val="00331A35"/>
    <w:rsid w:val="00432CC0"/>
    <w:rsid w:val="004A214F"/>
    <w:rsid w:val="004F649E"/>
    <w:rsid w:val="00520EB3"/>
    <w:rsid w:val="00650692"/>
    <w:rsid w:val="006555D1"/>
    <w:rsid w:val="006B3A63"/>
    <w:rsid w:val="0074687F"/>
    <w:rsid w:val="00825B14"/>
    <w:rsid w:val="00985FC9"/>
    <w:rsid w:val="009A529D"/>
    <w:rsid w:val="009C6B2F"/>
    <w:rsid w:val="00A121A9"/>
    <w:rsid w:val="00A12B75"/>
    <w:rsid w:val="00A211A9"/>
    <w:rsid w:val="00A24220"/>
    <w:rsid w:val="00B0016A"/>
    <w:rsid w:val="00B764D8"/>
    <w:rsid w:val="00BB589C"/>
    <w:rsid w:val="00BC3860"/>
    <w:rsid w:val="00C72070"/>
    <w:rsid w:val="00D219F6"/>
    <w:rsid w:val="00D30C5C"/>
    <w:rsid w:val="00D72BD7"/>
    <w:rsid w:val="00D75210"/>
    <w:rsid w:val="00D84D09"/>
    <w:rsid w:val="00DF0907"/>
    <w:rsid w:val="00E160D6"/>
    <w:rsid w:val="00F12C28"/>
    <w:rsid w:val="00FA75C9"/>
    <w:rsid w:val="00FE0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1C4C"/>
  <w15:chartTrackingRefBased/>
  <w15:docId w15:val="{D723A71C-7018-47EE-8145-7489F505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6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3860"/>
    <w:pPr>
      <w:tabs>
        <w:tab w:val="center" w:pos="4153"/>
        <w:tab w:val="right" w:pos="8306"/>
      </w:tabs>
    </w:pPr>
  </w:style>
  <w:style w:type="character" w:customStyle="1" w:styleId="HeaderChar">
    <w:name w:val="Header Char"/>
    <w:basedOn w:val="DefaultParagraphFont"/>
    <w:link w:val="Header"/>
    <w:rsid w:val="00BC3860"/>
    <w:rPr>
      <w:rFonts w:ascii="Times New Roman" w:eastAsia="Times New Roman" w:hAnsi="Times New Roman" w:cs="Times New Roman"/>
      <w:sz w:val="24"/>
      <w:szCs w:val="24"/>
      <w:lang w:eastAsia="lv-LV"/>
    </w:rPr>
  </w:style>
  <w:style w:type="paragraph" w:customStyle="1" w:styleId="naisf">
    <w:name w:val="naisf"/>
    <w:basedOn w:val="Normal"/>
    <w:rsid w:val="00BC3860"/>
    <w:pPr>
      <w:spacing w:before="75" w:after="75"/>
      <w:ind w:firstLine="375"/>
      <w:jc w:val="both"/>
    </w:pPr>
  </w:style>
  <w:style w:type="character" w:styleId="PageNumber">
    <w:name w:val="page number"/>
    <w:basedOn w:val="DefaultParagraphFont"/>
    <w:rsid w:val="00BC3860"/>
  </w:style>
  <w:style w:type="character" w:styleId="Hyperlink">
    <w:name w:val="Hyperlink"/>
    <w:rsid w:val="00BC3860"/>
    <w:rPr>
      <w:rFonts w:cs="Times New Roman"/>
      <w:color w:val="0000FF"/>
      <w:u w:val="single"/>
    </w:rPr>
  </w:style>
  <w:style w:type="paragraph" w:customStyle="1" w:styleId="naisnod">
    <w:name w:val="naisnod"/>
    <w:basedOn w:val="Normal"/>
    <w:qFormat/>
    <w:rsid w:val="00BC3860"/>
    <w:pPr>
      <w:spacing w:before="150" w:after="150"/>
      <w:jc w:val="center"/>
    </w:pPr>
    <w:rPr>
      <w:b/>
      <w:bCs/>
    </w:rPr>
  </w:style>
  <w:style w:type="paragraph" w:customStyle="1" w:styleId="naiskr">
    <w:name w:val="naiskr"/>
    <w:basedOn w:val="Normal"/>
    <w:qFormat/>
    <w:rsid w:val="00BC3860"/>
    <w:pPr>
      <w:spacing w:before="75" w:after="75"/>
    </w:pPr>
  </w:style>
  <w:style w:type="paragraph" w:styleId="Title">
    <w:name w:val="Title"/>
    <w:basedOn w:val="Normal"/>
    <w:link w:val="TitleChar"/>
    <w:qFormat/>
    <w:rsid w:val="00BC3860"/>
    <w:pPr>
      <w:jc w:val="center"/>
    </w:pPr>
    <w:rPr>
      <w:b/>
      <w:bCs/>
      <w:lang w:eastAsia="en-US"/>
    </w:rPr>
  </w:style>
  <w:style w:type="character" w:customStyle="1" w:styleId="TitleChar">
    <w:name w:val="Title Char"/>
    <w:basedOn w:val="DefaultParagraphFont"/>
    <w:link w:val="Title"/>
    <w:rsid w:val="00BC3860"/>
    <w:rPr>
      <w:rFonts w:ascii="Times New Roman" w:eastAsia="Times New Roman" w:hAnsi="Times New Roman" w:cs="Times New Roman"/>
      <w:b/>
      <w:bCs/>
      <w:sz w:val="24"/>
      <w:szCs w:val="24"/>
    </w:rPr>
  </w:style>
  <w:style w:type="paragraph" w:customStyle="1" w:styleId="naisc">
    <w:name w:val="naisc"/>
    <w:basedOn w:val="Normal"/>
    <w:rsid w:val="00BC3860"/>
    <w:pPr>
      <w:spacing w:before="75" w:after="75"/>
      <w:jc w:val="center"/>
    </w:pPr>
  </w:style>
  <w:style w:type="paragraph" w:customStyle="1" w:styleId="tv2161">
    <w:name w:val="tv2161"/>
    <w:basedOn w:val="Normal"/>
    <w:rsid w:val="00BC3860"/>
    <w:pPr>
      <w:spacing w:before="240" w:line="360" w:lineRule="auto"/>
      <w:ind w:firstLine="259"/>
      <w:jc w:val="right"/>
    </w:pPr>
    <w:rPr>
      <w:rFonts w:ascii="Verdana" w:hAnsi="Verdana"/>
      <w:sz w:val="16"/>
      <w:szCs w:val="16"/>
      <w:lang w:eastAsia="en-US"/>
    </w:rPr>
  </w:style>
  <w:style w:type="paragraph" w:styleId="FootnoteText">
    <w:name w:val="footnote text"/>
    <w:basedOn w:val="Normal"/>
    <w:link w:val="FootnoteTextChar"/>
    <w:uiPriority w:val="99"/>
    <w:unhideWhenUsed/>
    <w:rsid w:val="00BC3860"/>
    <w:rPr>
      <w:sz w:val="20"/>
      <w:szCs w:val="20"/>
    </w:rPr>
  </w:style>
  <w:style w:type="character" w:customStyle="1" w:styleId="FootnoteTextChar">
    <w:name w:val="Footnote Text Char"/>
    <w:basedOn w:val="DefaultParagraphFont"/>
    <w:link w:val="FootnoteText"/>
    <w:uiPriority w:val="99"/>
    <w:rsid w:val="00BC3860"/>
    <w:rPr>
      <w:rFonts w:ascii="Times New Roman" w:eastAsia="Times New Roman" w:hAnsi="Times New Roman" w:cs="Times New Roman"/>
      <w:sz w:val="20"/>
      <w:szCs w:val="20"/>
      <w:lang w:eastAsia="lv-LV"/>
    </w:rPr>
  </w:style>
  <w:style w:type="character" w:styleId="FootnoteReference">
    <w:name w:val="footnote reference"/>
    <w:aliases w:val="Footnote Reference Number,16 Point,Superscript 6 Point,Footnote symbol,Footnote Refernece,Footnote Reference Superscript,SUPERS,fr,number,BVI fnr,Footnote symboFußnotenzeichen,Footnote sign,Footnote number,-E Fußnotenzeichen,stylish"/>
    <w:link w:val="CharCharCharChar"/>
    <w:uiPriority w:val="99"/>
    <w:unhideWhenUsed/>
    <w:qFormat/>
    <w:rsid w:val="00BC3860"/>
    <w:rPr>
      <w:vertAlign w:val="superscript"/>
    </w:rPr>
  </w:style>
  <w:style w:type="paragraph" w:styleId="ListParagraph">
    <w:name w:val="List Paragraph"/>
    <w:aliases w:val="2,Numbered Para 1,Dot pt,No Spacing1,List Paragraph Char Char Char,Indicator Text,List Paragraph1,Bullet Points,MAIN CONTENT,IFCL - List Paragraph,List Paragraph12,OBC Bullet,F5 List Paragraph,Bullet Styl,Strip,Colorful List - Accent 11"/>
    <w:basedOn w:val="Normal"/>
    <w:link w:val="ListParagraphChar"/>
    <w:uiPriority w:val="34"/>
    <w:qFormat/>
    <w:rsid w:val="00BC3860"/>
    <w:pPr>
      <w:ind w:left="720"/>
      <w:contextualSpacing/>
    </w:pPr>
  </w:style>
  <w:style w:type="paragraph" w:customStyle="1" w:styleId="tv213">
    <w:name w:val="tv213"/>
    <w:basedOn w:val="Normal"/>
    <w:rsid w:val="00BC3860"/>
    <w:pPr>
      <w:spacing w:before="100" w:beforeAutospacing="1" w:after="100" w:afterAutospacing="1"/>
    </w:pPr>
  </w:style>
  <w:style w:type="character" w:styleId="CommentReference">
    <w:name w:val="annotation reference"/>
    <w:uiPriority w:val="99"/>
    <w:semiHidden/>
    <w:unhideWhenUsed/>
    <w:rsid w:val="00BC3860"/>
    <w:rPr>
      <w:sz w:val="16"/>
      <w:szCs w:val="16"/>
    </w:rPr>
  </w:style>
  <w:style w:type="character" w:styleId="Emphasis">
    <w:name w:val="Emphasis"/>
    <w:uiPriority w:val="20"/>
    <w:qFormat/>
    <w:rsid w:val="00BC3860"/>
    <w:rPr>
      <w:i/>
      <w:iCs/>
    </w:rPr>
  </w:style>
  <w:style w:type="paragraph" w:styleId="NormalWeb">
    <w:name w:val="Normal (Web)"/>
    <w:basedOn w:val="Normal"/>
    <w:rsid w:val="00BC3860"/>
    <w:pPr>
      <w:spacing w:before="100" w:beforeAutospacing="1" w:after="100" w:afterAutospacing="1"/>
    </w:pPr>
    <w:rPr>
      <w:sz w:val="21"/>
      <w:szCs w:val="21"/>
    </w:rPr>
  </w:style>
  <w:style w:type="character" w:customStyle="1" w:styleId="Internetasaite">
    <w:name w:val="Interneta saite"/>
    <w:rsid w:val="00BC3860"/>
    <w:rPr>
      <w:color w:val="0000FF"/>
      <w:u w:val="single"/>
    </w:rPr>
  </w:style>
  <w:style w:type="character" w:customStyle="1" w:styleId="Vresenkurs">
    <w:name w:val="Vēres enkurs"/>
    <w:rsid w:val="00BC3860"/>
    <w:rPr>
      <w:vertAlign w:val="superscript"/>
    </w:rPr>
  </w:style>
  <w:style w:type="character" w:customStyle="1" w:styleId="Vresrakstzmes">
    <w:name w:val="Vēres rakstzīmes"/>
    <w:qFormat/>
    <w:rsid w:val="00BC3860"/>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rsid w:val="00BC3860"/>
    <w:rPr>
      <w:rFonts w:ascii="Times New Roman" w:eastAsia="Times New Roman" w:hAnsi="Times New Roman" w:cs="Times New Roman"/>
      <w:sz w:val="24"/>
      <w:szCs w:val="24"/>
      <w:lang w:eastAsia="lv-LV"/>
    </w:rPr>
  </w:style>
  <w:style w:type="paragraph" w:customStyle="1" w:styleId="norm">
    <w:name w:val="norm"/>
    <w:basedOn w:val="Normal"/>
    <w:rsid w:val="00BC3860"/>
    <w:pPr>
      <w:spacing w:before="100" w:beforeAutospacing="1" w:after="100" w:afterAutospacing="1"/>
    </w:pPr>
  </w:style>
  <w:style w:type="character" w:customStyle="1" w:styleId="italic">
    <w:name w:val="italic"/>
    <w:basedOn w:val="DefaultParagraphFont"/>
    <w:rsid w:val="00BC3860"/>
  </w:style>
  <w:style w:type="character" w:customStyle="1" w:styleId="data-product-info-title">
    <w:name w:val="data-product-info-title"/>
    <w:basedOn w:val="DefaultParagraphFont"/>
    <w:rsid w:val="00BC3860"/>
  </w:style>
  <w:style w:type="character" w:customStyle="1" w:styleId="leftside">
    <w:name w:val="left_side"/>
    <w:basedOn w:val="DefaultParagraphFont"/>
    <w:rsid w:val="00BC3860"/>
  </w:style>
  <w:style w:type="character" w:customStyle="1" w:styleId="normaltextrun">
    <w:name w:val="normaltextrun"/>
    <w:basedOn w:val="DefaultParagraphFont"/>
    <w:rsid w:val="00BC3860"/>
  </w:style>
  <w:style w:type="character" w:styleId="UnresolvedMention">
    <w:name w:val="Unresolved Mention"/>
    <w:basedOn w:val="DefaultParagraphFont"/>
    <w:uiPriority w:val="99"/>
    <w:semiHidden/>
    <w:unhideWhenUsed/>
    <w:rsid w:val="00B764D8"/>
    <w:rPr>
      <w:color w:val="605E5C"/>
      <w:shd w:val="clear" w:color="auto" w:fill="E1DFDD"/>
    </w:rPr>
  </w:style>
  <w:style w:type="paragraph" w:customStyle="1" w:styleId="footnote">
    <w:name w:val="footnote"/>
    <w:basedOn w:val="FootnoteText"/>
    <w:link w:val="footnoteChar"/>
    <w:qFormat/>
    <w:rsid w:val="00D72BD7"/>
    <w:pPr>
      <w:ind w:left="284" w:hanging="284"/>
      <w:jc w:val="both"/>
    </w:pPr>
    <w:rPr>
      <w:rFonts w:cs="Calibri Light"/>
      <w:color w:val="808080"/>
      <w:sz w:val="18"/>
      <w:szCs w:val="16"/>
      <w:lang w:eastAsia="en-US"/>
    </w:rPr>
  </w:style>
  <w:style w:type="character" w:customStyle="1" w:styleId="footnoteChar">
    <w:name w:val="footnote Char"/>
    <w:link w:val="footnote"/>
    <w:rsid w:val="00D72BD7"/>
    <w:rPr>
      <w:rFonts w:ascii="Times New Roman" w:eastAsia="Times New Roman" w:hAnsi="Times New Roman" w:cs="Calibri Light"/>
      <w:color w:val="808080"/>
      <w:sz w:val="18"/>
      <w:szCs w:val="16"/>
    </w:rPr>
  </w:style>
  <w:style w:type="paragraph" w:customStyle="1" w:styleId="CharCharCharChar">
    <w:name w:val="Char Char Char Char"/>
    <w:aliases w:val="Char2"/>
    <w:basedOn w:val="Normal"/>
    <w:next w:val="Normal"/>
    <w:link w:val="FootnoteReference"/>
    <w:uiPriority w:val="99"/>
    <w:rsid w:val="00D72BD7"/>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customStyle="1" w:styleId="Tabulasnosaukums1">
    <w:name w:val="Tabulas nosaukums 1"/>
    <w:basedOn w:val="Normal"/>
    <w:link w:val="Tabulasnosaukums1Char"/>
    <w:qFormat/>
    <w:rsid w:val="00D72BD7"/>
    <w:pPr>
      <w:jc w:val="center"/>
    </w:pPr>
    <w:rPr>
      <w:rFonts w:eastAsia="Calibri"/>
      <w:b/>
      <w:color w:val="000000"/>
      <w:szCs w:val="22"/>
      <w:lang w:eastAsia="en-US"/>
    </w:rPr>
  </w:style>
  <w:style w:type="character" w:customStyle="1" w:styleId="Tabulasnosaukums1Char">
    <w:name w:val="Tabulas nosaukums 1 Char"/>
    <w:link w:val="Tabulasnosaukums1"/>
    <w:rsid w:val="00D72BD7"/>
    <w:rPr>
      <w:rFonts w:ascii="Times New Roman" w:eastAsia="Calibri" w:hAnsi="Times New Roman" w:cs="Times New Roman"/>
      <w:b/>
      <w:color w:val="000000"/>
      <w:sz w:val="24"/>
    </w:rPr>
  </w:style>
  <w:style w:type="paragraph" w:styleId="CommentText">
    <w:name w:val="annotation text"/>
    <w:basedOn w:val="Normal"/>
    <w:link w:val="CommentTextChar"/>
    <w:uiPriority w:val="99"/>
    <w:semiHidden/>
    <w:unhideWhenUsed/>
    <w:rsid w:val="00520EB3"/>
    <w:pPr>
      <w:ind w:firstLine="720"/>
      <w:jc w:val="both"/>
    </w:pPr>
    <w:rPr>
      <w:rFonts w:eastAsia="Calibri"/>
      <w:sz w:val="20"/>
      <w:szCs w:val="20"/>
      <w:lang w:eastAsia="en-US"/>
    </w:rPr>
  </w:style>
  <w:style w:type="character" w:customStyle="1" w:styleId="CommentTextChar">
    <w:name w:val="Comment Text Char"/>
    <w:basedOn w:val="DefaultParagraphFont"/>
    <w:link w:val="CommentText"/>
    <w:uiPriority w:val="99"/>
    <w:semiHidden/>
    <w:rsid w:val="00520EB3"/>
    <w:rPr>
      <w:rFonts w:ascii="Times New Roman" w:eastAsia="Calibri" w:hAnsi="Times New Roman" w:cs="Times New Roman"/>
      <w:sz w:val="20"/>
      <w:szCs w:val="20"/>
    </w:rPr>
  </w:style>
  <w:style w:type="paragraph" w:styleId="Footer">
    <w:name w:val="footer"/>
    <w:basedOn w:val="Normal"/>
    <w:link w:val="FooterChar"/>
    <w:uiPriority w:val="99"/>
    <w:unhideWhenUsed/>
    <w:rsid w:val="00A211A9"/>
    <w:pPr>
      <w:tabs>
        <w:tab w:val="center" w:pos="4153"/>
        <w:tab w:val="right" w:pos="8306"/>
      </w:tabs>
    </w:pPr>
  </w:style>
  <w:style w:type="character" w:customStyle="1" w:styleId="FooterChar">
    <w:name w:val="Footer Char"/>
    <w:basedOn w:val="DefaultParagraphFont"/>
    <w:link w:val="Footer"/>
    <w:uiPriority w:val="99"/>
    <w:rsid w:val="00A211A9"/>
    <w:rPr>
      <w:rFonts w:ascii="Times New Roman" w:eastAsia="Times New Roman" w:hAnsi="Times New Roman" w:cs="Times New Roman"/>
      <w:sz w:val="24"/>
      <w:szCs w:val="24"/>
      <w:lang w:eastAsia="lv-LV"/>
    </w:rPr>
  </w:style>
  <w:style w:type="table" w:styleId="TableGrid">
    <w:name w:val="Table Grid"/>
    <w:basedOn w:val="TableNormal"/>
    <w:uiPriority w:val="39"/>
    <w:rsid w:val="002C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4E6B"/>
    <w:pPr>
      <w:ind w:firstLine="0"/>
      <w:jc w:val="left"/>
    </w:pPr>
    <w:rPr>
      <w:rFonts w:eastAsia="Times New Roman"/>
      <w:b/>
      <w:bCs/>
      <w:lang w:eastAsia="lv-LV"/>
    </w:rPr>
  </w:style>
  <w:style w:type="character" w:customStyle="1" w:styleId="CommentSubjectChar">
    <w:name w:val="Comment Subject Char"/>
    <w:basedOn w:val="CommentTextChar"/>
    <w:link w:val="CommentSubject"/>
    <w:uiPriority w:val="99"/>
    <w:semiHidden/>
    <w:rsid w:val="001C4E6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ze.Donina@vara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gov.lv/lv/content/sabiedribas-lidzdali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ra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sites/varam/files/content/investiciju-vajadzibu-izvertejums-aavp-2021_2028-geoconsultants-2020.pdf" TargetMode="External"/><Relationship Id="rId2" Type="http://schemas.openxmlformats.org/officeDocument/2006/relationships/hyperlink" Target="https://www.varam.gov.lv/sites/varam/files/content/investiciju-vajadzibu-izvertejums-aavp-2021_2028-geoconsultants-2020.pdf" TargetMode="External"/><Relationship Id="rId1" Type="http://schemas.openxmlformats.org/officeDocument/2006/relationships/hyperlink" Target="https://likumi.lv/ta/id/320476" TargetMode="External"/><Relationship Id="rId4" Type="http://schemas.openxmlformats.org/officeDocument/2006/relationships/hyperlink" Target="https://www.varam.gov.lv/sites/varam/files/content/investiciju-vajadzibu-izvertejums-aavp-2021_2028-geoconsultant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C379-69B7-46F6-A84C-C07AEEB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10509</Words>
  <Characters>5991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atkritumu apsaimniekošanas reģioniem” sākotnējās ietekmes novērtējuma ziņojums (anotācija)</dc:title>
  <dc:subject/>
  <dc:creator>Ilze Doniņa</dc:creator>
  <cp:keywords/>
  <dc:description>ilze.donina@varam.gov.lv</dc:description>
  <cp:lastModifiedBy>Lita Trakina</cp:lastModifiedBy>
  <cp:revision>2</cp:revision>
  <dcterms:created xsi:type="dcterms:W3CDTF">2021-04-06T12:08:00Z</dcterms:created>
  <dcterms:modified xsi:type="dcterms:W3CDTF">2021-04-06T12:08:00Z</dcterms:modified>
  <cp:category>Anotācija</cp:category>
</cp:coreProperties>
</file>