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A428" w14:textId="77777777" w:rsidR="00895374" w:rsidRPr="00027763" w:rsidRDefault="00895374" w:rsidP="00895374">
      <w:pPr>
        <w:spacing w:before="150" w:after="150"/>
        <w:jc w:val="center"/>
        <w:rPr>
          <w:b/>
          <w:bCs/>
        </w:rPr>
      </w:pPr>
      <w:r>
        <w:rPr>
          <w:b/>
          <w:bCs/>
        </w:rPr>
        <w:t>Ministru kabineta noteikumu projekta „Grozījumi Ministru kabineta 2009.</w:t>
      </w:r>
      <w:r w:rsidR="00551B84">
        <w:rPr>
          <w:b/>
          <w:bCs/>
        </w:rPr>
        <w:t> </w:t>
      </w:r>
      <w:r>
        <w:rPr>
          <w:b/>
          <w:bCs/>
        </w:rPr>
        <w:t>gada 6.</w:t>
      </w:r>
      <w:r w:rsidR="00551B84">
        <w:rPr>
          <w:b/>
          <w:bCs/>
        </w:rPr>
        <w:t> </w:t>
      </w:r>
      <w:r>
        <w:rPr>
          <w:b/>
          <w:bCs/>
        </w:rPr>
        <w:t>oktobra noteikumos Nr.</w:t>
      </w:r>
      <w:r w:rsidR="00551B84">
        <w:rPr>
          <w:b/>
          <w:bCs/>
        </w:rPr>
        <w:t> </w:t>
      </w:r>
      <w:r>
        <w:rPr>
          <w:b/>
          <w:bCs/>
        </w:rPr>
        <w:t xml:space="preserve">1151 „Noteikumi par radiofrekvenču spektra joslu sadalījumu radiosakaru veidiem un iedalījumu radiosakaru sistēmām, kā arī par radiofrekvenču spektra joslu izmantošanas vispārīgajiem nosacījumiem (Nacionālais radiofrekvenču plāns)”” </w:t>
      </w:r>
      <w:r w:rsidRPr="00027763">
        <w:rPr>
          <w:b/>
          <w:bCs/>
        </w:rPr>
        <w:t>sākotnējās ietekmes novērtējuma ziņojums (anotācija)</w:t>
      </w:r>
    </w:p>
    <w:tbl>
      <w:tblPr>
        <w:tblStyle w:val="TableGrid"/>
        <w:tblW w:w="5000" w:type="pct"/>
        <w:tblInd w:w="-5" w:type="dxa"/>
        <w:tblLook w:val="04A0" w:firstRow="1" w:lastRow="0" w:firstColumn="1" w:lastColumn="0" w:noHBand="0" w:noVBand="1"/>
      </w:tblPr>
      <w:tblGrid>
        <w:gridCol w:w="2977"/>
        <w:gridCol w:w="6373"/>
      </w:tblGrid>
      <w:tr w:rsidR="005A67B8" w14:paraId="703B5BC5" w14:textId="77777777" w:rsidTr="005A67B8">
        <w:tc>
          <w:tcPr>
            <w:tcW w:w="0" w:type="auto"/>
            <w:gridSpan w:val="2"/>
            <w:tcBorders>
              <w:top w:val="single" w:sz="4" w:space="0" w:color="auto"/>
              <w:left w:val="single" w:sz="4" w:space="0" w:color="auto"/>
              <w:bottom w:val="single" w:sz="4" w:space="0" w:color="auto"/>
              <w:right w:val="single" w:sz="4" w:space="0" w:color="auto"/>
            </w:tcBorders>
            <w:hideMark/>
          </w:tcPr>
          <w:p w14:paraId="08D8622F" w14:textId="77777777" w:rsidR="005A67B8" w:rsidRDefault="005A67B8">
            <w:pPr>
              <w:spacing w:before="100" w:beforeAutospacing="1" w:after="100" w:afterAutospacing="1" w:line="360" w:lineRule="auto"/>
              <w:ind w:firstLine="300"/>
              <w:jc w:val="center"/>
              <w:rPr>
                <w:b/>
                <w:bCs/>
              </w:rPr>
            </w:pPr>
            <w:r>
              <w:rPr>
                <w:b/>
                <w:bCs/>
              </w:rPr>
              <w:t>Tiesību akta projekta anotācijas kopsavilkums</w:t>
            </w:r>
          </w:p>
        </w:tc>
      </w:tr>
      <w:tr w:rsidR="005A67B8" w14:paraId="0A8F76F2" w14:textId="77777777" w:rsidTr="00450A79">
        <w:tc>
          <w:tcPr>
            <w:tcW w:w="1592" w:type="pct"/>
            <w:tcBorders>
              <w:top w:val="single" w:sz="4" w:space="0" w:color="auto"/>
              <w:left w:val="single" w:sz="4" w:space="0" w:color="auto"/>
              <w:bottom w:val="single" w:sz="4" w:space="0" w:color="auto"/>
              <w:right w:val="single" w:sz="4" w:space="0" w:color="auto"/>
            </w:tcBorders>
            <w:hideMark/>
          </w:tcPr>
          <w:p w14:paraId="2EC0AABD" w14:textId="77777777" w:rsidR="00485C7E" w:rsidRDefault="005A67B8" w:rsidP="00D36872">
            <w:r>
              <w:t>Mērķis, risinājums un projekta spēkā stāšanās laiks</w:t>
            </w:r>
          </w:p>
          <w:p w14:paraId="303C8556" w14:textId="187F65DE" w:rsidR="005A67B8" w:rsidRDefault="00485C7E" w:rsidP="00DD1BD3">
            <w:r>
              <w:t xml:space="preserve">(500 zīmes bez atstarpēm) </w:t>
            </w:r>
          </w:p>
        </w:tc>
        <w:tc>
          <w:tcPr>
            <w:tcW w:w="3408" w:type="pct"/>
            <w:tcBorders>
              <w:top w:val="single" w:sz="4" w:space="0" w:color="auto"/>
              <w:left w:val="single" w:sz="4" w:space="0" w:color="auto"/>
              <w:bottom w:val="single" w:sz="4" w:space="0" w:color="auto"/>
              <w:right w:val="single" w:sz="4" w:space="0" w:color="auto"/>
            </w:tcBorders>
            <w:hideMark/>
          </w:tcPr>
          <w:p w14:paraId="1CD3F5F5" w14:textId="6BA7DD07" w:rsidR="00A74C55" w:rsidRDefault="008C2864" w:rsidP="008C2864">
            <w:pPr>
              <w:jc w:val="both"/>
            </w:pPr>
            <w:r w:rsidRPr="00784059">
              <w:rPr>
                <w:bCs/>
              </w:rPr>
              <w:t>Mini</w:t>
            </w:r>
            <w:r w:rsidRPr="008C2864">
              <w:rPr>
                <w:bCs/>
              </w:rPr>
              <w:t>stru kabineta noteikumu projekts</w:t>
            </w:r>
            <w:r w:rsidRPr="00784059">
              <w:rPr>
                <w:bCs/>
              </w:rPr>
              <w:t xml:space="preserve"> „Grozījumi Ministru kabineta 2009. gada 6. oktobra noteikumos Nr. 1151 „Noteikumi par radiofrekvenču spektra joslu sadalījumu radiosakaru veidiem un iedalījumu radiosakaru sistēmām, kā arī par radiofrekvenču spektra joslu izmantošanas vispārīgajiem nosacījumiem (Nacionālais radiofrekvenču plāns)””</w:t>
            </w:r>
            <w:r>
              <w:rPr>
                <w:bCs/>
              </w:rPr>
              <w:t xml:space="preserve"> (turpmāk – noteikumu projekts)</w:t>
            </w:r>
            <w:r>
              <w:rPr>
                <w:b/>
                <w:bCs/>
              </w:rPr>
              <w:t xml:space="preserve"> </w:t>
            </w:r>
            <w:r w:rsidRPr="00784059">
              <w:rPr>
                <w:bCs/>
              </w:rPr>
              <w:t>paredz</w:t>
            </w:r>
            <w:r>
              <w:rPr>
                <w:b/>
                <w:bCs/>
              </w:rPr>
              <w:t xml:space="preserve"> </w:t>
            </w:r>
            <w:r>
              <w:t>a</w:t>
            </w:r>
            <w:r w:rsidR="00EA1FD2">
              <w:t xml:space="preserve">ktualizēt radiofrekvenču spektra </w:t>
            </w:r>
            <w:r w:rsidR="00A908C8">
              <w:t xml:space="preserve">plānojumu radiosakaru </w:t>
            </w:r>
            <w:r w:rsidR="00CD69EA">
              <w:t>dienestiem</w:t>
            </w:r>
            <w:r w:rsidR="00A908C8">
              <w:t xml:space="preserve"> un </w:t>
            </w:r>
            <w:r w:rsidR="00CD69EA">
              <w:t xml:space="preserve">iedalījumu radiosakaru sistēmām, </w:t>
            </w:r>
            <w:r w:rsidR="00A908C8">
              <w:t xml:space="preserve">atbilstoši </w:t>
            </w:r>
            <w:r w:rsidR="00A74C55">
              <w:t xml:space="preserve">Eiropas </w:t>
            </w:r>
            <w:r w:rsidR="007E6BC7">
              <w:t>Komisijas</w:t>
            </w:r>
            <w:r w:rsidR="00FB452B">
              <w:t xml:space="preserve"> lēmum</w:t>
            </w:r>
            <w:r w:rsidR="00A908C8">
              <w:t>iem</w:t>
            </w:r>
            <w:r w:rsidR="00CD69EA">
              <w:t>.</w:t>
            </w:r>
          </w:p>
        </w:tc>
      </w:tr>
    </w:tbl>
    <w:p w14:paraId="3CD2EB92" w14:textId="77777777" w:rsidR="005A67B8" w:rsidRDefault="005A67B8" w:rsidP="00895374">
      <w:pPr>
        <w:pStyle w:val="naisc"/>
        <w:spacing w:before="0" w:after="0"/>
      </w:pPr>
    </w:p>
    <w:tbl>
      <w:tblPr>
        <w:tblpPr w:leftFromText="180" w:rightFromText="180" w:vertAnchor="text" w:tblpY="1"/>
        <w:tblOverlap w:val="neve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06"/>
        <w:gridCol w:w="2538"/>
        <w:gridCol w:w="6306"/>
      </w:tblGrid>
      <w:tr w:rsidR="00895374" w:rsidRPr="00E030F4" w14:paraId="69EF5C06" w14:textId="77777777" w:rsidTr="000566DB">
        <w:tc>
          <w:tcPr>
            <w:tcW w:w="5000" w:type="pct"/>
            <w:gridSpan w:val="3"/>
            <w:tcBorders>
              <w:top w:val="single" w:sz="4" w:space="0" w:color="auto"/>
              <w:left w:val="single" w:sz="4" w:space="0" w:color="auto"/>
              <w:bottom w:val="outset" w:sz="6" w:space="0" w:color="000000"/>
              <w:right w:val="single" w:sz="4" w:space="0" w:color="auto"/>
            </w:tcBorders>
          </w:tcPr>
          <w:p w14:paraId="02A408B9" w14:textId="77777777" w:rsidR="00895374" w:rsidRPr="00E030F4" w:rsidRDefault="00895374" w:rsidP="000566DB">
            <w:pPr>
              <w:spacing w:before="100" w:beforeAutospacing="1" w:after="100" w:afterAutospacing="1"/>
              <w:jc w:val="center"/>
              <w:rPr>
                <w:b/>
                <w:bCs/>
              </w:rPr>
            </w:pPr>
            <w:r w:rsidRPr="00CE70FA">
              <w:rPr>
                <w:b/>
                <w:bCs/>
              </w:rPr>
              <w:t>I.</w:t>
            </w:r>
            <w:r w:rsidR="00551B84">
              <w:rPr>
                <w:b/>
                <w:bCs/>
              </w:rPr>
              <w:t> </w:t>
            </w:r>
            <w:r w:rsidRPr="00CE70FA">
              <w:rPr>
                <w:b/>
                <w:bCs/>
              </w:rPr>
              <w:t>Tiesību akta projekta izstrādes nepieciešamība</w:t>
            </w:r>
          </w:p>
        </w:tc>
      </w:tr>
      <w:tr w:rsidR="00895374" w:rsidRPr="00E030F4" w14:paraId="052E492B" w14:textId="77777777" w:rsidTr="000566DB">
        <w:tc>
          <w:tcPr>
            <w:tcW w:w="271" w:type="pct"/>
            <w:tcBorders>
              <w:top w:val="outset" w:sz="6" w:space="0" w:color="000000"/>
              <w:left w:val="outset" w:sz="6" w:space="0" w:color="000000"/>
              <w:bottom w:val="outset" w:sz="6" w:space="0" w:color="000000"/>
              <w:right w:val="outset" w:sz="6" w:space="0" w:color="000000"/>
            </w:tcBorders>
          </w:tcPr>
          <w:p w14:paraId="1EAA4294" w14:textId="77777777" w:rsidR="00895374" w:rsidRPr="00E030F4" w:rsidRDefault="00895374" w:rsidP="000566DB">
            <w:pPr>
              <w:spacing w:before="100" w:beforeAutospacing="1" w:after="100" w:afterAutospacing="1"/>
            </w:pPr>
            <w:r w:rsidRPr="00E030F4">
              <w:t>1.</w:t>
            </w:r>
          </w:p>
        </w:tc>
        <w:tc>
          <w:tcPr>
            <w:tcW w:w="1357" w:type="pct"/>
            <w:tcBorders>
              <w:top w:val="outset" w:sz="6" w:space="0" w:color="000000"/>
              <w:left w:val="outset" w:sz="6" w:space="0" w:color="000000"/>
              <w:bottom w:val="outset" w:sz="6" w:space="0" w:color="000000"/>
              <w:right w:val="outset" w:sz="6" w:space="0" w:color="000000"/>
            </w:tcBorders>
          </w:tcPr>
          <w:p w14:paraId="04C8DD91" w14:textId="77777777" w:rsidR="00895374" w:rsidRPr="00E030F4" w:rsidRDefault="00895374" w:rsidP="000566DB">
            <w:pPr>
              <w:spacing w:before="100" w:beforeAutospacing="1" w:after="100" w:afterAutospacing="1"/>
            </w:pPr>
            <w:r w:rsidRPr="00CE70FA">
              <w:t>Pamatojums</w:t>
            </w:r>
          </w:p>
        </w:tc>
        <w:tc>
          <w:tcPr>
            <w:tcW w:w="3372" w:type="pct"/>
            <w:tcBorders>
              <w:top w:val="outset" w:sz="6" w:space="0" w:color="000000"/>
              <w:left w:val="outset" w:sz="6" w:space="0" w:color="000000"/>
              <w:bottom w:val="outset" w:sz="6" w:space="0" w:color="000000"/>
              <w:right w:val="outset" w:sz="6" w:space="0" w:color="000000"/>
            </w:tcBorders>
          </w:tcPr>
          <w:p w14:paraId="28E8C730" w14:textId="77777777" w:rsidR="00895374" w:rsidRPr="00F9121C" w:rsidRDefault="00895374" w:rsidP="000566DB">
            <w:pPr>
              <w:jc w:val="both"/>
            </w:pPr>
            <w:r>
              <w:t>Elektronisko sakaru likuma 49.</w:t>
            </w:r>
            <w:r w:rsidR="00551B84">
              <w:t> </w:t>
            </w:r>
            <w:r>
              <w:t>panta pirmā daļa un 50.</w:t>
            </w:r>
            <w:r w:rsidR="00551B84">
              <w:t> </w:t>
            </w:r>
            <w:r>
              <w:t>pants.</w:t>
            </w:r>
          </w:p>
        </w:tc>
      </w:tr>
      <w:tr w:rsidR="00895374" w:rsidRPr="00096A02" w14:paraId="24FB5F52" w14:textId="77777777" w:rsidTr="000566DB">
        <w:tc>
          <w:tcPr>
            <w:tcW w:w="271" w:type="pct"/>
            <w:tcBorders>
              <w:top w:val="outset" w:sz="6" w:space="0" w:color="000000"/>
              <w:left w:val="outset" w:sz="6" w:space="0" w:color="000000"/>
              <w:bottom w:val="outset" w:sz="6" w:space="0" w:color="000000"/>
              <w:right w:val="outset" w:sz="6" w:space="0" w:color="000000"/>
            </w:tcBorders>
          </w:tcPr>
          <w:p w14:paraId="5BB9AA18" w14:textId="77777777" w:rsidR="00895374" w:rsidRPr="00E030F4" w:rsidRDefault="00895374" w:rsidP="000566DB">
            <w:pPr>
              <w:spacing w:before="100" w:beforeAutospacing="1" w:after="100" w:afterAutospacing="1"/>
            </w:pPr>
            <w:r w:rsidRPr="00E030F4">
              <w:t>2.</w:t>
            </w:r>
          </w:p>
        </w:tc>
        <w:tc>
          <w:tcPr>
            <w:tcW w:w="1357" w:type="pct"/>
            <w:tcBorders>
              <w:top w:val="outset" w:sz="6" w:space="0" w:color="000000"/>
              <w:left w:val="outset" w:sz="6" w:space="0" w:color="000000"/>
              <w:bottom w:val="outset" w:sz="6" w:space="0" w:color="000000"/>
              <w:right w:val="outset" w:sz="6" w:space="0" w:color="000000"/>
            </w:tcBorders>
          </w:tcPr>
          <w:p w14:paraId="7CBF52C0" w14:textId="77777777" w:rsidR="00C36202" w:rsidRDefault="00895374" w:rsidP="000566DB">
            <w:pPr>
              <w:spacing w:before="100" w:beforeAutospacing="1" w:after="100" w:afterAutospacing="1"/>
            </w:pPr>
            <w:r w:rsidRPr="00CE70FA">
              <w:t>Pašreizējā situācija un problēmas</w:t>
            </w:r>
            <w:r>
              <w:t>, kuru risināšanai tiesību akta projekts izstrādāts, t</w:t>
            </w:r>
            <w:r w:rsidRPr="00156F05">
              <w:t>iesiskā regulējuma mērķis un būtība</w:t>
            </w:r>
          </w:p>
          <w:p w14:paraId="52D68F80" w14:textId="77777777" w:rsidR="00895374" w:rsidRPr="00C36202" w:rsidRDefault="00895374" w:rsidP="000566DB">
            <w:pPr>
              <w:ind w:firstLine="720"/>
            </w:pPr>
          </w:p>
        </w:tc>
        <w:tc>
          <w:tcPr>
            <w:tcW w:w="3372" w:type="pct"/>
            <w:tcBorders>
              <w:top w:val="outset" w:sz="6" w:space="0" w:color="000000"/>
              <w:left w:val="outset" w:sz="6" w:space="0" w:color="000000"/>
              <w:bottom w:val="outset" w:sz="6" w:space="0" w:color="000000"/>
              <w:right w:val="outset" w:sz="6" w:space="0" w:color="000000"/>
            </w:tcBorders>
          </w:tcPr>
          <w:p w14:paraId="0C4C162B" w14:textId="5550E4F8" w:rsidR="00895374" w:rsidRDefault="00895374" w:rsidP="000566DB">
            <w:pPr>
              <w:jc w:val="both"/>
            </w:pPr>
            <w:r>
              <w:t>Regulējum</w:t>
            </w:r>
            <w:r w:rsidR="00BC5721">
              <w:t>u</w:t>
            </w:r>
            <w:r w:rsidR="00252F7D">
              <w:t>,</w:t>
            </w:r>
            <w:r>
              <w:t xml:space="preserve"> kādā šobrīd noteikts </w:t>
            </w:r>
            <w:r w:rsidRPr="00662FFA">
              <w:t>radiofrekvenču joslu sadalījum</w:t>
            </w:r>
            <w:r>
              <w:t>s</w:t>
            </w:r>
            <w:r w:rsidRPr="00662FFA">
              <w:t xml:space="preserve"> radiosakaru veidiem</w:t>
            </w:r>
            <w:r>
              <w:t xml:space="preserve"> un</w:t>
            </w:r>
            <w:r w:rsidRPr="00131F09">
              <w:t xml:space="preserve"> iedalījums radiosakaru sistēmām</w:t>
            </w:r>
            <w:r w:rsidR="00551B84">
              <w:t>,</w:t>
            </w:r>
            <w:r w:rsidRPr="00131F09">
              <w:t xml:space="preserve"> </w:t>
            </w:r>
            <w:r w:rsidR="006124C7">
              <w:t>nosaka</w:t>
            </w:r>
            <w:r w:rsidRPr="00662FFA">
              <w:t xml:space="preserve"> </w:t>
            </w:r>
            <w:bookmarkStart w:id="0" w:name="OLE_LINK1"/>
            <w:r w:rsidRPr="00662FFA">
              <w:t>Ministru kabineta 2009.</w:t>
            </w:r>
            <w:r w:rsidR="00551B84">
              <w:t> </w:t>
            </w:r>
            <w:r w:rsidRPr="00662FFA">
              <w:t>gada 6.</w:t>
            </w:r>
            <w:r w:rsidR="00551B84">
              <w:t> </w:t>
            </w:r>
            <w:r w:rsidRPr="00662FFA">
              <w:t>oktobra noteikum</w:t>
            </w:r>
            <w:r w:rsidR="007D055F">
              <w:t>i</w:t>
            </w:r>
            <w:r w:rsidRPr="00662FFA">
              <w:t xml:space="preserve"> Nr.</w:t>
            </w:r>
            <w:r w:rsidR="00551B84">
              <w:t> </w:t>
            </w:r>
            <w:r w:rsidRPr="00662FFA">
              <w:t>1151 „</w:t>
            </w:r>
            <w:r w:rsidRPr="00131F09">
              <w:t>Noteikumi par radiofrekvenču spektra joslu sadalījumu radiosakaru veidiem un iedalījumu radiosakaru sistēmām, kā arī par radiofrekvenču spektra joslu izmantošanas vispārīgajiem nosacījumiem (Nacionālais radiofrekvenču plāns)</w:t>
            </w:r>
            <w:r w:rsidRPr="005831CB">
              <w:t>”</w:t>
            </w:r>
            <w:bookmarkEnd w:id="0"/>
            <w:r w:rsidR="00356B66">
              <w:t xml:space="preserve"> (</w:t>
            </w:r>
            <w:r w:rsidR="00356B66" w:rsidRPr="007315BA">
              <w:rPr>
                <w:bCs/>
              </w:rPr>
              <w:t xml:space="preserve">turpmāk </w:t>
            </w:r>
            <w:r w:rsidR="0015251B">
              <w:rPr>
                <w:bCs/>
              </w:rPr>
              <w:t>–</w:t>
            </w:r>
            <w:r w:rsidR="0015251B" w:rsidRPr="007315BA">
              <w:rPr>
                <w:bCs/>
              </w:rPr>
              <w:t xml:space="preserve"> </w:t>
            </w:r>
            <w:r w:rsidR="005705FE" w:rsidRPr="00131F09">
              <w:t>Nacionālais radiofrekvenču plāns</w:t>
            </w:r>
            <w:r w:rsidR="00356B66" w:rsidRPr="007315BA">
              <w:rPr>
                <w:bCs/>
              </w:rPr>
              <w:t>)</w:t>
            </w:r>
            <w:r w:rsidRPr="005831CB">
              <w:t>.</w:t>
            </w:r>
            <w:r w:rsidR="00356286">
              <w:t xml:space="preserve"> </w:t>
            </w:r>
          </w:p>
          <w:p w14:paraId="5DFB1BFA" w14:textId="77777777" w:rsidR="00252F7D" w:rsidRDefault="00252F7D" w:rsidP="000566DB">
            <w:pPr>
              <w:jc w:val="both"/>
            </w:pPr>
          </w:p>
          <w:p w14:paraId="4C959877" w14:textId="416532B1" w:rsidR="00A67A3E" w:rsidRDefault="00A67A3E" w:rsidP="00074FBB">
            <w:pPr>
              <w:jc w:val="both"/>
            </w:pPr>
            <w:r>
              <w:t>Not</w:t>
            </w:r>
            <w:r w:rsidR="00F523EF">
              <w:t>e</w:t>
            </w:r>
            <w:r>
              <w:t>ikumu projekt</w:t>
            </w:r>
            <w:r w:rsidR="00F523EF">
              <w:t>s</w:t>
            </w:r>
            <w:r>
              <w:t xml:space="preserve"> pārņem šādus Eiropas Komisijas lēmumus:</w:t>
            </w:r>
          </w:p>
          <w:p w14:paraId="7ED75A20" w14:textId="77777777" w:rsidR="00600A15" w:rsidRDefault="00600A15" w:rsidP="00502771">
            <w:pPr>
              <w:jc w:val="both"/>
            </w:pPr>
          </w:p>
          <w:p w14:paraId="0EF1B13D" w14:textId="75CDE48C" w:rsidR="004D30D8" w:rsidRDefault="00915E49" w:rsidP="00502771">
            <w:pPr>
              <w:jc w:val="both"/>
              <w:rPr>
                <w:rFonts w:eastAsiaTheme="minorHAnsi"/>
                <w:color w:val="000000"/>
                <w:lang w:eastAsia="en-US"/>
              </w:rPr>
            </w:pPr>
            <w:r>
              <w:t>1</w:t>
            </w:r>
            <w:r w:rsidR="00095585" w:rsidRPr="008B2ECA">
              <w:t>.</w:t>
            </w:r>
            <w:r w:rsidR="003707B1" w:rsidRPr="008B2ECA">
              <w:t xml:space="preserve"> </w:t>
            </w:r>
            <w:r w:rsidR="00600A15" w:rsidRPr="002D7D41">
              <w:rPr>
                <w:iCs/>
              </w:rPr>
              <w:t xml:space="preserve">Komisijas 2020. gada 6. maija īstenošanas lēmuma (ES) 2020/667 ar ko groza Lēmumu (ES) 2012/688/ES, atjauninot attiecīgos tehniskos nosacījumus, kas piemērojami 1920–1980 </w:t>
            </w:r>
            <w:proofErr w:type="spellStart"/>
            <w:r w:rsidR="00600A15" w:rsidRPr="002D7D41">
              <w:rPr>
                <w:iCs/>
              </w:rPr>
              <w:t>MHz</w:t>
            </w:r>
            <w:proofErr w:type="spellEnd"/>
            <w:r w:rsidR="00600A15" w:rsidRPr="002D7D41">
              <w:rPr>
                <w:iCs/>
              </w:rPr>
              <w:t xml:space="preserve"> un 2110–2170 </w:t>
            </w:r>
            <w:proofErr w:type="spellStart"/>
            <w:r w:rsidR="00600A15" w:rsidRPr="002D7D41">
              <w:rPr>
                <w:iCs/>
              </w:rPr>
              <w:t>MHz</w:t>
            </w:r>
            <w:proofErr w:type="spellEnd"/>
            <w:r w:rsidR="00600A15" w:rsidRPr="002D7D41">
              <w:rPr>
                <w:iCs/>
              </w:rPr>
              <w:t xml:space="preserve"> frekvenču joslām</w:t>
            </w:r>
            <w:r w:rsidR="00331907">
              <w:rPr>
                <w:iCs/>
              </w:rPr>
              <w:t xml:space="preserve"> </w:t>
            </w:r>
            <w:r w:rsidR="00D87022" w:rsidRPr="00502771">
              <w:t>(turpmāk – Lēmums 20</w:t>
            </w:r>
            <w:r w:rsidR="00600A15">
              <w:t>20</w:t>
            </w:r>
            <w:r w:rsidR="00D87022" w:rsidRPr="00502771">
              <w:t>/</w:t>
            </w:r>
            <w:r w:rsidR="00600A15">
              <w:t>667</w:t>
            </w:r>
            <w:r w:rsidR="00004315" w:rsidRPr="00502771">
              <w:t>)</w:t>
            </w:r>
            <w:r w:rsidR="00874FE6" w:rsidRPr="00502771">
              <w:t>.</w:t>
            </w:r>
            <w:r w:rsidR="00D15DCB" w:rsidRPr="00502771">
              <w:t xml:space="preserve"> </w:t>
            </w:r>
            <w:r w:rsidR="003707B1" w:rsidRPr="00502771">
              <w:t xml:space="preserve"> </w:t>
            </w:r>
            <w:r w:rsidR="00502771" w:rsidRPr="00502771">
              <w:rPr>
                <w:rFonts w:eastAsiaTheme="minorHAnsi"/>
                <w:color w:val="000000"/>
                <w:lang w:eastAsia="en-US"/>
              </w:rPr>
              <w:t xml:space="preserve"> </w:t>
            </w:r>
          </w:p>
          <w:p w14:paraId="28471BC4" w14:textId="613C0547" w:rsidR="004A2677" w:rsidRDefault="006C7D0A" w:rsidP="00990AC6">
            <w:pPr>
              <w:jc w:val="both"/>
            </w:pPr>
            <w:r>
              <w:t>Eiropas Komisijas Radiofrek</w:t>
            </w:r>
            <w:r w:rsidR="00EE3560">
              <w:t xml:space="preserve">venču spektra politikas grupa </w:t>
            </w:r>
            <w:r>
              <w:t>atzinumos par “stratēģisko ceļvedi 5G ieviešanai Eiropā” norādīj</w:t>
            </w:r>
            <w:r w:rsidR="00EE3560">
              <w:t>usi</w:t>
            </w:r>
            <w:r>
              <w:t>, ka ir jānodrošina, lai tehniskie un regulatīvie nosacījumi visām joslām, kas jau ir harmonizētas mobilajiem tīkliem, būtu piemēroti 5G izmantošanai. Viena no šādām joslām ir zemes 2 GHz sapārotā frekvenču josla.</w:t>
            </w:r>
            <w:r w:rsidR="00E557FB">
              <w:t xml:space="preserve"> </w:t>
            </w:r>
            <w:r w:rsidR="00786B2B" w:rsidRPr="00502771">
              <w:t>Lēmum</w:t>
            </w:r>
            <w:r w:rsidR="00786B2B">
              <w:t>a</w:t>
            </w:r>
            <w:r w:rsidR="00786B2B" w:rsidRPr="00502771">
              <w:t xml:space="preserve"> 2018/1538</w:t>
            </w:r>
            <w:r w:rsidR="00786B2B">
              <w:t xml:space="preserve"> pārņemšan</w:t>
            </w:r>
            <w:r w:rsidR="00EF656D">
              <w:t>ai</w:t>
            </w:r>
            <w:r w:rsidR="00786B2B">
              <w:t xml:space="preserve"> </w:t>
            </w:r>
            <w:r w:rsidR="00331907">
              <w:t xml:space="preserve">un ieviešanai Latvijā </w:t>
            </w:r>
            <w:r w:rsidR="00240D37">
              <w:t xml:space="preserve">tiek </w:t>
            </w:r>
            <w:r w:rsidR="006C0FF9">
              <w:t xml:space="preserve">veikti </w:t>
            </w:r>
            <w:r w:rsidR="004A2677">
              <w:t>papildinājumi</w:t>
            </w:r>
            <w:r w:rsidR="004A2677" w:rsidRPr="000E5904">
              <w:t xml:space="preserve"> </w:t>
            </w:r>
            <w:r w:rsidR="009B6212" w:rsidRPr="00131F09">
              <w:t>Nacionāl</w:t>
            </w:r>
            <w:r w:rsidR="009B6212">
              <w:t>ā</w:t>
            </w:r>
            <w:r w:rsidR="009B6212" w:rsidRPr="00131F09">
              <w:t xml:space="preserve"> radiofrekvenču plān</w:t>
            </w:r>
            <w:r w:rsidR="009B6212">
              <w:t>a</w:t>
            </w:r>
            <w:r w:rsidR="009B6212">
              <w:rPr>
                <w:rFonts w:eastAsiaTheme="minorHAnsi"/>
                <w:color w:val="000000"/>
                <w:lang w:eastAsia="en-US"/>
              </w:rPr>
              <w:t xml:space="preserve"> </w:t>
            </w:r>
            <w:r w:rsidR="004A2677" w:rsidRPr="000E5904">
              <w:t>1.</w:t>
            </w:r>
            <w:r w:rsidR="00F0298D">
              <w:t> </w:t>
            </w:r>
            <w:r w:rsidR="004A2677" w:rsidRPr="000E5904">
              <w:t>pielikumā</w:t>
            </w:r>
            <w:r w:rsidR="00600A15">
              <w:t xml:space="preserve"> un 2. pielikumā.</w:t>
            </w:r>
          </w:p>
          <w:p w14:paraId="4DBB9A21" w14:textId="77777777" w:rsidR="00D87022" w:rsidRDefault="00D87022" w:rsidP="003707B1">
            <w:pPr>
              <w:jc w:val="both"/>
            </w:pPr>
          </w:p>
          <w:p w14:paraId="750CABDF" w14:textId="7C2172A6" w:rsidR="00600A15" w:rsidRDefault="00915E49" w:rsidP="00600A15">
            <w:pPr>
              <w:jc w:val="both"/>
            </w:pPr>
            <w:r>
              <w:lastRenderedPageBreak/>
              <w:t>2</w:t>
            </w:r>
            <w:r w:rsidR="00095585">
              <w:t>.</w:t>
            </w:r>
            <w:r w:rsidR="00163B37">
              <w:t xml:space="preserve"> </w:t>
            </w:r>
            <w:r w:rsidR="00600A15" w:rsidRPr="002D7D41">
              <w:rPr>
                <w:bCs/>
                <w:iCs/>
              </w:rPr>
              <w:t xml:space="preserve">Komisijas 2020. gada 8. maija īstenošanas lēmuma (ES) 2020/636, ar ko Lēmumu 2008/477/EK groza, lai atjauninātu attiecīgos tehniskos nosacījumus, kas piemērojami 2500–2690 </w:t>
            </w:r>
            <w:proofErr w:type="spellStart"/>
            <w:r w:rsidR="00600A15" w:rsidRPr="002D7D41">
              <w:rPr>
                <w:bCs/>
                <w:iCs/>
              </w:rPr>
              <w:t>MHz</w:t>
            </w:r>
            <w:proofErr w:type="spellEnd"/>
            <w:r w:rsidR="00600A15" w:rsidRPr="002D7D41">
              <w:rPr>
                <w:bCs/>
                <w:iCs/>
              </w:rPr>
              <w:t xml:space="preserve"> frekvenču joslai</w:t>
            </w:r>
            <w:r w:rsidR="00600A15">
              <w:rPr>
                <w:b/>
                <w:iCs/>
              </w:rPr>
              <w:t xml:space="preserve"> </w:t>
            </w:r>
            <w:r w:rsidR="00240D37">
              <w:t xml:space="preserve"> </w:t>
            </w:r>
            <w:r w:rsidR="00472C05">
              <w:t>(turpmāk – Lēmums 20</w:t>
            </w:r>
            <w:r w:rsidR="00600A15">
              <w:t>20</w:t>
            </w:r>
            <w:r w:rsidR="00472C05">
              <w:t>/</w:t>
            </w:r>
            <w:r w:rsidR="00600A15">
              <w:t>636</w:t>
            </w:r>
            <w:r w:rsidR="00472C05">
              <w:t>)</w:t>
            </w:r>
            <w:r w:rsidR="005B098B">
              <w:t>.</w:t>
            </w:r>
          </w:p>
          <w:p w14:paraId="5EDB5BBC" w14:textId="52C1A924" w:rsidR="00B32436" w:rsidRPr="006C7D0A" w:rsidRDefault="00417C25" w:rsidP="007E4CFD">
            <w:pPr>
              <w:jc w:val="both"/>
              <w:rPr>
                <w:vanish/>
              </w:rPr>
            </w:pPr>
            <w:r>
              <w:t>K</w:t>
            </w:r>
            <w:r w:rsidRPr="006C7D0A">
              <w:t xml:space="preserve">onstatēta vajadzība rīkoties </w:t>
            </w:r>
            <w:r>
              <w:t xml:space="preserve">Eiropas </w:t>
            </w:r>
            <w:r w:rsidRPr="006C7D0A">
              <w:t xml:space="preserve">Savienības līmenī, tostarp, pamatojoties uz Radiofrekvenču spektra politikas grupas  atzinumu, </w:t>
            </w:r>
            <w:r>
              <w:t xml:space="preserve">lai </w:t>
            </w:r>
            <w:r w:rsidRPr="006C7D0A">
              <w:t>identificēt</w:t>
            </w:r>
            <w:r>
              <w:t>u</w:t>
            </w:r>
            <w:r w:rsidRPr="006C7D0A">
              <w:t xml:space="preserve"> un harmonizēt spektru 5G vajadzībām, lai tādējādi līdz 2025. gadam nodrošinātu 5G vienlaidu pārklājumu visās pilsētu teritorijās</w:t>
            </w:r>
            <w:r>
              <w:t xml:space="preserve"> visā nozīmīgo sauszemes transporta maģistrāļu garumā. Tādējādi</w:t>
            </w:r>
            <w:r w:rsidRPr="006C7D0A">
              <w:t xml:space="preserve"> ir jānodrošina, lai tehniskie un regulatīvie nosacījumi visām joslām, kas jau ir harmonizētas mobilajiem tīkliem, būtu piemēroti 5G izmantošanai. Viena no šādām joslām ir 2,6 GHz frekvenču josl</w:t>
            </w:r>
            <w:r>
              <w:t>a.</w:t>
            </w:r>
            <w:r w:rsidR="007E4CFD">
              <w:t xml:space="preserve"> </w:t>
            </w:r>
          </w:p>
          <w:p w14:paraId="3C1A9935" w14:textId="4F1BBFFD" w:rsidR="00F5175C" w:rsidRPr="00D34FAA" w:rsidRDefault="002A0C5D" w:rsidP="001B73EA">
            <w:pPr>
              <w:jc w:val="both"/>
            </w:pPr>
            <w:r>
              <w:t>Lēmuma</w:t>
            </w:r>
            <w:r w:rsidR="00F5175C">
              <w:t xml:space="preserve"> 20</w:t>
            </w:r>
            <w:r w:rsidR="00600A15">
              <w:t>20</w:t>
            </w:r>
            <w:r w:rsidR="00F5175C">
              <w:t>/</w:t>
            </w:r>
            <w:r w:rsidR="00600A15">
              <w:t>636</w:t>
            </w:r>
            <w:r w:rsidR="00F5175C">
              <w:t xml:space="preserve"> </w:t>
            </w:r>
            <w:r>
              <w:t xml:space="preserve">pārņemšanai </w:t>
            </w:r>
            <w:r w:rsidR="002A1C17">
              <w:t xml:space="preserve">Nacionālais radiofrekvenču plāns </w:t>
            </w:r>
            <w:r w:rsidR="007E4CFD">
              <w:t>atbilstoši Lēmumam 2020/636</w:t>
            </w:r>
            <w:r w:rsidR="007E4CFD" w:rsidRPr="000E5904">
              <w:t>1</w:t>
            </w:r>
            <w:r w:rsidR="007E4CFD">
              <w:t xml:space="preserve">, </w:t>
            </w:r>
            <w:r w:rsidR="002A1C17">
              <w:t>tiek papildināts ar tehniskajiem nosacījumiem</w:t>
            </w:r>
            <w:r w:rsidR="007E4CFD">
              <w:t>,</w:t>
            </w:r>
            <w:r w:rsidR="00FE24AC">
              <w:t xml:space="preserve"> tā </w:t>
            </w:r>
            <w:r w:rsidR="007E4CFD">
              <w:t>1</w:t>
            </w:r>
            <w:r w:rsidR="00600A15">
              <w:t> </w:t>
            </w:r>
            <w:r w:rsidR="00600A15" w:rsidRPr="000E5904">
              <w:t>pielikumā</w:t>
            </w:r>
            <w:r w:rsidR="00600A15">
              <w:t xml:space="preserve"> 2. pielikumā</w:t>
            </w:r>
            <w:r w:rsidR="002D7D41">
              <w:t xml:space="preserve"> un 3. pielikumā.</w:t>
            </w:r>
          </w:p>
          <w:p w14:paraId="3B3CDF75" w14:textId="77777777" w:rsidR="001B73EA" w:rsidRPr="00A8526E" w:rsidRDefault="001B73EA" w:rsidP="007A5B70">
            <w:pPr>
              <w:jc w:val="both"/>
            </w:pPr>
          </w:p>
          <w:p w14:paraId="0A66F450" w14:textId="25524942" w:rsidR="004D30D8" w:rsidRPr="00ED6468" w:rsidRDefault="00915E49" w:rsidP="00A8526E">
            <w:pPr>
              <w:pStyle w:val="Default"/>
              <w:jc w:val="both"/>
              <w:rPr>
                <w:rFonts w:ascii="Times New Roman" w:eastAsia="TimesNewRoman" w:hAnsi="Times New Roman" w:cs="Times New Roman"/>
                <w:lang w:eastAsia="lv-LV"/>
              </w:rPr>
            </w:pPr>
            <w:r w:rsidRPr="00A8526E">
              <w:rPr>
                <w:rFonts w:ascii="Times New Roman" w:hAnsi="Times New Roman" w:cs="Times New Roman"/>
              </w:rPr>
              <w:t>3</w:t>
            </w:r>
            <w:r w:rsidR="001B73EA" w:rsidRPr="00A8526E">
              <w:rPr>
                <w:rFonts w:ascii="Times New Roman" w:hAnsi="Times New Roman" w:cs="Times New Roman"/>
              </w:rPr>
              <w:t>.</w:t>
            </w:r>
            <w:r w:rsidR="007A39E5" w:rsidRPr="00A8526E">
              <w:rPr>
                <w:rFonts w:ascii="Times New Roman" w:hAnsi="Times New Roman" w:cs="Times New Roman"/>
              </w:rPr>
              <w:t xml:space="preserve"> </w:t>
            </w:r>
            <w:r w:rsidR="002D7D41" w:rsidRPr="00ED6468">
              <w:rPr>
                <w:rFonts w:ascii="Times New Roman" w:hAnsi="Times New Roman" w:cs="Times New Roman"/>
                <w:bCs/>
              </w:rPr>
              <w:t xml:space="preserve">Komisijas 2020. gada 7. oktobra īstenošanas lēmuma (ES) 2020/1426 par radiofrekvenču spektra saskaņotu izmantošanu 5875–5935 </w:t>
            </w:r>
            <w:proofErr w:type="spellStart"/>
            <w:r w:rsidR="002D7D41" w:rsidRPr="00ED6468">
              <w:rPr>
                <w:rFonts w:ascii="Times New Roman" w:hAnsi="Times New Roman" w:cs="Times New Roman"/>
                <w:bCs/>
              </w:rPr>
              <w:t>MHz</w:t>
            </w:r>
            <w:proofErr w:type="spellEnd"/>
            <w:r w:rsidR="002D7D41" w:rsidRPr="00ED6468">
              <w:rPr>
                <w:rFonts w:ascii="Times New Roman" w:hAnsi="Times New Roman" w:cs="Times New Roman"/>
                <w:bCs/>
              </w:rPr>
              <w:t xml:space="preserve"> frekvenču joslā ar drošību saistītiem </w:t>
            </w:r>
            <w:proofErr w:type="spellStart"/>
            <w:r w:rsidR="002D7D41" w:rsidRPr="00ED6468">
              <w:rPr>
                <w:rFonts w:ascii="Times New Roman" w:hAnsi="Times New Roman" w:cs="Times New Roman"/>
                <w:bCs/>
              </w:rPr>
              <w:t>intelektisko</w:t>
            </w:r>
            <w:proofErr w:type="spellEnd"/>
            <w:r w:rsidR="002D7D41" w:rsidRPr="00ED6468">
              <w:rPr>
                <w:rFonts w:ascii="Times New Roman" w:hAnsi="Times New Roman" w:cs="Times New Roman"/>
                <w:bCs/>
              </w:rPr>
              <w:t xml:space="preserve"> transporta sistēmu (ITS) lietojumiem un Lēmuma 2008/671/EK atcelšanu</w:t>
            </w:r>
            <w:r w:rsidR="002D7D41" w:rsidRPr="00ED6468">
              <w:rPr>
                <w:rFonts w:ascii="Times New Roman" w:eastAsia="TimesNewRoman" w:hAnsi="Times New Roman" w:cs="Times New Roman"/>
              </w:rPr>
              <w:t xml:space="preserve"> </w:t>
            </w:r>
            <w:r w:rsidR="004D30D8" w:rsidRPr="00ED6468">
              <w:rPr>
                <w:rFonts w:ascii="Times New Roman" w:eastAsia="TimesNewRoman" w:hAnsi="Times New Roman" w:cs="Times New Roman"/>
              </w:rPr>
              <w:t>(turpmāk – L</w:t>
            </w:r>
            <w:r w:rsidR="004D30D8" w:rsidRPr="00ED6468">
              <w:rPr>
                <w:rFonts w:ascii="Times New Roman" w:eastAsia="TimesNewRoman" w:hAnsi="Times New Roman" w:cs="Times New Roman"/>
                <w:lang w:eastAsia="lv-LV"/>
              </w:rPr>
              <w:t>ēmums 20</w:t>
            </w:r>
            <w:r w:rsidR="002D7D41" w:rsidRPr="00ED6468">
              <w:rPr>
                <w:rFonts w:ascii="Times New Roman" w:eastAsia="TimesNewRoman" w:hAnsi="Times New Roman" w:cs="Times New Roman"/>
                <w:lang w:eastAsia="lv-LV"/>
              </w:rPr>
              <w:t>20</w:t>
            </w:r>
            <w:r w:rsidR="004D30D8" w:rsidRPr="00ED6468">
              <w:rPr>
                <w:rFonts w:ascii="Times New Roman" w:eastAsia="TimesNewRoman" w:hAnsi="Times New Roman" w:cs="Times New Roman"/>
                <w:lang w:eastAsia="lv-LV"/>
              </w:rPr>
              <w:t>/</w:t>
            </w:r>
            <w:r w:rsidR="002D7D41" w:rsidRPr="00ED6468">
              <w:rPr>
                <w:rFonts w:ascii="Times New Roman" w:eastAsia="TimesNewRoman" w:hAnsi="Times New Roman" w:cs="Times New Roman"/>
                <w:lang w:eastAsia="lv-LV"/>
              </w:rPr>
              <w:t>1426</w:t>
            </w:r>
            <w:r w:rsidR="004D30D8" w:rsidRPr="00ED6468">
              <w:rPr>
                <w:rFonts w:ascii="Times New Roman" w:eastAsia="TimesNewRoman" w:hAnsi="Times New Roman" w:cs="Times New Roman"/>
                <w:lang w:eastAsia="lv-LV"/>
              </w:rPr>
              <w:t>).</w:t>
            </w:r>
          </w:p>
          <w:p w14:paraId="644ACF30" w14:textId="645CDE4E" w:rsidR="00997752" w:rsidRPr="00F9121C" w:rsidRDefault="009A29D0" w:rsidP="00ED6468">
            <w:pPr>
              <w:pStyle w:val="Default"/>
              <w:jc w:val="both"/>
            </w:pPr>
            <w:proofErr w:type="spellStart"/>
            <w:r w:rsidRPr="00ED6468">
              <w:rPr>
                <w:rFonts w:ascii="Times New Roman" w:hAnsi="Times New Roman" w:cs="Times New Roman"/>
              </w:rPr>
              <w:t>Intelektiskajās</w:t>
            </w:r>
            <w:proofErr w:type="spellEnd"/>
            <w:r w:rsidRPr="00ED6468">
              <w:rPr>
                <w:rFonts w:ascii="Times New Roman" w:hAnsi="Times New Roman" w:cs="Times New Roman"/>
              </w:rPr>
              <w:t xml:space="preserve"> transporta sistēmās (ITS) ietilpst ceļu satiksmes ITS un pilsētas dzelzceļa ITS. Ceļu satiksmes ITS ietilpst </w:t>
            </w:r>
            <w:proofErr w:type="spellStart"/>
            <w:r w:rsidRPr="00ED6468">
              <w:rPr>
                <w:rFonts w:ascii="Times New Roman" w:hAnsi="Times New Roman" w:cs="Times New Roman"/>
              </w:rPr>
              <w:t>sadarbīgas</w:t>
            </w:r>
            <w:proofErr w:type="spellEnd"/>
            <w:r w:rsidRPr="00ED6468">
              <w:rPr>
                <w:rFonts w:ascii="Times New Roman" w:hAnsi="Times New Roman" w:cs="Times New Roman"/>
              </w:rPr>
              <w:t xml:space="preserve"> sistēmas, kuru pamatā ir reāllaika sakari starp transportlīdzekli.</w:t>
            </w:r>
            <w:r w:rsidR="00ED6468" w:rsidRPr="00ED6468">
              <w:rPr>
                <w:rFonts w:ascii="Times New Roman" w:hAnsi="Times New Roman" w:cs="Times New Roman"/>
              </w:rPr>
              <w:t xml:space="preserve">  Komisijas Lēmums 2008/671/EK harmonizēja 5 875–5 905 </w:t>
            </w:r>
            <w:proofErr w:type="spellStart"/>
            <w:r w:rsidR="00ED6468" w:rsidRPr="00ED6468">
              <w:rPr>
                <w:rFonts w:ascii="Times New Roman" w:hAnsi="Times New Roman" w:cs="Times New Roman"/>
              </w:rPr>
              <w:t>MHz</w:t>
            </w:r>
            <w:proofErr w:type="spellEnd"/>
            <w:r w:rsidR="00ED6468" w:rsidRPr="00ED6468">
              <w:rPr>
                <w:rFonts w:ascii="Times New Roman" w:hAnsi="Times New Roman" w:cs="Times New Roman"/>
              </w:rPr>
              <w:t xml:space="preserve"> (vai 5,9 GHz) frekvenču joslas radiofrekvenču spektra izmantošanu ar drošību saistītiem </w:t>
            </w:r>
            <w:proofErr w:type="spellStart"/>
            <w:r w:rsidR="00ED6468" w:rsidRPr="00ED6468">
              <w:rPr>
                <w:rFonts w:ascii="Times New Roman" w:hAnsi="Times New Roman" w:cs="Times New Roman"/>
              </w:rPr>
              <w:t>intelektisko</w:t>
            </w:r>
            <w:proofErr w:type="spellEnd"/>
            <w:r w:rsidR="00ED6468" w:rsidRPr="00ED6468">
              <w:rPr>
                <w:rFonts w:ascii="Times New Roman" w:hAnsi="Times New Roman" w:cs="Times New Roman"/>
              </w:rPr>
              <w:t xml:space="preserve"> transporta sistēmu </w:t>
            </w:r>
            <w:r w:rsidR="00ED6468" w:rsidRPr="003515AC">
              <w:rPr>
                <w:rFonts w:ascii="Times New Roman" w:hAnsi="Times New Roman" w:cs="Times New Roman"/>
              </w:rPr>
              <w:t xml:space="preserve">lietojumiem. Tajā atzīts, ka ceļu satiksmes drošībā ITS ir integrētas pieejas centrālais elements, kas transporta infrastruktūru un transportlīdzekļus apgādā ar informācijas un sakaru tehnoloģijām, lai novērstu bīstamas satiksmes situācijas un mazinātu negadījumu skaitu. </w:t>
            </w:r>
            <w:r w:rsidRPr="003515AC">
              <w:rPr>
                <w:rFonts w:ascii="Times New Roman" w:hAnsi="Times New Roman" w:cs="Times New Roman"/>
              </w:rPr>
              <w:t>Eiropas Pasta un telesakaru administrāciju konference</w:t>
            </w:r>
            <w:r w:rsidR="00ED6468" w:rsidRPr="003515AC">
              <w:rPr>
                <w:rFonts w:ascii="Times New Roman" w:hAnsi="Times New Roman" w:cs="Times New Roman"/>
              </w:rPr>
              <w:t>s ietvaros</w:t>
            </w:r>
            <w:r w:rsidRPr="003515AC">
              <w:rPr>
                <w:rFonts w:ascii="Times New Roman" w:hAnsi="Times New Roman" w:cs="Times New Roman"/>
              </w:rPr>
              <w:t xml:space="preserve"> (CEPT) izpētīt</w:t>
            </w:r>
            <w:r w:rsidR="00ED6468" w:rsidRPr="003515AC">
              <w:rPr>
                <w:rFonts w:ascii="Times New Roman" w:hAnsi="Times New Roman" w:cs="Times New Roman"/>
              </w:rPr>
              <w:t>a</w:t>
            </w:r>
            <w:r w:rsidRPr="003515AC">
              <w:rPr>
                <w:rFonts w:ascii="Times New Roman" w:hAnsi="Times New Roman" w:cs="Times New Roman"/>
              </w:rPr>
              <w:t xml:space="preserve"> iespēj</w:t>
            </w:r>
            <w:r w:rsidR="00ED6468" w:rsidRPr="003515AC">
              <w:rPr>
                <w:rFonts w:ascii="Times New Roman" w:hAnsi="Times New Roman" w:cs="Times New Roman"/>
              </w:rPr>
              <w:t>a</w:t>
            </w:r>
            <w:r w:rsidRPr="003515AC">
              <w:rPr>
                <w:rFonts w:ascii="Times New Roman" w:hAnsi="Times New Roman" w:cs="Times New Roman"/>
              </w:rPr>
              <w:t xml:space="preserve"> par 20</w:t>
            </w:r>
            <w:r w:rsidR="00ED6468" w:rsidRPr="003515AC">
              <w:rPr>
                <w:rFonts w:ascii="Times New Roman" w:hAnsi="Times New Roman" w:cs="Times New Roman"/>
              </w:rPr>
              <w:t> </w:t>
            </w:r>
            <w:proofErr w:type="spellStart"/>
            <w:r w:rsidRPr="003515AC">
              <w:rPr>
                <w:rFonts w:ascii="Times New Roman" w:hAnsi="Times New Roman" w:cs="Times New Roman"/>
              </w:rPr>
              <w:t>MHz</w:t>
            </w:r>
            <w:proofErr w:type="spellEnd"/>
            <w:r w:rsidRPr="003515AC">
              <w:rPr>
                <w:rFonts w:ascii="Times New Roman" w:hAnsi="Times New Roman" w:cs="Times New Roman"/>
              </w:rPr>
              <w:t xml:space="preserve">, līdz 5925 </w:t>
            </w:r>
            <w:proofErr w:type="spellStart"/>
            <w:r w:rsidRPr="003515AC">
              <w:rPr>
                <w:rFonts w:ascii="Times New Roman" w:hAnsi="Times New Roman" w:cs="Times New Roman"/>
              </w:rPr>
              <w:t>MHz</w:t>
            </w:r>
            <w:proofErr w:type="spellEnd"/>
            <w:r w:rsidRPr="003515AC">
              <w:rPr>
                <w:rFonts w:ascii="Times New Roman" w:hAnsi="Times New Roman" w:cs="Times New Roman"/>
              </w:rPr>
              <w:t xml:space="preserve">, paplašināt </w:t>
            </w:r>
            <w:r w:rsidR="00ED6468" w:rsidRPr="003515AC">
              <w:rPr>
                <w:rFonts w:ascii="Times New Roman" w:hAnsi="Times New Roman" w:cs="Times New Roman"/>
              </w:rPr>
              <w:t xml:space="preserve">Eiropas </w:t>
            </w:r>
            <w:r w:rsidRPr="003515AC">
              <w:rPr>
                <w:rFonts w:ascii="Times New Roman" w:hAnsi="Times New Roman" w:cs="Times New Roman"/>
              </w:rPr>
              <w:t xml:space="preserve">Savienības līmenī saskaņotās ar drošību saistīto ITS joslas (5 875–5 905 </w:t>
            </w:r>
            <w:proofErr w:type="spellStart"/>
            <w:r w:rsidRPr="003515AC">
              <w:rPr>
                <w:rFonts w:ascii="Times New Roman" w:hAnsi="Times New Roman" w:cs="Times New Roman"/>
              </w:rPr>
              <w:t>MHz</w:t>
            </w:r>
            <w:proofErr w:type="spellEnd"/>
            <w:r w:rsidRPr="003515AC">
              <w:rPr>
                <w:rFonts w:ascii="Times New Roman" w:hAnsi="Times New Roman" w:cs="Times New Roman"/>
              </w:rPr>
              <w:t>) augšējo malu un šajā joslā pie autotransporta iekļaut arī citu transportlīdzekļu sistēmas, piemēram, pilsētas dzelzceļu</w:t>
            </w:r>
            <w:r w:rsidR="00ED6468" w:rsidRPr="003515AC">
              <w:rPr>
                <w:rFonts w:ascii="Times New Roman" w:hAnsi="Times New Roman" w:cs="Times New Roman"/>
              </w:rPr>
              <w:t xml:space="preserve">. Lēmuma </w:t>
            </w:r>
            <w:r w:rsidR="00ED6468" w:rsidRPr="003515AC">
              <w:rPr>
                <w:rFonts w:ascii="Times New Roman" w:eastAsia="TimesNewRoman" w:hAnsi="Times New Roman" w:cs="Times New Roman"/>
                <w:lang w:eastAsia="lv-LV"/>
              </w:rPr>
              <w:t xml:space="preserve">2020/1426 </w:t>
            </w:r>
            <w:r w:rsidR="00ED6468" w:rsidRPr="003515AC">
              <w:rPr>
                <w:rFonts w:ascii="Times New Roman" w:hAnsi="Times New Roman" w:cs="Times New Roman"/>
              </w:rPr>
              <w:t>piemērošanai Latvijā un t</w:t>
            </w:r>
            <w:r w:rsidR="00FE7D48" w:rsidRPr="003515AC">
              <w:rPr>
                <w:rFonts w:ascii="Times New Roman" w:hAnsi="Times New Roman" w:cs="Times New Roman"/>
              </w:rPr>
              <w:t>ehnisko nosacījumu pārņemšana</w:t>
            </w:r>
            <w:r w:rsidR="00ED6468" w:rsidRPr="003515AC">
              <w:rPr>
                <w:rFonts w:ascii="Times New Roman" w:hAnsi="Times New Roman" w:cs="Times New Roman"/>
              </w:rPr>
              <w:t xml:space="preserve">i izstrādātas izmaiņas </w:t>
            </w:r>
            <w:r w:rsidR="00FE7D48" w:rsidRPr="003515AC">
              <w:rPr>
                <w:rFonts w:ascii="Times New Roman" w:hAnsi="Times New Roman" w:cs="Times New Roman"/>
              </w:rPr>
              <w:t xml:space="preserve"> 1. pielikumā 2. pielikumā un 3. pielikumā.</w:t>
            </w:r>
          </w:p>
        </w:tc>
      </w:tr>
      <w:tr w:rsidR="00895374" w:rsidRPr="00E030F4" w14:paraId="66F3B963" w14:textId="77777777" w:rsidTr="000566DB">
        <w:trPr>
          <w:trHeight w:val="536"/>
        </w:trPr>
        <w:tc>
          <w:tcPr>
            <w:tcW w:w="271" w:type="pct"/>
            <w:tcBorders>
              <w:top w:val="outset" w:sz="6" w:space="0" w:color="000000"/>
              <w:left w:val="outset" w:sz="6" w:space="0" w:color="000000"/>
              <w:bottom w:val="outset" w:sz="6" w:space="0" w:color="000000"/>
              <w:right w:val="outset" w:sz="6" w:space="0" w:color="000000"/>
            </w:tcBorders>
          </w:tcPr>
          <w:p w14:paraId="5A84A26E" w14:textId="2AB76493" w:rsidR="00895374" w:rsidRPr="00E030F4" w:rsidRDefault="00895374" w:rsidP="000566DB">
            <w:pPr>
              <w:spacing w:before="100" w:beforeAutospacing="1" w:after="100" w:afterAutospacing="1"/>
            </w:pPr>
            <w:r>
              <w:lastRenderedPageBreak/>
              <w:t>3.</w:t>
            </w:r>
          </w:p>
        </w:tc>
        <w:tc>
          <w:tcPr>
            <w:tcW w:w="1357" w:type="pct"/>
            <w:tcBorders>
              <w:top w:val="outset" w:sz="6" w:space="0" w:color="000000"/>
              <w:left w:val="outset" w:sz="6" w:space="0" w:color="000000"/>
              <w:bottom w:val="outset" w:sz="6" w:space="0" w:color="000000"/>
              <w:right w:val="outset" w:sz="6" w:space="0" w:color="000000"/>
            </w:tcBorders>
          </w:tcPr>
          <w:p w14:paraId="2D584767" w14:textId="77777777" w:rsidR="00895374" w:rsidRPr="00903A40" w:rsidRDefault="00895374" w:rsidP="00903A40">
            <w:pPr>
              <w:spacing w:before="100" w:beforeAutospacing="1" w:after="100" w:afterAutospacing="1"/>
            </w:pPr>
            <w:r w:rsidRPr="00903A40">
              <w:t>Projekta izstrādē iesaistītās institūcijas</w:t>
            </w:r>
            <w:r w:rsidR="00903A40" w:rsidRPr="00903A40">
              <w:t xml:space="preserve"> un </w:t>
            </w:r>
            <w:r w:rsidR="00903A40" w:rsidRPr="00903A40">
              <w:lastRenderedPageBreak/>
              <w:t>publiskas personas kapitālsabiedrības</w:t>
            </w:r>
          </w:p>
        </w:tc>
        <w:tc>
          <w:tcPr>
            <w:tcW w:w="3372" w:type="pct"/>
            <w:tcBorders>
              <w:top w:val="outset" w:sz="6" w:space="0" w:color="000000"/>
              <w:left w:val="outset" w:sz="6" w:space="0" w:color="000000"/>
              <w:bottom w:val="outset" w:sz="6" w:space="0" w:color="000000"/>
              <w:right w:val="outset" w:sz="6" w:space="0" w:color="000000"/>
            </w:tcBorders>
          </w:tcPr>
          <w:p w14:paraId="2EB81469" w14:textId="24ECF637" w:rsidR="00BF33E7" w:rsidRDefault="003C66B7" w:rsidP="00E459BA">
            <w:pPr>
              <w:jc w:val="both"/>
            </w:pPr>
            <w:r>
              <w:lastRenderedPageBreak/>
              <w:t>V</w:t>
            </w:r>
            <w:r w:rsidR="00173F3A">
              <w:t>alsts un nevalstiskās institūcijas</w:t>
            </w:r>
            <w:r w:rsidR="00E459BA">
              <w:t>,</w:t>
            </w:r>
            <w:r w:rsidR="00173F3A">
              <w:t xml:space="preserve"> </w:t>
            </w:r>
            <w:r w:rsidR="00501122">
              <w:t xml:space="preserve">kuras </w:t>
            </w:r>
            <w:r w:rsidR="00E459BA">
              <w:t xml:space="preserve">darbojās </w:t>
            </w:r>
            <w:r w:rsidR="00417CD9" w:rsidRPr="00E459BA">
              <w:t xml:space="preserve">saskaņā ar </w:t>
            </w:r>
            <w:r w:rsidR="00E459BA" w:rsidRPr="00E459BA">
              <w:t>Vides aizsardzības un reģionālās attīstības ministrijas (turpmāk – ministrija)</w:t>
            </w:r>
            <w:r w:rsidR="00E459BA">
              <w:t xml:space="preserve"> 2015. </w:t>
            </w:r>
            <w:r w:rsidR="00E459BA" w:rsidRPr="00173F3A">
              <w:t>gada</w:t>
            </w:r>
            <w:r w:rsidR="00E459BA">
              <w:t xml:space="preserve"> 13. augusta rīkojumu Nr. 256 „Par </w:t>
            </w:r>
            <w:r w:rsidR="00E459BA" w:rsidRPr="004E79A5">
              <w:t xml:space="preserve">Vides </w:t>
            </w:r>
            <w:r w:rsidR="00E459BA" w:rsidRPr="004E79A5">
              <w:lastRenderedPageBreak/>
              <w:t>aizsardzības un re</w:t>
            </w:r>
            <w:r w:rsidR="00E459BA">
              <w:t>ģionālās attīstības ministrijas radiofrekvenču spektra resursu izmantošanas koordinācijas darba grupas izveidi”.</w:t>
            </w:r>
          </w:p>
        </w:tc>
      </w:tr>
      <w:tr w:rsidR="00895374" w:rsidRPr="00E030F4" w14:paraId="541501DA" w14:textId="77777777" w:rsidTr="000566DB">
        <w:tc>
          <w:tcPr>
            <w:tcW w:w="271" w:type="pct"/>
            <w:tcBorders>
              <w:top w:val="outset" w:sz="6" w:space="0" w:color="000000"/>
              <w:left w:val="outset" w:sz="6" w:space="0" w:color="000000"/>
              <w:bottom w:val="outset" w:sz="6" w:space="0" w:color="000000"/>
              <w:right w:val="outset" w:sz="6" w:space="0" w:color="000000"/>
            </w:tcBorders>
          </w:tcPr>
          <w:p w14:paraId="2F1C027A" w14:textId="77777777" w:rsidR="00895374" w:rsidRPr="00996999" w:rsidRDefault="00895374" w:rsidP="000566DB">
            <w:pPr>
              <w:spacing w:before="100" w:beforeAutospacing="1" w:after="100" w:afterAutospacing="1"/>
            </w:pPr>
            <w:r w:rsidRPr="00996999">
              <w:lastRenderedPageBreak/>
              <w:t>4.</w:t>
            </w:r>
          </w:p>
        </w:tc>
        <w:tc>
          <w:tcPr>
            <w:tcW w:w="1357" w:type="pct"/>
            <w:tcBorders>
              <w:top w:val="outset" w:sz="6" w:space="0" w:color="000000"/>
              <w:left w:val="outset" w:sz="6" w:space="0" w:color="000000"/>
              <w:bottom w:val="outset" w:sz="6" w:space="0" w:color="000000"/>
              <w:right w:val="outset" w:sz="6" w:space="0" w:color="000000"/>
            </w:tcBorders>
          </w:tcPr>
          <w:p w14:paraId="6097D14B" w14:textId="77777777" w:rsidR="00895374" w:rsidRPr="00996999" w:rsidRDefault="00895374" w:rsidP="000566DB">
            <w:pPr>
              <w:spacing w:before="100" w:beforeAutospacing="1" w:after="100" w:afterAutospacing="1"/>
            </w:pPr>
            <w:r w:rsidRPr="00996999">
              <w:t>Cita informācija</w:t>
            </w:r>
          </w:p>
        </w:tc>
        <w:tc>
          <w:tcPr>
            <w:tcW w:w="3372" w:type="pct"/>
            <w:tcBorders>
              <w:top w:val="outset" w:sz="6" w:space="0" w:color="000000"/>
              <w:left w:val="outset" w:sz="6" w:space="0" w:color="000000"/>
              <w:bottom w:val="outset" w:sz="6" w:space="0" w:color="000000"/>
              <w:right w:val="outset" w:sz="6" w:space="0" w:color="000000"/>
            </w:tcBorders>
          </w:tcPr>
          <w:p w14:paraId="3B451552" w14:textId="131184FE" w:rsidR="00136BD1" w:rsidRDefault="00644E5E" w:rsidP="00136BD1">
            <w:pPr>
              <w:jc w:val="both"/>
            </w:pPr>
            <w:r>
              <w:t>Elektronisko sakaru l</w:t>
            </w:r>
            <w:r w:rsidR="006733F4">
              <w:t>ikuma</w:t>
            </w:r>
            <w:r w:rsidR="006733F4" w:rsidRPr="00996999">
              <w:rPr>
                <w:bCs/>
              </w:rPr>
              <w:t xml:space="preserve"> </w:t>
            </w:r>
            <w:r w:rsidR="006733F4" w:rsidRPr="00996999">
              <w:t>1.</w:t>
            </w:r>
            <w:r w:rsidR="0015251B">
              <w:t> </w:t>
            </w:r>
            <w:r w:rsidR="006733F4" w:rsidRPr="00996999">
              <w:t>panta 26.</w:t>
            </w:r>
            <w:r w:rsidR="0015251B">
              <w:t> </w:t>
            </w:r>
            <w:r w:rsidR="006733F4" w:rsidRPr="00996999">
              <w:t xml:space="preserve">punkts </w:t>
            </w:r>
            <w:r w:rsidR="0015251B" w:rsidRPr="00996999">
              <w:t>no</w:t>
            </w:r>
            <w:r w:rsidR="0015251B">
              <w:t>teic</w:t>
            </w:r>
            <w:r w:rsidR="006733F4" w:rsidRPr="00996999">
              <w:t xml:space="preserve">, ka </w:t>
            </w:r>
            <w:r w:rsidR="006733F4" w:rsidRPr="00996999">
              <w:rPr>
                <w:bCs/>
              </w:rPr>
              <w:t>Nacionālais radiofrekvenču plāns</w:t>
            </w:r>
            <w:r w:rsidR="006733F4" w:rsidRPr="00996999">
              <w:t xml:space="preserve"> ir </w:t>
            </w:r>
            <w:r w:rsidR="006733F4" w:rsidRPr="006733F4">
              <w:t xml:space="preserve">saskaņā ar starptautiskiem līgumiem, konvencijām un standartiem izstrādāts plāns optimālam radiofrekvenču sadalījumam Latvijas teritorijā. Nacionālā radiofrekvenču plānā ietverti Eiropas Komisijas, Eiropas Pasta un telesakaru administrāciju konferences (CEPT), Eiropas </w:t>
            </w:r>
            <w:proofErr w:type="spellStart"/>
            <w:r w:rsidR="006733F4" w:rsidRPr="006733F4">
              <w:t>Radiokomunikāciju</w:t>
            </w:r>
            <w:proofErr w:type="spellEnd"/>
            <w:r w:rsidR="006733F4" w:rsidRPr="006733F4">
              <w:t xml:space="preserve"> </w:t>
            </w:r>
            <w:r w:rsidR="006733F4" w:rsidRPr="00996999">
              <w:t xml:space="preserve">Komitejas (ERC), Eiropas Elektroniskās Komunikāciju Komitejas (ECC) lēmumi un rekomendācijas. </w:t>
            </w:r>
            <w:r w:rsidR="006733F4" w:rsidRPr="00996999">
              <w:rPr>
                <w:bCs/>
              </w:rPr>
              <w:t>Nacionālā radiofrekvenču plānā</w:t>
            </w:r>
            <w:r w:rsidR="006733F4" w:rsidRPr="00996999">
              <w:t xml:space="preserve"> tiek </w:t>
            </w:r>
            <w:r w:rsidR="006733F4" w:rsidRPr="00996999">
              <w:rPr>
                <w:bCs/>
              </w:rPr>
              <w:t xml:space="preserve">ietvertas </w:t>
            </w:r>
            <w:r w:rsidR="00136BD1" w:rsidRPr="00996999">
              <w:t xml:space="preserve">tiešās </w:t>
            </w:r>
            <w:r w:rsidR="00136BD1">
              <w:rPr>
                <w:bCs/>
              </w:rPr>
              <w:t xml:space="preserve">atsauces uz lēmumiem, </w:t>
            </w:r>
            <w:r w:rsidR="006733F4" w:rsidRPr="00996999">
              <w:rPr>
                <w:bCs/>
              </w:rPr>
              <w:t>rekomendācijām</w:t>
            </w:r>
            <w:r w:rsidR="00136BD1">
              <w:rPr>
                <w:bCs/>
              </w:rPr>
              <w:t>,</w:t>
            </w:r>
            <w:r w:rsidR="006733F4" w:rsidRPr="00996999">
              <w:rPr>
                <w:bCs/>
              </w:rPr>
              <w:t xml:space="preserve"> </w:t>
            </w:r>
            <w:r w:rsidR="00136BD1">
              <w:rPr>
                <w:bCs/>
              </w:rPr>
              <w:t>standartiem</w:t>
            </w:r>
            <w:r w:rsidR="00136BD1" w:rsidRPr="00996999">
              <w:t xml:space="preserve"> projekta tekstā</w:t>
            </w:r>
            <w:r w:rsidR="00136BD1">
              <w:rPr>
                <w:bCs/>
              </w:rPr>
              <w:t xml:space="preserve">, </w:t>
            </w:r>
            <w:r w:rsidR="00136BD1" w:rsidRPr="00996999">
              <w:t>j</w:t>
            </w:r>
            <w:r w:rsidR="00183DDF">
              <w:t>a</w:t>
            </w:r>
            <w:r w:rsidR="00136BD1" w:rsidRPr="00996999">
              <w:t xml:space="preserve"> to paredz </w:t>
            </w:r>
            <w:r w:rsidR="00183DDF">
              <w:t>pārņemamais lēmums</w:t>
            </w:r>
            <w:r w:rsidR="00136BD1">
              <w:t>,</w:t>
            </w:r>
            <w:r w:rsidR="00136BD1" w:rsidRPr="00996999">
              <w:t xml:space="preserve"> </w:t>
            </w:r>
            <w:r w:rsidR="006733F4" w:rsidRPr="00996999">
              <w:rPr>
                <w:bCs/>
              </w:rPr>
              <w:t xml:space="preserve">un tiek </w:t>
            </w:r>
            <w:r w:rsidR="006733F4" w:rsidRPr="00996999">
              <w:t>piemērots izņēmums lēmumu normu pārņemšanā nacionālajos normatīvajos aktos.</w:t>
            </w:r>
            <w:r w:rsidR="00136BD1" w:rsidRPr="00996999">
              <w:t xml:space="preserve"> </w:t>
            </w:r>
          </w:p>
          <w:p w14:paraId="5A92FD87" w14:textId="5B6E4B31" w:rsidR="00573DA3" w:rsidRDefault="007253D5" w:rsidP="00DC2120">
            <w:pPr>
              <w:jc w:val="both"/>
            </w:pPr>
            <w:r w:rsidRPr="006E0E33">
              <w:t>Nacionāl</w:t>
            </w:r>
            <w:r w:rsidR="00D803F9" w:rsidRPr="006E0E33">
              <w:t>ā</w:t>
            </w:r>
            <w:r w:rsidRPr="006E0E33">
              <w:t xml:space="preserve"> radiofrekvenču plān</w:t>
            </w:r>
            <w:r w:rsidR="00ED1EE7">
              <w:t xml:space="preserve">ā </w:t>
            </w:r>
            <w:r w:rsidRPr="006E0E33">
              <w:t>ti</w:t>
            </w:r>
            <w:r w:rsidR="003105A1" w:rsidRPr="006E0E33">
              <w:t>ek</w:t>
            </w:r>
            <w:r w:rsidRPr="006E0E33">
              <w:t xml:space="preserve"> iekļautas visas atsauces</w:t>
            </w:r>
            <w:r w:rsidRPr="00407482">
              <w:t xml:space="preserve"> uz Eiropas Savienības </w:t>
            </w:r>
            <w:r>
              <w:t>tā brīža aktuālajiem lēmumiem</w:t>
            </w:r>
            <w:r w:rsidR="003105A1">
              <w:t>, un, s</w:t>
            </w:r>
            <w:r>
              <w:t xml:space="preserve">tājoties spēkā katram </w:t>
            </w:r>
            <w:r w:rsidR="0015251B">
              <w:t>nākamajam</w:t>
            </w:r>
            <w:r>
              <w:t xml:space="preserve"> lēmumam, attiecīgajā grozījumu projektā tiek </w:t>
            </w:r>
            <w:r w:rsidRPr="00407482">
              <w:t>aizpildīt</w:t>
            </w:r>
            <w:r>
              <w:t>a</w:t>
            </w:r>
            <w:r w:rsidRPr="00407482">
              <w:t xml:space="preserve"> projekta anotācijas V sadaļa</w:t>
            </w:r>
            <w:r>
              <w:t>.</w:t>
            </w:r>
            <w:r w:rsidR="00136BD1">
              <w:t xml:space="preserve"> </w:t>
            </w:r>
            <w:r>
              <w:t>Noteikumu projektā norādītie lēmumi</w:t>
            </w:r>
            <w:r w:rsidRPr="00F13F46">
              <w:t xml:space="preserve"> </w:t>
            </w:r>
            <w:r w:rsidR="00F13F46">
              <w:t>nosaka</w:t>
            </w:r>
            <w:r>
              <w:t xml:space="preserve"> </w:t>
            </w:r>
            <w:r w:rsidR="00F13F46">
              <w:t xml:space="preserve">kārtību </w:t>
            </w:r>
            <w:r>
              <w:t>attiecīgo radiofrekvenču spektra joslu lietojum</w:t>
            </w:r>
            <w:r w:rsidR="00F13F46">
              <w:t>os</w:t>
            </w:r>
            <w:r w:rsidR="00000932">
              <w:t xml:space="preserve"> un</w:t>
            </w:r>
            <w:r>
              <w:t xml:space="preserve"> </w:t>
            </w:r>
            <w:r w:rsidR="00000932">
              <w:t xml:space="preserve">tiek </w:t>
            </w:r>
            <w:r>
              <w:t xml:space="preserve">pārņemti nacionālajā tiesību sistēmā, </w:t>
            </w:r>
            <w:r w:rsidR="00000932">
              <w:t>kur</w:t>
            </w:r>
            <w:r>
              <w:t xml:space="preserve"> darbojas bez izmaiņām</w:t>
            </w:r>
            <w:r w:rsidR="00136BD1">
              <w:t xml:space="preserve">, līdz šādas izmaiņas </w:t>
            </w:r>
            <w:r w:rsidR="00000932">
              <w:t xml:space="preserve">atkal </w:t>
            </w:r>
            <w:r w:rsidR="00136BD1">
              <w:t xml:space="preserve">tiek </w:t>
            </w:r>
            <w:r>
              <w:t xml:space="preserve">paredzētas </w:t>
            </w:r>
            <w:r w:rsidRPr="00407482">
              <w:t>Eiropas Savienības lēmum</w:t>
            </w:r>
            <w:r>
              <w:t>os</w:t>
            </w:r>
            <w:r w:rsidRPr="00407482">
              <w:t xml:space="preserve"> un </w:t>
            </w:r>
            <w:r>
              <w:t xml:space="preserve">citos saistošos tiesību aktos. </w:t>
            </w:r>
          </w:p>
        </w:tc>
      </w:tr>
    </w:tbl>
    <w:p w14:paraId="44F4F1EB" w14:textId="77777777" w:rsidR="00895374" w:rsidRDefault="00895374" w:rsidP="00895374">
      <w:pPr>
        <w:pStyle w:val="naisc"/>
        <w:spacing w:before="0" w:after="0"/>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06"/>
        <w:gridCol w:w="3172"/>
        <w:gridCol w:w="5672"/>
      </w:tblGrid>
      <w:tr w:rsidR="00895374" w:rsidRPr="00E030F4" w14:paraId="69015BC2" w14:textId="77777777" w:rsidTr="00964945">
        <w:tc>
          <w:tcPr>
            <w:tcW w:w="5000" w:type="pct"/>
            <w:gridSpan w:val="3"/>
            <w:tcBorders>
              <w:top w:val="single" w:sz="4" w:space="0" w:color="auto"/>
              <w:left w:val="single" w:sz="4" w:space="0" w:color="auto"/>
              <w:bottom w:val="outset" w:sz="6" w:space="0" w:color="000000"/>
              <w:right w:val="single" w:sz="4" w:space="0" w:color="auto"/>
            </w:tcBorders>
          </w:tcPr>
          <w:p w14:paraId="03F1A987" w14:textId="77777777" w:rsidR="00895374" w:rsidRPr="00E030F4" w:rsidRDefault="00895374" w:rsidP="00964945">
            <w:pPr>
              <w:spacing w:before="100" w:beforeAutospacing="1" w:after="100" w:afterAutospacing="1"/>
              <w:jc w:val="center"/>
              <w:rPr>
                <w:b/>
                <w:bCs/>
              </w:rPr>
            </w:pPr>
            <w:r w:rsidRPr="00CA06B9">
              <w:rPr>
                <w:b/>
                <w:bCs/>
              </w:rPr>
              <w:t>II.</w:t>
            </w:r>
            <w:r w:rsidR="00466D2F">
              <w:rPr>
                <w:b/>
                <w:bCs/>
              </w:rPr>
              <w:t> </w:t>
            </w:r>
            <w:r w:rsidRPr="00CA06B9">
              <w:rPr>
                <w:b/>
                <w:bCs/>
              </w:rPr>
              <w:t>Tiesību akta projekta ietekme uz sabiedrību</w:t>
            </w:r>
            <w:r>
              <w:rPr>
                <w:b/>
                <w:bCs/>
              </w:rPr>
              <w:t>, tautsaimniecības attīstību un administratīvo slogu</w:t>
            </w:r>
          </w:p>
        </w:tc>
      </w:tr>
      <w:tr w:rsidR="00895374" w:rsidRPr="00E030F4" w14:paraId="67436BBD" w14:textId="77777777" w:rsidTr="00964945">
        <w:tc>
          <w:tcPr>
            <w:tcW w:w="271" w:type="pct"/>
            <w:tcBorders>
              <w:top w:val="outset" w:sz="6" w:space="0" w:color="000000"/>
              <w:left w:val="outset" w:sz="6" w:space="0" w:color="000000"/>
              <w:bottom w:val="outset" w:sz="6" w:space="0" w:color="000000"/>
              <w:right w:val="outset" w:sz="6" w:space="0" w:color="000000"/>
            </w:tcBorders>
          </w:tcPr>
          <w:p w14:paraId="742A18C2" w14:textId="77777777" w:rsidR="00895374" w:rsidRPr="00E030F4" w:rsidRDefault="00895374" w:rsidP="00964945">
            <w:pPr>
              <w:spacing w:before="100" w:beforeAutospacing="1" w:after="100" w:afterAutospacing="1"/>
            </w:pPr>
            <w:r w:rsidRPr="00E030F4">
              <w:t>1.</w:t>
            </w:r>
          </w:p>
        </w:tc>
        <w:tc>
          <w:tcPr>
            <w:tcW w:w="1696" w:type="pct"/>
            <w:tcBorders>
              <w:top w:val="outset" w:sz="6" w:space="0" w:color="000000"/>
              <w:left w:val="outset" w:sz="6" w:space="0" w:color="000000"/>
              <w:bottom w:val="outset" w:sz="6" w:space="0" w:color="000000"/>
              <w:right w:val="outset" w:sz="6" w:space="0" w:color="000000"/>
            </w:tcBorders>
          </w:tcPr>
          <w:p w14:paraId="0E04D147" w14:textId="77777777" w:rsidR="00895374" w:rsidRPr="00E030F4" w:rsidRDefault="00895374" w:rsidP="00964945">
            <w:pPr>
              <w:spacing w:before="100" w:beforeAutospacing="1" w:after="100" w:afterAutospacing="1"/>
            </w:pPr>
            <w:r w:rsidRPr="00CA06B9">
              <w:t xml:space="preserve">Sabiedrības </w:t>
            </w:r>
            <w:proofErr w:type="spellStart"/>
            <w:r w:rsidRPr="00CA06B9">
              <w:t>mērķgrupa</w:t>
            </w:r>
            <w:r>
              <w:t>s</w:t>
            </w:r>
            <w:proofErr w:type="spellEnd"/>
            <w:r>
              <w:t xml:space="preserve">, </w:t>
            </w:r>
            <w:r w:rsidRPr="00CA06B9">
              <w:t>kuras tiesiskais regulējums arī ietekmē vai varētu ietekmēt</w:t>
            </w:r>
          </w:p>
        </w:tc>
        <w:tc>
          <w:tcPr>
            <w:tcW w:w="3033" w:type="pct"/>
            <w:tcBorders>
              <w:top w:val="outset" w:sz="6" w:space="0" w:color="000000"/>
              <w:left w:val="outset" w:sz="6" w:space="0" w:color="000000"/>
              <w:bottom w:val="outset" w:sz="6" w:space="0" w:color="000000"/>
              <w:right w:val="outset" w:sz="6" w:space="0" w:color="000000"/>
            </w:tcBorders>
          </w:tcPr>
          <w:p w14:paraId="69DD3B93" w14:textId="64AF5D2A" w:rsidR="00895374" w:rsidRPr="007F6CF5" w:rsidRDefault="00A2136F" w:rsidP="00964945">
            <w:pPr>
              <w:jc w:val="both"/>
            </w:pPr>
            <w:r>
              <w:t>Elektronisko sakaru komersanti r</w:t>
            </w:r>
            <w:r w:rsidR="00895374" w:rsidRPr="00131F09">
              <w:t>adiofrekvenču spektra lietotāji.</w:t>
            </w:r>
          </w:p>
        </w:tc>
      </w:tr>
      <w:tr w:rsidR="00895374" w:rsidRPr="00E030F4" w14:paraId="7AE683BC" w14:textId="77777777" w:rsidTr="00964945">
        <w:tc>
          <w:tcPr>
            <w:tcW w:w="271" w:type="pct"/>
            <w:tcBorders>
              <w:top w:val="outset" w:sz="6" w:space="0" w:color="000000"/>
              <w:left w:val="outset" w:sz="6" w:space="0" w:color="000000"/>
              <w:bottom w:val="outset" w:sz="6" w:space="0" w:color="000000"/>
              <w:right w:val="outset" w:sz="6" w:space="0" w:color="000000"/>
            </w:tcBorders>
          </w:tcPr>
          <w:p w14:paraId="20891CBC" w14:textId="77777777" w:rsidR="00895374" w:rsidRPr="00E030F4" w:rsidRDefault="00895374" w:rsidP="00964945">
            <w:pPr>
              <w:spacing w:before="100" w:beforeAutospacing="1" w:after="100" w:afterAutospacing="1"/>
            </w:pPr>
            <w:r w:rsidRPr="00E030F4">
              <w:t>2.</w:t>
            </w:r>
          </w:p>
        </w:tc>
        <w:tc>
          <w:tcPr>
            <w:tcW w:w="1696" w:type="pct"/>
            <w:tcBorders>
              <w:top w:val="outset" w:sz="6" w:space="0" w:color="000000"/>
              <w:left w:val="outset" w:sz="6" w:space="0" w:color="000000"/>
              <w:bottom w:val="outset" w:sz="6" w:space="0" w:color="000000"/>
              <w:right w:val="outset" w:sz="6" w:space="0" w:color="000000"/>
            </w:tcBorders>
          </w:tcPr>
          <w:p w14:paraId="4720216D" w14:textId="77777777" w:rsidR="00895374" w:rsidRPr="00E030F4" w:rsidRDefault="00895374" w:rsidP="00964945">
            <w:pPr>
              <w:spacing w:before="100" w:beforeAutospacing="1" w:after="100" w:afterAutospacing="1"/>
            </w:pPr>
            <w:r w:rsidRPr="00CA06B9">
              <w:t xml:space="preserve">Tiesiskā regulējuma </w:t>
            </w:r>
            <w:r>
              <w:t>ietekme uz tautsaimniecību un administratīvo slogu</w:t>
            </w:r>
          </w:p>
        </w:tc>
        <w:tc>
          <w:tcPr>
            <w:tcW w:w="3033" w:type="pct"/>
            <w:tcBorders>
              <w:top w:val="outset" w:sz="6" w:space="0" w:color="000000"/>
              <w:left w:val="outset" w:sz="6" w:space="0" w:color="000000"/>
              <w:bottom w:val="outset" w:sz="6" w:space="0" w:color="000000"/>
              <w:right w:val="outset" w:sz="6" w:space="0" w:color="000000"/>
            </w:tcBorders>
          </w:tcPr>
          <w:p w14:paraId="36AF373A" w14:textId="7D6596B4" w:rsidR="00895374" w:rsidRPr="00E030F4" w:rsidRDefault="00A31476" w:rsidP="00964945">
            <w:pPr>
              <w:spacing w:after="100" w:afterAutospacing="1"/>
              <w:jc w:val="both"/>
            </w:pPr>
            <w:r>
              <w:t xml:space="preserve">Noteikumu projekts </w:t>
            </w:r>
            <w:r w:rsidR="009B10B4">
              <w:t>šo jomu neskar.</w:t>
            </w:r>
          </w:p>
        </w:tc>
      </w:tr>
      <w:tr w:rsidR="00895374" w:rsidRPr="00E030F4" w14:paraId="6E19450E" w14:textId="77777777" w:rsidTr="00964945">
        <w:trPr>
          <w:trHeight w:val="536"/>
        </w:trPr>
        <w:tc>
          <w:tcPr>
            <w:tcW w:w="271" w:type="pct"/>
            <w:tcBorders>
              <w:top w:val="outset" w:sz="6" w:space="0" w:color="000000"/>
              <w:left w:val="outset" w:sz="6" w:space="0" w:color="000000"/>
              <w:bottom w:val="outset" w:sz="6" w:space="0" w:color="000000"/>
              <w:right w:val="outset" w:sz="6" w:space="0" w:color="000000"/>
            </w:tcBorders>
          </w:tcPr>
          <w:p w14:paraId="7858B110" w14:textId="77777777" w:rsidR="00895374" w:rsidRPr="00E030F4" w:rsidRDefault="00895374" w:rsidP="00964945">
            <w:pPr>
              <w:spacing w:before="100" w:beforeAutospacing="1" w:after="100" w:afterAutospacing="1"/>
            </w:pPr>
            <w:r>
              <w:t>3.</w:t>
            </w:r>
          </w:p>
        </w:tc>
        <w:tc>
          <w:tcPr>
            <w:tcW w:w="1696" w:type="pct"/>
            <w:tcBorders>
              <w:top w:val="outset" w:sz="6" w:space="0" w:color="000000"/>
              <w:left w:val="outset" w:sz="6" w:space="0" w:color="000000"/>
              <w:bottom w:val="outset" w:sz="6" w:space="0" w:color="000000"/>
              <w:right w:val="outset" w:sz="6" w:space="0" w:color="000000"/>
            </w:tcBorders>
          </w:tcPr>
          <w:p w14:paraId="7D8DB70F" w14:textId="77777777" w:rsidR="00895374" w:rsidRPr="00CE70FA" w:rsidRDefault="00895374" w:rsidP="00964945">
            <w:pPr>
              <w:spacing w:before="100" w:beforeAutospacing="1" w:after="100" w:afterAutospacing="1"/>
            </w:pPr>
            <w:r w:rsidRPr="00CA06B9">
              <w:t>Administratīvo izmaksu monetārs novērtējums</w:t>
            </w:r>
          </w:p>
        </w:tc>
        <w:tc>
          <w:tcPr>
            <w:tcW w:w="3033" w:type="pct"/>
            <w:tcBorders>
              <w:top w:val="outset" w:sz="6" w:space="0" w:color="000000"/>
              <w:left w:val="outset" w:sz="6" w:space="0" w:color="000000"/>
              <w:bottom w:val="outset" w:sz="6" w:space="0" w:color="000000"/>
              <w:right w:val="outset" w:sz="6" w:space="0" w:color="000000"/>
            </w:tcBorders>
          </w:tcPr>
          <w:p w14:paraId="40B4AB37" w14:textId="3D537EA3" w:rsidR="00895374" w:rsidRDefault="00A31476" w:rsidP="004E5B16">
            <w:pPr>
              <w:spacing w:before="100" w:beforeAutospacing="1" w:after="100" w:afterAutospacing="1"/>
            </w:pPr>
            <w:r>
              <w:t>Noteikumu p</w:t>
            </w:r>
            <w:r w:rsidR="00895374" w:rsidRPr="00CA06B9">
              <w:t>rojekts šo jomu neskar</w:t>
            </w:r>
            <w:r w:rsidR="00895374">
              <w:t>.</w:t>
            </w:r>
          </w:p>
        </w:tc>
      </w:tr>
      <w:tr w:rsidR="0015251B" w:rsidRPr="00E030F4" w14:paraId="06986642" w14:textId="77777777" w:rsidTr="00964945">
        <w:trPr>
          <w:trHeight w:val="536"/>
        </w:trPr>
        <w:tc>
          <w:tcPr>
            <w:tcW w:w="271" w:type="pct"/>
            <w:tcBorders>
              <w:top w:val="outset" w:sz="6" w:space="0" w:color="000000"/>
              <w:left w:val="outset" w:sz="6" w:space="0" w:color="000000"/>
              <w:bottom w:val="outset" w:sz="6" w:space="0" w:color="000000"/>
              <w:right w:val="outset" w:sz="6" w:space="0" w:color="000000"/>
            </w:tcBorders>
          </w:tcPr>
          <w:p w14:paraId="5A7B0F63" w14:textId="77777777" w:rsidR="0015251B" w:rsidRDefault="0015251B" w:rsidP="00964945">
            <w:pPr>
              <w:spacing w:before="100" w:beforeAutospacing="1" w:after="100" w:afterAutospacing="1"/>
            </w:pPr>
            <w:r>
              <w:t>4</w:t>
            </w:r>
            <w:r w:rsidRPr="00E030F4">
              <w:t>.</w:t>
            </w:r>
          </w:p>
        </w:tc>
        <w:tc>
          <w:tcPr>
            <w:tcW w:w="1696" w:type="pct"/>
            <w:tcBorders>
              <w:top w:val="outset" w:sz="6" w:space="0" w:color="000000"/>
              <w:left w:val="outset" w:sz="6" w:space="0" w:color="000000"/>
              <w:bottom w:val="outset" w:sz="6" w:space="0" w:color="000000"/>
              <w:right w:val="outset" w:sz="6" w:space="0" w:color="000000"/>
            </w:tcBorders>
          </w:tcPr>
          <w:p w14:paraId="3E0A38FC" w14:textId="77777777" w:rsidR="0015251B" w:rsidRPr="00CA06B9" w:rsidRDefault="00AC7887">
            <w:pPr>
              <w:spacing w:before="100" w:beforeAutospacing="1" w:after="100" w:afterAutospacing="1"/>
            </w:pPr>
            <w:r w:rsidRPr="00CA06B9">
              <w:t>A</w:t>
            </w:r>
            <w:r>
              <w:t>tbilstības</w:t>
            </w:r>
            <w:r w:rsidRPr="00CA06B9">
              <w:t xml:space="preserve"> izmaksu monetārs novērtējums</w:t>
            </w:r>
          </w:p>
        </w:tc>
        <w:tc>
          <w:tcPr>
            <w:tcW w:w="3033" w:type="pct"/>
            <w:tcBorders>
              <w:top w:val="outset" w:sz="6" w:space="0" w:color="000000"/>
              <w:left w:val="outset" w:sz="6" w:space="0" w:color="000000"/>
              <w:bottom w:val="outset" w:sz="6" w:space="0" w:color="000000"/>
              <w:right w:val="outset" w:sz="6" w:space="0" w:color="000000"/>
            </w:tcBorders>
          </w:tcPr>
          <w:p w14:paraId="2938E43B" w14:textId="472E07CF" w:rsidR="0015251B" w:rsidRDefault="00A31476" w:rsidP="004E5B16">
            <w:pPr>
              <w:spacing w:before="100" w:beforeAutospacing="1" w:after="100" w:afterAutospacing="1"/>
            </w:pPr>
            <w:r>
              <w:t>Noteikumu p</w:t>
            </w:r>
            <w:r w:rsidR="00A60476" w:rsidRPr="00CA06B9">
              <w:t>rojekts šo jomu neskar</w:t>
            </w:r>
            <w:r w:rsidR="00A60476">
              <w:t>.</w:t>
            </w:r>
          </w:p>
        </w:tc>
      </w:tr>
      <w:tr w:rsidR="00895374" w:rsidRPr="00E030F4" w14:paraId="041BFC16" w14:textId="77777777" w:rsidTr="00964945">
        <w:tc>
          <w:tcPr>
            <w:tcW w:w="271" w:type="pct"/>
            <w:tcBorders>
              <w:top w:val="outset" w:sz="6" w:space="0" w:color="000000"/>
              <w:left w:val="outset" w:sz="6" w:space="0" w:color="000000"/>
              <w:bottom w:val="outset" w:sz="6" w:space="0" w:color="000000"/>
              <w:right w:val="outset" w:sz="6" w:space="0" w:color="000000"/>
            </w:tcBorders>
          </w:tcPr>
          <w:p w14:paraId="1F9795A5" w14:textId="371CCB1E" w:rsidR="00895374" w:rsidRPr="00E030F4" w:rsidRDefault="00AC7887" w:rsidP="00964945">
            <w:pPr>
              <w:spacing w:before="100" w:beforeAutospacing="1" w:after="100" w:afterAutospacing="1"/>
            </w:pPr>
            <w:r>
              <w:t>5.</w:t>
            </w:r>
          </w:p>
        </w:tc>
        <w:tc>
          <w:tcPr>
            <w:tcW w:w="1696" w:type="pct"/>
            <w:tcBorders>
              <w:top w:val="outset" w:sz="6" w:space="0" w:color="000000"/>
              <w:left w:val="outset" w:sz="6" w:space="0" w:color="000000"/>
              <w:bottom w:val="outset" w:sz="6" w:space="0" w:color="000000"/>
              <w:right w:val="outset" w:sz="6" w:space="0" w:color="000000"/>
            </w:tcBorders>
          </w:tcPr>
          <w:p w14:paraId="1554A01A" w14:textId="77777777" w:rsidR="00895374" w:rsidRPr="00E030F4" w:rsidRDefault="00895374" w:rsidP="00964945">
            <w:pPr>
              <w:spacing w:before="100" w:beforeAutospacing="1" w:after="100" w:afterAutospacing="1"/>
            </w:pPr>
            <w:r w:rsidRPr="00E030F4">
              <w:t>Cita informācija</w:t>
            </w:r>
          </w:p>
        </w:tc>
        <w:tc>
          <w:tcPr>
            <w:tcW w:w="3033" w:type="pct"/>
            <w:tcBorders>
              <w:top w:val="outset" w:sz="6" w:space="0" w:color="000000"/>
              <w:left w:val="outset" w:sz="6" w:space="0" w:color="000000"/>
              <w:bottom w:val="outset" w:sz="6" w:space="0" w:color="000000"/>
              <w:right w:val="outset" w:sz="6" w:space="0" w:color="000000"/>
            </w:tcBorders>
          </w:tcPr>
          <w:p w14:paraId="6A8ED205" w14:textId="77777777" w:rsidR="00895374" w:rsidRDefault="00895374" w:rsidP="00CD4214">
            <w:pPr>
              <w:spacing w:before="100" w:beforeAutospacing="1" w:after="100" w:afterAutospacing="1"/>
              <w:jc w:val="both"/>
            </w:pPr>
            <w:r>
              <w:t>Nav</w:t>
            </w:r>
            <w:r w:rsidR="00AC7887">
              <w:t>.</w:t>
            </w:r>
          </w:p>
        </w:tc>
      </w:tr>
    </w:tbl>
    <w:p w14:paraId="40A28B8B" w14:textId="77777777" w:rsidR="00646A0B" w:rsidRDefault="00646A0B" w:rsidP="00895374">
      <w:pPr>
        <w:jc w:val="both"/>
      </w:pPr>
    </w:p>
    <w:tbl>
      <w:tblPr>
        <w:tblW w:w="5084"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501"/>
      </w:tblGrid>
      <w:tr w:rsidR="00682CD6" w:rsidRPr="00E41E34" w14:paraId="6B3A0FFB" w14:textId="77777777" w:rsidTr="00682CD6">
        <w:trPr>
          <w:trHeight w:val="288"/>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36D02C23" w14:textId="77777777" w:rsidR="00682CD6" w:rsidRPr="00E41E34" w:rsidRDefault="00682CD6" w:rsidP="00964945">
            <w:pPr>
              <w:spacing w:before="100" w:beforeAutospacing="1" w:after="100" w:afterAutospacing="1" w:line="293" w:lineRule="atLeast"/>
              <w:jc w:val="center"/>
              <w:rPr>
                <w:b/>
                <w:bCs/>
              </w:rPr>
            </w:pPr>
            <w:r w:rsidRPr="00E41E34">
              <w:rPr>
                <w:b/>
                <w:bCs/>
              </w:rPr>
              <w:t>III. Tiesību akta projekta ietekme uz valsts budžetu un pašvaldību budžetiem</w:t>
            </w:r>
          </w:p>
        </w:tc>
      </w:tr>
      <w:tr w:rsidR="00682CD6" w:rsidRPr="00E41E34" w14:paraId="3CC64B1C" w14:textId="77777777" w:rsidTr="00682CD6">
        <w:trPr>
          <w:trHeight w:val="288"/>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2D840526" w14:textId="4BEE6CCF" w:rsidR="00682CD6" w:rsidRPr="005449E2" w:rsidRDefault="00A31476" w:rsidP="00682CD6">
            <w:pPr>
              <w:spacing w:before="100" w:beforeAutospacing="1" w:after="100" w:afterAutospacing="1" w:line="293" w:lineRule="atLeast"/>
              <w:jc w:val="center"/>
              <w:rPr>
                <w:bCs/>
              </w:rPr>
            </w:pPr>
            <w:r>
              <w:rPr>
                <w:bCs/>
              </w:rPr>
              <w:t>Noteikumu p</w:t>
            </w:r>
            <w:r w:rsidR="00682CD6" w:rsidRPr="005449E2">
              <w:rPr>
                <w:bCs/>
              </w:rPr>
              <w:t>rojekts šo jomu neskar</w:t>
            </w:r>
            <w:r w:rsidR="001508DB">
              <w:rPr>
                <w:bCs/>
              </w:rPr>
              <w:t>.</w:t>
            </w:r>
          </w:p>
        </w:tc>
      </w:tr>
    </w:tbl>
    <w:p w14:paraId="1E3C55E1" w14:textId="77777777" w:rsidR="00682CD6" w:rsidRDefault="00682CD6" w:rsidP="00895374">
      <w:pPr>
        <w:jc w:val="both"/>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06"/>
        <w:gridCol w:w="3172"/>
        <w:gridCol w:w="5672"/>
      </w:tblGrid>
      <w:tr w:rsidR="000B1C39" w:rsidRPr="00886766" w14:paraId="12ABA361" w14:textId="77777777" w:rsidTr="00964945">
        <w:tc>
          <w:tcPr>
            <w:tcW w:w="5000" w:type="pct"/>
            <w:gridSpan w:val="3"/>
            <w:tcBorders>
              <w:top w:val="single" w:sz="4" w:space="0" w:color="auto"/>
              <w:left w:val="single" w:sz="4" w:space="0" w:color="auto"/>
              <w:bottom w:val="outset" w:sz="6" w:space="0" w:color="000000"/>
              <w:right w:val="single" w:sz="4" w:space="0" w:color="auto"/>
            </w:tcBorders>
          </w:tcPr>
          <w:p w14:paraId="0BB75103" w14:textId="77777777" w:rsidR="000B1C39" w:rsidRPr="00654B66" w:rsidRDefault="000B1C39" w:rsidP="00964945">
            <w:pPr>
              <w:jc w:val="center"/>
              <w:rPr>
                <w:b/>
              </w:rPr>
            </w:pPr>
            <w:r w:rsidRPr="00654B66">
              <w:rPr>
                <w:b/>
              </w:rPr>
              <w:t>IV. Tiesību akta projekta ietekme uz spēkā esošo tiesību normu sistēmu</w:t>
            </w:r>
          </w:p>
        </w:tc>
      </w:tr>
      <w:tr w:rsidR="000B1C39" w:rsidRPr="00886766" w14:paraId="706C135F" w14:textId="77777777" w:rsidTr="00964945">
        <w:tc>
          <w:tcPr>
            <w:tcW w:w="271" w:type="pct"/>
            <w:tcBorders>
              <w:top w:val="outset" w:sz="6" w:space="0" w:color="000000"/>
              <w:left w:val="outset" w:sz="6" w:space="0" w:color="000000"/>
              <w:bottom w:val="outset" w:sz="6" w:space="0" w:color="000000"/>
              <w:right w:val="outset" w:sz="6" w:space="0" w:color="000000"/>
            </w:tcBorders>
          </w:tcPr>
          <w:p w14:paraId="5DA7780F" w14:textId="77777777" w:rsidR="000B1C39" w:rsidRPr="00886766" w:rsidRDefault="000B1C39" w:rsidP="00964945">
            <w:pPr>
              <w:jc w:val="both"/>
            </w:pPr>
            <w:r w:rsidRPr="00886766">
              <w:lastRenderedPageBreak/>
              <w:t>1.</w:t>
            </w:r>
          </w:p>
        </w:tc>
        <w:tc>
          <w:tcPr>
            <w:tcW w:w="1696" w:type="pct"/>
            <w:tcBorders>
              <w:top w:val="outset" w:sz="6" w:space="0" w:color="000000"/>
              <w:left w:val="outset" w:sz="6" w:space="0" w:color="000000"/>
              <w:bottom w:val="outset" w:sz="6" w:space="0" w:color="000000"/>
              <w:right w:val="outset" w:sz="6" w:space="0" w:color="000000"/>
            </w:tcBorders>
          </w:tcPr>
          <w:p w14:paraId="7CB5BDA6" w14:textId="77777777" w:rsidR="000B1C39" w:rsidRPr="000B1C39" w:rsidRDefault="001E4F5E" w:rsidP="001E4F5E">
            <w:pPr>
              <w:jc w:val="both"/>
            </w:pPr>
            <w:r>
              <w:t>S</w:t>
            </w:r>
            <w:r w:rsidR="000B1C39" w:rsidRPr="000B1C39">
              <w:t>aistītie tiesību aktu projekti</w:t>
            </w:r>
          </w:p>
        </w:tc>
        <w:tc>
          <w:tcPr>
            <w:tcW w:w="3033" w:type="pct"/>
            <w:tcBorders>
              <w:top w:val="outset" w:sz="6" w:space="0" w:color="000000"/>
              <w:left w:val="outset" w:sz="6" w:space="0" w:color="000000"/>
              <w:bottom w:val="outset" w:sz="6" w:space="0" w:color="000000"/>
              <w:right w:val="outset" w:sz="6" w:space="0" w:color="000000"/>
            </w:tcBorders>
          </w:tcPr>
          <w:p w14:paraId="2FF8A203" w14:textId="14D12E86" w:rsidR="000558CE" w:rsidRPr="000B1C39" w:rsidRDefault="00A31476" w:rsidP="00331907">
            <w:pPr>
              <w:jc w:val="both"/>
            </w:pPr>
            <w:r>
              <w:t>Noteikumu p</w:t>
            </w:r>
            <w:r w:rsidR="00331907" w:rsidRPr="00CA06B9">
              <w:t>rojekts šo jomu neskar</w:t>
            </w:r>
            <w:r w:rsidR="00331907">
              <w:t>.</w:t>
            </w:r>
          </w:p>
        </w:tc>
      </w:tr>
      <w:tr w:rsidR="000B1C39" w:rsidRPr="00886766" w14:paraId="3D578F75" w14:textId="77777777" w:rsidTr="00964945">
        <w:tc>
          <w:tcPr>
            <w:tcW w:w="271" w:type="pct"/>
            <w:tcBorders>
              <w:top w:val="outset" w:sz="6" w:space="0" w:color="000000"/>
              <w:left w:val="outset" w:sz="6" w:space="0" w:color="000000"/>
              <w:bottom w:val="outset" w:sz="6" w:space="0" w:color="000000"/>
              <w:right w:val="outset" w:sz="6" w:space="0" w:color="000000"/>
            </w:tcBorders>
          </w:tcPr>
          <w:p w14:paraId="7D300BE2" w14:textId="77777777" w:rsidR="000B1C39" w:rsidRPr="00886766" w:rsidRDefault="000B1C39" w:rsidP="00964945">
            <w:pPr>
              <w:jc w:val="both"/>
            </w:pPr>
            <w:r w:rsidRPr="00886766">
              <w:t>2.</w:t>
            </w:r>
          </w:p>
        </w:tc>
        <w:tc>
          <w:tcPr>
            <w:tcW w:w="1696" w:type="pct"/>
            <w:tcBorders>
              <w:top w:val="outset" w:sz="6" w:space="0" w:color="000000"/>
              <w:left w:val="outset" w:sz="6" w:space="0" w:color="000000"/>
              <w:bottom w:val="outset" w:sz="6" w:space="0" w:color="000000"/>
              <w:right w:val="outset" w:sz="6" w:space="0" w:color="000000"/>
            </w:tcBorders>
          </w:tcPr>
          <w:p w14:paraId="3744DE5B" w14:textId="77777777" w:rsidR="000B1C39" w:rsidRPr="00886766" w:rsidRDefault="000B1C39" w:rsidP="00964945">
            <w:pPr>
              <w:jc w:val="both"/>
            </w:pPr>
            <w:r w:rsidRPr="00886766">
              <w:t>Atbildīgā institūcija</w:t>
            </w:r>
          </w:p>
        </w:tc>
        <w:tc>
          <w:tcPr>
            <w:tcW w:w="3033" w:type="pct"/>
            <w:tcBorders>
              <w:top w:val="outset" w:sz="6" w:space="0" w:color="000000"/>
              <w:left w:val="outset" w:sz="6" w:space="0" w:color="000000"/>
              <w:bottom w:val="outset" w:sz="6" w:space="0" w:color="000000"/>
              <w:right w:val="outset" w:sz="6" w:space="0" w:color="000000"/>
            </w:tcBorders>
          </w:tcPr>
          <w:p w14:paraId="68130945" w14:textId="77777777" w:rsidR="000B1C39" w:rsidRPr="00886766" w:rsidRDefault="007C4D3E" w:rsidP="007C4D3E">
            <w:pPr>
              <w:jc w:val="both"/>
            </w:pPr>
            <w:r>
              <w:t>M</w:t>
            </w:r>
            <w:r w:rsidR="000B1C39" w:rsidRPr="00886766">
              <w:t>inistrija.</w:t>
            </w:r>
          </w:p>
        </w:tc>
      </w:tr>
      <w:tr w:rsidR="000B1C39" w:rsidRPr="00886766" w14:paraId="2A6ACA02" w14:textId="77777777" w:rsidTr="00964945">
        <w:trPr>
          <w:trHeight w:val="536"/>
        </w:trPr>
        <w:tc>
          <w:tcPr>
            <w:tcW w:w="271" w:type="pct"/>
            <w:tcBorders>
              <w:top w:val="outset" w:sz="6" w:space="0" w:color="000000"/>
              <w:left w:val="outset" w:sz="6" w:space="0" w:color="000000"/>
              <w:bottom w:val="outset" w:sz="6" w:space="0" w:color="000000"/>
              <w:right w:val="outset" w:sz="6" w:space="0" w:color="000000"/>
            </w:tcBorders>
          </w:tcPr>
          <w:p w14:paraId="63274ADA" w14:textId="77777777" w:rsidR="000B1C39" w:rsidRPr="00886766" w:rsidRDefault="000B1C39" w:rsidP="00964945">
            <w:pPr>
              <w:jc w:val="both"/>
            </w:pPr>
            <w:r w:rsidRPr="00886766">
              <w:t>3.</w:t>
            </w:r>
          </w:p>
        </w:tc>
        <w:tc>
          <w:tcPr>
            <w:tcW w:w="1696" w:type="pct"/>
            <w:tcBorders>
              <w:top w:val="outset" w:sz="6" w:space="0" w:color="000000"/>
              <w:left w:val="outset" w:sz="6" w:space="0" w:color="000000"/>
              <w:bottom w:val="outset" w:sz="6" w:space="0" w:color="000000"/>
              <w:right w:val="outset" w:sz="6" w:space="0" w:color="000000"/>
            </w:tcBorders>
          </w:tcPr>
          <w:p w14:paraId="756F74BE" w14:textId="77777777" w:rsidR="000B1C39" w:rsidRPr="00886766" w:rsidRDefault="000B1C39" w:rsidP="00964945">
            <w:pPr>
              <w:jc w:val="both"/>
            </w:pPr>
            <w:r w:rsidRPr="00886766">
              <w:t>Cita informācija</w:t>
            </w:r>
          </w:p>
        </w:tc>
        <w:tc>
          <w:tcPr>
            <w:tcW w:w="3033" w:type="pct"/>
            <w:tcBorders>
              <w:top w:val="outset" w:sz="6" w:space="0" w:color="000000"/>
              <w:left w:val="outset" w:sz="6" w:space="0" w:color="000000"/>
              <w:bottom w:val="outset" w:sz="6" w:space="0" w:color="000000"/>
              <w:right w:val="outset" w:sz="6" w:space="0" w:color="000000"/>
            </w:tcBorders>
          </w:tcPr>
          <w:p w14:paraId="4FDE9E46" w14:textId="77777777" w:rsidR="000B1C39" w:rsidRPr="00886766" w:rsidRDefault="006B021E" w:rsidP="00964945">
            <w:pPr>
              <w:jc w:val="both"/>
            </w:pPr>
            <w:r>
              <w:t>Nav</w:t>
            </w:r>
          </w:p>
        </w:tc>
      </w:tr>
    </w:tbl>
    <w:p w14:paraId="5DD47BC0" w14:textId="77777777" w:rsidR="000B1C39" w:rsidRDefault="000B1C39" w:rsidP="00895374">
      <w:pPr>
        <w:pStyle w:val="naisc"/>
        <w:spacing w:before="0" w:after="0"/>
      </w:pPr>
    </w:p>
    <w:p w14:paraId="3B9C6A77" w14:textId="77777777" w:rsidR="000B1C39" w:rsidRDefault="000B1C39" w:rsidP="00895374">
      <w:pPr>
        <w:pStyle w:val="naisc"/>
        <w:spacing w:before="0" w:after="0"/>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49"/>
        <w:gridCol w:w="1163"/>
        <w:gridCol w:w="1025"/>
        <w:gridCol w:w="907"/>
        <w:gridCol w:w="1229"/>
        <w:gridCol w:w="1479"/>
        <w:gridCol w:w="647"/>
        <w:gridCol w:w="2551"/>
      </w:tblGrid>
      <w:tr w:rsidR="001A5F98" w:rsidRPr="00E030F4" w14:paraId="5D8E9BC2" w14:textId="77777777" w:rsidTr="00964945">
        <w:tc>
          <w:tcPr>
            <w:tcW w:w="5000" w:type="pct"/>
            <w:gridSpan w:val="8"/>
            <w:tcBorders>
              <w:top w:val="single" w:sz="4" w:space="0" w:color="auto"/>
              <w:left w:val="single" w:sz="4" w:space="0" w:color="auto"/>
              <w:bottom w:val="outset" w:sz="6" w:space="0" w:color="000000"/>
              <w:right w:val="single" w:sz="4" w:space="0" w:color="auto"/>
            </w:tcBorders>
          </w:tcPr>
          <w:p w14:paraId="7AAD186A" w14:textId="77777777" w:rsidR="001A5F98" w:rsidRPr="00E030F4" w:rsidRDefault="001A5F98" w:rsidP="00964945">
            <w:pPr>
              <w:spacing w:before="100" w:beforeAutospacing="1" w:after="100" w:afterAutospacing="1"/>
              <w:jc w:val="center"/>
              <w:rPr>
                <w:b/>
                <w:bCs/>
              </w:rPr>
            </w:pPr>
            <w:r w:rsidRPr="00E030F4">
              <w:rPr>
                <w:b/>
                <w:bCs/>
              </w:rPr>
              <w:t>V. Tiesību akta projekta atbilstība Latvijas Republikas starptautiskajām saistībām</w:t>
            </w:r>
          </w:p>
        </w:tc>
      </w:tr>
      <w:tr w:rsidR="001A5F98" w:rsidRPr="00E030F4" w14:paraId="0AADDEFB" w14:textId="77777777" w:rsidTr="00DC407C">
        <w:tc>
          <w:tcPr>
            <w:tcW w:w="187" w:type="pct"/>
            <w:tcBorders>
              <w:top w:val="outset" w:sz="6" w:space="0" w:color="000000"/>
              <w:left w:val="outset" w:sz="6" w:space="0" w:color="000000"/>
              <w:bottom w:val="outset" w:sz="6" w:space="0" w:color="000000"/>
              <w:right w:val="outset" w:sz="6" w:space="0" w:color="000000"/>
            </w:tcBorders>
          </w:tcPr>
          <w:p w14:paraId="42FA480E" w14:textId="77777777" w:rsidR="001A5F98" w:rsidRPr="00E030F4" w:rsidRDefault="001A5F98" w:rsidP="00964945">
            <w:pPr>
              <w:spacing w:before="100" w:beforeAutospacing="1" w:after="100" w:afterAutospacing="1"/>
            </w:pPr>
            <w:r w:rsidRPr="00E030F4">
              <w:t>1.</w:t>
            </w:r>
          </w:p>
        </w:tc>
        <w:tc>
          <w:tcPr>
            <w:tcW w:w="1170" w:type="pct"/>
            <w:gridSpan w:val="2"/>
            <w:tcBorders>
              <w:top w:val="outset" w:sz="6" w:space="0" w:color="000000"/>
              <w:left w:val="outset" w:sz="6" w:space="0" w:color="000000"/>
              <w:bottom w:val="outset" w:sz="6" w:space="0" w:color="000000"/>
              <w:right w:val="outset" w:sz="6" w:space="0" w:color="000000"/>
            </w:tcBorders>
          </w:tcPr>
          <w:p w14:paraId="16AB0E1D" w14:textId="77777777" w:rsidR="001A5F98" w:rsidRPr="00E030F4" w:rsidRDefault="001A5F98" w:rsidP="00964945">
            <w:pPr>
              <w:spacing w:before="100" w:beforeAutospacing="1" w:after="100" w:afterAutospacing="1"/>
            </w:pPr>
            <w:r w:rsidRPr="00305571">
              <w:t>Saistības pret Eiropas Savienību</w:t>
            </w:r>
          </w:p>
        </w:tc>
        <w:tc>
          <w:tcPr>
            <w:tcW w:w="3643" w:type="pct"/>
            <w:gridSpan w:val="5"/>
            <w:tcBorders>
              <w:top w:val="outset" w:sz="6" w:space="0" w:color="000000"/>
              <w:left w:val="outset" w:sz="6" w:space="0" w:color="000000"/>
              <w:bottom w:val="outset" w:sz="6" w:space="0" w:color="000000"/>
              <w:right w:val="outset" w:sz="6" w:space="0" w:color="000000"/>
            </w:tcBorders>
          </w:tcPr>
          <w:p w14:paraId="3B493DE3" w14:textId="29D2BF5C" w:rsidR="00E913BE" w:rsidRDefault="00E913BE" w:rsidP="00E913BE">
            <w:pPr>
              <w:pStyle w:val="naiskr"/>
              <w:spacing w:before="0" w:after="0"/>
              <w:jc w:val="both"/>
            </w:pPr>
            <w:r>
              <w:t xml:space="preserve">Ar noteikumu projektu </w:t>
            </w:r>
            <w:r w:rsidRPr="00A02142">
              <w:t>tiek pārņemta</w:t>
            </w:r>
            <w:r w:rsidR="0028136F">
              <w:t>s</w:t>
            </w:r>
            <w:r>
              <w:t xml:space="preserve"> šādu Eiropas Savienības tiesību aktu normas:</w:t>
            </w:r>
          </w:p>
          <w:p w14:paraId="4EE58F08" w14:textId="1FFDB457" w:rsidR="008E411A" w:rsidRDefault="008E411A" w:rsidP="00E913BE">
            <w:pPr>
              <w:pStyle w:val="naiskr"/>
              <w:spacing w:before="0" w:after="0"/>
              <w:jc w:val="both"/>
            </w:pPr>
            <w:r>
              <w:rPr>
                <w:rStyle w:val="Strong"/>
                <w:b w:val="0"/>
                <w:bdr w:val="none" w:sz="0" w:space="0" w:color="auto" w:frame="1"/>
                <w:shd w:val="clear" w:color="auto" w:fill="FFFFFF"/>
              </w:rPr>
              <w:t>1) </w:t>
            </w:r>
            <w:r w:rsidR="00331907" w:rsidRPr="002D7D41">
              <w:rPr>
                <w:iCs/>
              </w:rPr>
              <w:t xml:space="preserve">Komisijas 2020. gada 6. maija īstenošanas lēmuma (ES) 2020/667 ar ko groza Lēmumu (ES) 2012/688/ES, atjauninot attiecīgos tehniskos nosacījumus, kas piemērojami 1920–1980 </w:t>
            </w:r>
            <w:proofErr w:type="spellStart"/>
            <w:r w:rsidR="00331907" w:rsidRPr="002D7D41">
              <w:rPr>
                <w:iCs/>
              </w:rPr>
              <w:t>MHz</w:t>
            </w:r>
            <w:proofErr w:type="spellEnd"/>
            <w:r w:rsidR="00331907" w:rsidRPr="002D7D41">
              <w:rPr>
                <w:iCs/>
              </w:rPr>
              <w:t xml:space="preserve"> un 2110–2170 </w:t>
            </w:r>
            <w:proofErr w:type="spellStart"/>
            <w:r w:rsidR="00331907" w:rsidRPr="002D7D41">
              <w:rPr>
                <w:iCs/>
              </w:rPr>
              <w:t>MHz</w:t>
            </w:r>
            <w:proofErr w:type="spellEnd"/>
            <w:r w:rsidR="00331907" w:rsidRPr="002D7D41">
              <w:rPr>
                <w:iCs/>
              </w:rPr>
              <w:t xml:space="preserve"> frekvenču joslām</w:t>
            </w:r>
            <w:r w:rsidR="00331907">
              <w:rPr>
                <w:iCs/>
              </w:rPr>
              <w:t>;</w:t>
            </w:r>
            <w:r w:rsidR="00331907" w:rsidRPr="00502771">
              <w:t xml:space="preserve"> </w:t>
            </w:r>
          </w:p>
          <w:p w14:paraId="1E7D5893" w14:textId="62FC3F47" w:rsidR="000558CE" w:rsidRDefault="008E411A" w:rsidP="00523344">
            <w:pPr>
              <w:jc w:val="both"/>
            </w:pPr>
            <w:r>
              <w:t>2</w:t>
            </w:r>
            <w:r w:rsidR="000558CE">
              <w:t>)</w:t>
            </w:r>
            <w:r w:rsidR="000558CE">
              <w:rPr>
                <w:rStyle w:val="Strong"/>
                <w:b w:val="0"/>
                <w:bdr w:val="none" w:sz="0" w:space="0" w:color="auto" w:frame="1"/>
                <w:shd w:val="clear" w:color="auto" w:fill="FFFFFF"/>
              </w:rPr>
              <w:t> </w:t>
            </w:r>
            <w:r w:rsidR="00331907" w:rsidRPr="002D7D41">
              <w:rPr>
                <w:bCs/>
                <w:iCs/>
              </w:rPr>
              <w:t xml:space="preserve">Komisijas 2020. gada 8. maija īstenošanas lēmuma (ES) 2020/636, ar ko Lēmumu 2008/477/EK groza, lai atjauninātu attiecīgos tehniskos nosacījumus, kas piemērojami 2500–2690 </w:t>
            </w:r>
            <w:proofErr w:type="spellStart"/>
            <w:r w:rsidR="00331907" w:rsidRPr="002D7D41">
              <w:rPr>
                <w:bCs/>
                <w:iCs/>
              </w:rPr>
              <w:t>MHz</w:t>
            </w:r>
            <w:proofErr w:type="spellEnd"/>
            <w:r w:rsidR="00331907" w:rsidRPr="002D7D41">
              <w:rPr>
                <w:bCs/>
                <w:iCs/>
              </w:rPr>
              <w:t xml:space="preserve"> frekvenču joslai</w:t>
            </w:r>
            <w:r w:rsidR="00EF4B05">
              <w:t>;</w:t>
            </w:r>
          </w:p>
          <w:p w14:paraId="1F513D6A" w14:textId="2CB80728" w:rsidR="000558CE" w:rsidRPr="007F6CF5" w:rsidRDefault="008E411A" w:rsidP="00DC2120">
            <w:pPr>
              <w:jc w:val="both"/>
            </w:pPr>
            <w:r>
              <w:rPr>
                <w:rFonts w:eastAsia="TimesNewRoman"/>
              </w:rPr>
              <w:t>3</w:t>
            </w:r>
            <w:r w:rsidR="000558CE">
              <w:rPr>
                <w:rFonts w:eastAsia="TimesNewRoman"/>
              </w:rPr>
              <w:t>) </w:t>
            </w:r>
            <w:r w:rsidR="003A1AAF" w:rsidRPr="002D7D41">
              <w:rPr>
                <w:bCs/>
              </w:rPr>
              <w:t xml:space="preserve">Komisijas 2020. gada 7. oktobra īstenošanas lēmuma (ES) 2020/1426 par radiofrekvenču spektra saskaņotu izmantošanu 5875–5935 </w:t>
            </w:r>
            <w:proofErr w:type="spellStart"/>
            <w:r w:rsidR="003A1AAF" w:rsidRPr="002D7D41">
              <w:rPr>
                <w:bCs/>
              </w:rPr>
              <w:t>MHz</w:t>
            </w:r>
            <w:proofErr w:type="spellEnd"/>
            <w:r w:rsidR="003A1AAF" w:rsidRPr="002D7D41">
              <w:rPr>
                <w:bCs/>
              </w:rPr>
              <w:t xml:space="preserve"> frekvenču joslā ar drošību saistītiem </w:t>
            </w:r>
            <w:proofErr w:type="spellStart"/>
            <w:r w:rsidR="003A1AAF" w:rsidRPr="002D7D41">
              <w:rPr>
                <w:bCs/>
              </w:rPr>
              <w:t>intelektisko</w:t>
            </w:r>
            <w:proofErr w:type="spellEnd"/>
            <w:r w:rsidR="003A1AAF" w:rsidRPr="002D7D41">
              <w:rPr>
                <w:bCs/>
              </w:rPr>
              <w:t xml:space="preserve"> transporta sistēmu (ITS) lietojumiem un Lēmuma 2008/671/EK atcelšanu</w:t>
            </w:r>
            <w:r w:rsidR="003A1AAF">
              <w:rPr>
                <w:bCs/>
              </w:rPr>
              <w:t>.</w:t>
            </w:r>
          </w:p>
        </w:tc>
      </w:tr>
      <w:tr w:rsidR="001A5F98" w:rsidRPr="00E030F4" w14:paraId="4BCBD8FE" w14:textId="77777777" w:rsidTr="00DC407C">
        <w:tc>
          <w:tcPr>
            <w:tcW w:w="187" w:type="pct"/>
            <w:tcBorders>
              <w:top w:val="outset" w:sz="6" w:space="0" w:color="000000"/>
              <w:left w:val="outset" w:sz="6" w:space="0" w:color="000000"/>
              <w:bottom w:val="outset" w:sz="6" w:space="0" w:color="000000"/>
              <w:right w:val="outset" w:sz="6" w:space="0" w:color="000000"/>
            </w:tcBorders>
          </w:tcPr>
          <w:p w14:paraId="4B5003FF" w14:textId="4B11431B" w:rsidR="001A5F98" w:rsidRPr="00E030F4" w:rsidRDefault="001A5F98" w:rsidP="00964945">
            <w:pPr>
              <w:spacing w:before="100" w:beforeAutospacing="1" w:after="100" w:afterAutospacing="1"/>
            </w:pPr>
            <w:r w:rsidRPr="00E030F4">
              <w:t>2.</w:t>
            </w:r>
          </w:p>
        </w:tc>
        <w:tc>
          <w:tcPr>
            <w:tcW w:w="1170" w:type="pct"/>
            <w:gridSpan w:val="2"/>
            <w:tcBorders>
              <w:top w:val="outset" w:sz="6" w:space="0" w:color="000000"/>
              <w:left w:val="outset" w:sz="6" w:space="0" w:color="000000"/>
              <w:bottom w:val="outset" w:sz="6" w:space="0" w:color="000000"/>
              <w:right w:val="outset" w:sz="6" w:space="0" w:color="000000"/>
            </w:tcBorders>
          </w:tcPr>
          <w:p w14:paraId="57B62C0C" w14:textId="77777777" w:rsidR="001A5F98" w:rsidRPr="00E030F4" w:rsidRDefault="001A5F98" w:rsidP="00964945">
            <w:pPr>
              <w:spacing w:before="100" w:beforeAutospacing="1" w:after="100" w:afterAutospacing="1"/>
            </w:pPr>
            <w:r w:rsidRPr="00E030F4">
              <w:t>Citas starptautiskās saistības</w:t>
            </w:r>
          </w:p>
        </w:tc>
        <w:tc>
          <w:tcPr>
            <w:tcW w:w="3643" w:type="pct"/>
            <w:gridSpan w:val="5"/>
            <w:tcBorders>
              <w:top w:val="outset" w:sz="6" w:space="0" w:color="000000"/>
              <w:left w:val="outset" w:sz="6" w:space="0" w:color="000000"/>
              <w:bottom w:val="outset" w:sz="6" w:space="0" w:color="000000"/>
              <w:right w:val="outset" w:sz="6" w:space="0" w:color="000000"/>
            </w:tcBorders>
          </w:tcPr>
          <w:p w14:paraId="02C49D1B" w14:textId="37F27EAE" w:rsidR="001A5F98" w:rsidRPr="00E030F4" w:rsidRDefault="00A31476" w:rsidP="00964945">
            <w:pPr>
              <w:spacing w:before="100" w:beforeAutospacing="1" w:after="100" w:afterAutospacing="1"/>
            </w:pPr>
            <w:r>
              <w:t>Noteikumu p</w:t>
            </w:r>
            <w:r w:rsidR="009B10B4">
              <w:t>rojekts šo jomu neskar.</w:t>
            </w:r>
          </w:p>
        </w:tc>
      </w:tr>
      <w:tr w:rsidR="001A5F98" w:rsidRPr="00E030F4" w14:paraId="0974C905" w14:textId="77777777" w:rsidTr="00DC407C">
        <w:tc>
          <w:tcPr>
            <w:tcW w:w="187" w:type="pct"/>
            <w:tcBorders>
              <w:top w:val="outset" w:sz="6" w:space="0" w:color="000000"/>
              <w:left w:val="outset" w:sz="6" w:space="0" w:color="000000"/>
              <w:bottom w:val="outset" w:sz="6" w:space="0" w:color="000000"/>
              <w:right w:val="outset" w:sz="6" w:space="0" w:color="000000"/>
            </w:tcBorders>
          </w:tcPr>
          <w:p w14:paraId="66506D5A" w14:textId="77777777" w:rsidR="001A5F98" w:rsidRPr="00E030F4" w:rsidRDefault="001A5F98" w:rsidP="00964945">
            <w:pPr>
              <w:spacing w:before="100" w:beforeAutospacing="1" w:after="100" w:afterAutospacing="1"/>
            </w:pPr>
            <w:r w:rsidRPr="00E030F4">
              <w:t>3.</w:t>
            </w:r>
          </w:p>
        </w:tc>
        <w:tc>
          <w:tcPr>
            <w:tcW w:w="1170" w:type="pct"/>
            <w:gridSpan w:val="2"/>
            <w:tcBorders>
              <w:top w:val="outset" w:sz="6" w:space="0" w:color="000000"/>
              <w:left w:val="outset" w:sz="6" w:space="0" w:color="000000"/>
              <w:bottom w:val="outset" w:sz="6" w:space="0" w:color="000000"/>
              <w:right w:val="outset" w:sz="6" w:space="0" w:color="000000"/>
            </w:tcBorders>
          </w:tcPr>
          <w:p w14:paraId="368007D0" w14:textId="77777777" w:rsidR="001A5F98" w:rsidRPr="00E030F4" w:rsidRDefault="001A5F98" w:rsidP="00964945">
            <w:pPr>
              <w:spacing w:before="100" w:beforeAutospacing="1" w:after="100" w:afterAutospacing="1"/>
            </w:pPr>
            <w:r w:rsidRPr="00E030F4">
              <w:t>Cita informācija</w:t>
            </w:r>
          </w:p>
        </w:tc>
        <w:tc>
          <w:tcPr>
            <w:tcW w:w="3643" w:type="pct"/>
            <w:gridSpan w:val="5"/>
            <w:tcBorders>
              <w:top w:val="outset" w:sz="6" w:space="0" w:color="000000"/>
              <w:left w:val="outset" w:sz="6" w:space="0" w:color="000000"/>
              <w:bottom w:val="outset" w:sz="6" w:space="0" w:color="000000"/>
              <w:right w:val="outset" w:sz="6" w:space="0" w:color="000000"/>
            </w:tcBorders>
          </w:tcPr>
          <w:p w14:paraId="68B8828A" w14:textId="77777777" w:rsidR="001A5F98" w:rsidRDefault="00507809" w:rsidP="00964945">
            <w:pPr>
              <w:spacing w:before="100" w:beforeAutospacing="1" w:after="100" w:afterAutospacing="1"/>
              <w:jc w:val="both"/>
            </w:pPr>
            <w:r>
              <w:t>Nav</w:t>
            </w:r>
          </w:p>
        </w:tc>
      </w:tr>
      <w:tr w:rsidR="001A5F98" w:rsidRPr="00E030F4" w14:paraId="0957901B" w14:textId="77777777" w:rsidTr="00964945">
        <w:tc>
          <w:tcPr>
            <w:tcW w:w="5000" w:type="pct"/>
            <w:gridSpan w:val="8"/>
            <w:tcBorders>
              <w:top w:val="outset" w:sz="6" w:space="0" w:color="000000"/>
              <w:left w:val="outset" w:sz="6" w:space="0" w:color="000000"/>
              <w:bottom w:val="outset" w:sz="6" w:space="0" w:color="000000"/>
              <w:right w:val="outset" w:sz="6" w:space="0" w:color="000000"/>
            </w:tcBorders>
            <w:vAlign w:val="center"/>
          </w:tcPr>
          <w:p w14:paraId="605072F8" w14:textId="77777777" w:rsidR="001A5F98" w:rsidRPr="00E030F4" w:rsidRDefault="001A5F98" w:rsidP="00964945">
            <w:pPr>
              <w:spacing w:before="100" w:beforeAutospacing="1" w:after="100" w:afterAutospacing="1"/>
              <w:jc w:val="center"/>
              <w:rPr>
                <w:b/>
                <w:bCs/>
              </w:rPr>
            </w:pPr>
            <w:r w:rsidRPr="00E030F4">
              <w:rPr>
                <w:b/>
                <w:bCs/>
              </w:rPr>
              <w:t>1.</w:t>
            </w:r>
            <w:r w:rsidR="00AC7887">
              <w:rPr>
                <w:b/>
                <w:bCs/>
              </w:rPr>
              <w:t> </w:t>
            </w:r>
            <w:r w:rsidRPr="00E030F4">
              <w:rPr>
                <w:b/>
                <w:bCs/>
              </w:rPr>
              <w:t>tabula</w:t>
            </w:r>
            <w:r w:rsidRPr="00E030F4">
              <w:rPr>
                <w:b/>
                <w:bCs/>
              </w:rPr>
              <w:br/>
              <w:t>Tiesību akta projekta atbilstība ES tiesību aktiem</w:t>
            </w:r>
          </w:p>
        </w:tc>
      </w:tr>
      <w:tr w:rsidR="001A5F98" w:rsidRPr="00E030F4" w14:paraId="03E7D680" w14:textId="77777777" w:rsidTr="00DC407C">
        <w:tc>
          <w:tcPr>
            <w:tcW w:w="809" w:type="pct"/>
            <w:gridSpan w:val="2"/>
            <w:tcBorders>
              <w:top w:val="outset" w:sz="6" w:space="0" w:color="000000"/>
              <w:left w:val="outset" w:sz="6" w:space="0" w:color="000000"/>
              <w:bottom w:val="outset" w:sz="6" w:space="0" w:color="000000"/>
              <w:right w:val="outset" w:sz="6" w:space="0" w:color="000000"/>
            </w:tcBorders>
            <w:vAlign w:val="center"/>
          </w:tcPr>
          <w:p w14:paraId="7F400085" w14:textId="77777777" w:rsidR="001A5F98" w:rsidRPr="00E030F4" w:rsidRDefault="001A5F98" w:rsidP="00964945">
            <w:pPr>
              <w:spacing w:before="100" w:beforeAutospacing="1" w:after="100" w:afterAutospacing="1"/>
              <w:jc w:val="center"/>
            </w:pPr>
            <w:r w:rsidRPr="00E030F4">
              <w:t>A</w:t>
            </w:r>
          </w:p>
        </w:tc>
        <w:tc>
          <w:tcPr>
            <w:tcW w:w="1033" w:type="pct"/>
            <w:gridSpan w:val="2"/>
            <w:tcBorders>
              <w:top w:val="outset" w:sz="6" w:space="0" w:color="000000"/>
              <w:left w:val="outset" w:sz="6" w:space="0" w:color="000000"/>
              <w:bottom w:val="outset" w:sz="6" w:space="0" w:color="000000"/>
              <w:right w:val="outset" w:sz="6" w:space="0" w:color="000000"/>
            </w:tcBorders>
            <w:vAlign w:val="center"/>
          </w:tcPr>
          <w:p w14:paraId="5560EEAB" w14:textId="77777777" w:rsidR="001A5F98" w:rsidRPr="00E030F4" w:rsidRDefault="001A5F98" w:rsidP="00964945">
            <w:pPr>
              <w:spacing w:before="100" w:beforeAutospacing="1" w:after="100" w:afterAutospacing="1"/>
              <w:jc w:val="center"/>
            </w:pPr>
            <w:r w:rsidRPr="00E030F4">
              <w:t>B</w:t>
            </w:r>
          </w:p>
        </w:tc>
        <w:tc>
          <w:tcPr>
            <w:tcW w:w="1448" w:type="pct"/>
            <w:gridSpan w:val="2"/>
            <w:tcBorders>
              <w:top w:val="outset" w:sz="6" w:space="0" w:color="000000"/>
              <w:left w:val="outset" w:sz="6" w:space="0" w:color="000000"/>
              <w:bottom w:val="outset" w:sz="6" w:space="0" w:color="000000"/>
              <w:right w:val="outset" w:sz="6" w:space="0" w:color="000000"/>
            </w:tcBorders>
            <w:vAlign w:val="center"/>
          </w:tcPr>
          <w:p w14:paraId="02B0F5CF" w14:textId="77777777" w:rsidR="001A5F98" w:rsidRPr="00E030F4" w:rsidRDefault="001A5F98" w:rsidP="00964945">
            <w:pPr>
              <w:spacing w:before="100" w:beforeAutospacing="1" w:after="100" w:afterAutospacing="1"/>
              <w:jc w:val="center"/>
            </w:pPr>
            <w:r w:rsidRPr="00E030F4">
              <w:t>C</w:t>
            </w:r>
          </w:p>
        </w:tc>
        <w:tc>
          <w:tcPr>
            <w:tcW w:w="1710" w:type="pct"/>
            <w:gridSpan w:val="2"/>
            <w:tcBorders>
              <w:top w:val="outset" w:sz="6" w:space="0" w:color="000000"/>
              <w:left w:val="outset" w:sz="6" w:space="0" w:color="000000"/>
              <w:bottom w:val="outset" w:sz="6" w:space="0" w:color="000000"/>
              <w:right w:val="outset" w:sz="6" w:space="0" w:color="000000"/>
            </w:tcBorders>
            <w:vAlign w:val="center"/>
          </w:tcPr>
          <w:p w14:paraId="59D2B7F3" w14:textId="77777777" w:rsidR="001A5F98" w:rsidRPr="00E030F4" w:rsidRDefault="001A5F98" w:rsidP="00964945">
            <w:pPr>
              <w:spacing w:before="100" w:beforeAutospacing="1" w:after="100" w:afterAutospacing="1"/>
              <w:jc w:val="center"/>
            </w:pPr>
            <w:r w:rsidRPr="00E030F4">
              <w:t>D</w:t>
            </w:r>
          </w:p>
        </w:tc>
      </w:tr>
      <w:tr w:rsidR="001A5F98" w:rsidRPr="00E030F4" w14:paraId="55D33E96" w14:textId="77777777" w:rsidTr="00DC407C">
        <w:tc>
          <w:tcPr>
            <w:tcW w:w="809" w:type="pct"/>
            <w:gridSpan w:val="2"/>
            <w:tcBorders>
              <w:top w:val="outset" w:sz="6" w:space="0" w:color="000000"/>
              <w:left w:val="outset" w:sz="6" w:space="0" w:color="000000"/>
              <w:bottom w:val="outset" w:sz="6" w:space="0" w:color="000000"/>
              <w:right w:val="outset" w:sz="6" w:space="0" w:color="000000"/>
            </w:tcBorders>
          </w:tcPr>
          <w:p w14:paraId="701CA239" w14:textId="77777777" w:rsidR="001A5F98" w:rsidRPr="00E030F4" w:rsidRDefault="001A5F98" w:rsidP="00964945">
            <w:pPr>
              <w:spacing w:before="100" w:beforeAutospacing="1" w:after="100" w:afterAutospacing="1"/>
            </w:pPr>
            <w:r w:rsidRPr="00E030F4">
              <w:t>Attiecīgā ES tiesību akta panta numurs (uzskaitot katru tiesību akta</w:t>
            </w:r>
            <w:r w:rsidRPr="00E030F4">
              <w:br/>
              <w:t>vienību - pantu, daļu, punktu, apakšpunktu)</w:t>
            </w:r>
          </w:p>
        </w:tc>
        <w:tc>
          <w:tcPr>
            <w:tcW w:w="1033" w:type="pct"/>
            <w:gridSpan w:val="2"/>
            <w:tcBorders>
              <w:top w:val="outset" w:sz="6" w:space="0" w:color="000000"/>
              <w:left w:val="outset" w:sz="6" w:space="0" w:color="000000"/>
              <w:bottom w:val="outset" w:sz="6" w:space="0" w:color="000000"/>
              <w:right w:val="outset" w:sz="6" w:space="0" w:color="000000"/>
            </w:tcBorders>
          </w:tcPr>
          <w:p w14:paraId="1588479E" w14:textId="77777777" w:rsidR="001A5F98" w:rsidRPr="00E030F4" w:rsidRDefault="001A5F98" w:rsidP="00964945">
            <w:pPr>
              <w:spacing w:before="100" w:beforeAutospacing="1" w:after="100" w:afterAutospacing="1"/>
            </w:pPr>
            <w:r w:rsidRPr="00E030F4">
              <w:t>Projekta vienība, kas pārņem vai ievieš katru šīs tabulas A ailē minēto ES tiesību akta vienību</w:t>
            </w:r>
          </w:p>
        </w:tc>
        <w:tc>
          <w:tcPr>
            <w:tcW w:w="1448" w:type="pct"/>
            <w:gridSpan w:val="2"/>
            <w:tcBorders>
              <w:top w:val="outset" w:sz="6" w:space="0" w:color="000000"/>
              <w:left w:val="outset" w:sz="6" w:space="0" w:color="000000"/>
              <w:bottom w:val="outset" w:sz="6" w:space="0" w:color="000000"/>
              <w:right w:val="outset" w:sz="6" w:space="0" w:color="000000"/>
            </w:tcBorders>
          </w:tcPr>
          <w:p w14:paraId="283022E2" w14:textId="77777777" w:rsidR="001A5F98" w:rsidRDefault="001A5F98" w:rsidP="00964945">
            <w:pPr>
              <w:spacing w:before="100" w:beforeAutospacing="1" w:after="100" w:afterAutospacing="1"/>
            </w:pPr>
            <w:r w:rsidRPr="00E030F4">
              <w:t>Informācija par to, vai šīs tabulas A ailē minētās ES tiesību akta vienības tiek pārņemtas vai ieviestas pilnībā vai daļēji.</w:t>
            </w:r>
            <w:r>
              <w:t xml:space="preserve"> </w:t>
            </w:r>
          </w:p>
          <w:p w14:paraId="59B71191" w14:textId="77777777" w:rsidR="001A5F98" w:rsidRPr="00E030F4" w:rsidRDefault="001A5F98" w:rsidP="00964945">
            <w:pPr>
              <w:spacing w:before="100" w:beforeAutospacing="1" w:after="100" w:afterAutospacing="1"/>
            </w:pPr>
            <w:r w:rsidRPr="00E030F4">
              <w:t>Ja attiecīgā ES tiesību akta vienība tiek pārņemta vai ieviesta daļēji, - sniedz attiecīgu skaidrojumu, kā arī precīzi norāda, kad un kādā veidā ES tiesību akta vienība tiks pārņemta vai ieviesta pilnībā.</w:t>
            </w:r>
          </w:p>
          <w:p w14:paraId="5F29BCDE" w14:textId="77777777" w:rsidR="001A5F98" w:rsidRPr="00E030F4" w:rsidRDefault="001A5F98" w:rsidP="00964945">
            <w:pPr>
              <w:spacing w:before="100" w:beforeAutospacing="1" w:after="100" w:afterAutospacing="1"/>
            </w:pPr>
            <w:r w:rsidRPr="00E030F4">
              <w:lastRenderedPageBreak/>
              <w:t>Norāda institūciju, kas ir atbildīga par šo saistību izpildi pilnībā</w:t>
            </w:r>
            <w:r>
              <w:t>.</w:t>
            </w:r>
          </w:p>
        </w:tc>
        <w:tc>
          <w:tcPr>
            <w:tcW w:w="1710" w:type="pct"/>
            <w:gridSpan w:val="2"/>
            <w:tcBorders>
              <w:top w:val="outset" w:sz="6" w:space="0" w:color="000000"/>
              <w:left w:val="outset" w:sz="6" w:space="0" w:color="000000"/>
              <w:bottom w:val="outset" w:sz="6" w:space="0" w:color="000000"/>
              <w:right w:val="outset" w:sz="6" w:space="0" w:color="000000"/>
            </w:tcBorders>
          </w:tcPr>
          <w:p w14:paraId="5F3F7EA4" w14:textId="77777777" w:rsidR="001A5F98" w:rsidRPr="00E030F4" w:rsidRDefault="001A5F98" w:rsidP="00964945">
            <w:pPr>
              <w:spacing w:before="100" w:beforeAutospacing="1" w:after="100" w:afterAutospacing="1"/>
            </w:pPr>
            <w:r w:rsidRPr="00E030F4">
              <w:lastRenderedPageBreak/>
              <w:t>Informācija par to, vai šīs tabulas B ailē minētās projekta vienības paredz stingrākas prasības nekā šīs tabulas A ailē minētās ES tiesību akta vienības.</w:t>
            </w:r>
          </w:p>
          <w:p w14:paraId="21EA4C4C" w14:textId="77777777" w:rsidR="001A5F98" w:rsidRPr="00E030F4" w:rsidRDefault="001A5F98" w:rsidP="00964945">
            <w:pPr>
              <w:spacing w:before="100" w:beforeAutospacing="1" w:after="100" w:afterAutospacing="1"/>
            </w:pPr>
            <w:r w:rsidRPr="00E030F4">
              <w:t>Ja projekts satur stingrākas prasības nekā attiecīgais ES tiesību akts, - norāda pamatojumu un samērīgumu.</w:t>
            </w:r>
          </w:p>
          <w:p w14:paraId="347DB69C" w14:textId="77777777" w:rsidR="001A5F98" w:rsidRPr="00E030F4" w:rsidRDefault="001A5F98" w:rsidP="00964945">
            <w:pPr>
              <w:spacing w:before="100" w:beforeAutospacing="1" w:after="100" w:afterAutospacing="1"/>
            </w:pPr>
            <w:r w:rsidRPr="00E030F4">
              <w:t xml:space="preserve">Norāda iespējamās alternatīvas (t.sk. alternatīvas, kas neparedz tiesiskā regulējuma izstrādi) - kādos gadījumos būtu iespējams izvairīties no stingrāku prasību </w:t>
            </w:r>
            <w:r w:rsidRPr="00E030F4">
              <w:lastRenderedPageBreak/>
              <w:t>noteikšanas, nekā paredzēts attiecīgajos ES tiesību aktos</w:t>
            </w:r>
            <w:r>
              <w:t>.</w:t>
            </w:r>
          </w:p>
        </w:tc>
      </w:tr>
      <w:tr w:rsidR="00004315" w:rsidRPr="00E030F4" w14:paraId="4EAFA48F" w14:textId="77777777" w:rsidTr="00964945">
        <w:tc>
          <w:tcPr>
            <w:tcW w:w="5000" w:type="pct"/>
            <w:gridSpan w:val="8"/>
            <w:tcBorders>
              <w:top w:val="outset" w:sz="6" w:space="0" w:color="000000"/>
              <w:left w:val="outset" w:sz="6" w:space="0" w:color="000000"/>
              <w:bottom w:val="outset" w:sz="6" w:space="0" w:color="000000"/>
              <w:right w:val="outset" w:sz="6" w:space="0" w:color="000000"/>
            </w:tcBorders>
            <w:vAlign w:val="center"/>
          </w:tcPr>
          <w:p w14:paraId="2414D803" w14:textId="69A9376A" w:rsidR="00004315" w:rsidRPr="00E030F4" w:rsidRDefault="003A1AAF" w:rsidP="00004315">
            <w:pPr>
              <w:jc w:val="both"/>
              <w:rPr>
                <w:b/>
                <w:bCs/>
              </w:rPr>
            </w:pPr>
            <w:r w:rsidRPr="002D7D41">
              <w:rPr>
                <w:iCs/>
              </w:rPr>
              <w:lastRenderedPageBreak/>
              <w:t xml:space="preserve">Komisijas 2020. gada 6. maija īstenošanas lēmuma (ES) 2020/667 ar ko groza Lēmumu (ES) 2012/688/ES, atjauninot attiecīgos tehniskos nosacījumus, kas piemērojami 1920–1980 </w:t>
            </w:r>
            <w:proofErr w:type="spellStart"/>
            <w:r w:rsidRPr="002D7D41">
              <w:rPr>
                <w:iCs/>
              </w:rPr>
              <w:t>MHz</w:t>
            </w:r>
            <w:proofErr w:type="spellEnd"/>
            <w:r w:rsidRPr="002D7D41">
              <w:rPr>
                <w:iCs/>
              </w:rPr>
              <w:t xml:space="preserve"> un 2110–2170 </w:t>
            </w:r>
            <w:proofErr w:type="spellStart"/>
            <w:r w:rsidRPr="002D7D41">
              <w:rPr>
                <w:iCs/>
              </w:rPr>
              <w:t>MHz</w:t>
            </w:r>
            <w:proofErr w:type="spellEnd"/>
            <w:r w:rsidRPr="002D7D41">
              <w:rPr>
                <w:iCs/>
              </w:rPr>
              <w:t xml:space="preserve"> frekvenču joslām</w:t>
            </w:r>
            <w:r w:rsidR="00227075">
              <w:rPr>
                <w:iCs/>
              </w:rPr>
              <w:t>.</w:t>
            </w:r>
          </w:p>
        </w:tc>
      </w:tr>
      <w:tr w:rsidR="007745EF" w:rsidRPr="00E030F4" w14:paraId="65E725C2" w14:textId="77777777" w:rsidTr="00EE0782">
        <w:tc>
          <w:tcPr>
            <w:tcW w:w="1357" w:type="pct"/>
            <w:gridSpan w:val="3"/>
            <w:tcBorders>
              <w:top w:val="outset" w:sz="6" w:space="0" w:color="000000"/>
              <w:left w:val="outset" w:sz="6" w:space="0" w:color="000000"/>
              <w:bottom w:val="outset" w:sz="6" w:space="0" w:color="000000"/>
              <w:right w:val="outset" w:sz="6" w:space="0" w:color="000000"/>
            </w:tcBorders>
          </w:tcPr>
          <w:p w14:paraId="4348E800" w14:textId="0F1523DA" w:rsidR="00300D95" w:rsidRPr="00F024FD" w:rsidRDefault="00523344" w:rsidP="00EC7373">
            <w:pPr>
              <w:spacing w:before="100" w:beforeAutospacing="1" w:after="100" w:afterAutospacing="1"/>
            </w:pPr>
            <w:r w:rsidRPr="00502771">
              <w:t>Lēmum</w:t>
            </w:r>
            <w:r w:rsidR="00A41650">
              <w:t>a (ES)</w:t>
            </w:r>
            <w:r w:rsidRPr="00502771">
              <w:t xml:space="preserve"> </w:t>
            </w:r>
            <w:r w:rsidR="00A41650" w:rsidRPr="002D7D41">
              <w:rPr>
                <w:iCs/>
              </w:rPr>
              <w:t>2020/667</w:t>
            </w:r>
            <w:r w:rsidR="00EC7373">
              <w:rPr>
                <w:iCs/>
              </w:rPr>
              <w:t xml:space="preserve"> </w:t>
            </w:r>
            <w:r w:rsidR="00EC7373">
              <w:t>pielikums B daļa</w:t>
            </w:r>
            <w:r w:rsidR="00A41650" w:rsidRPr="002D7D41">
              <w:rPr>
                <w:iCs/>
              </w:rPr>
              <w:t xml:space="preserve"> </w:t>
            </w:r>
          </w:p>
        </w:tc>
        <w:tc>
          <w:tcPr>
            <w:tcW w:w="1142" w:type="pct"/>
            <w:gridSpan w:val="2"/>
            <w:tcBorders>
              <w:top w:val="outset" w:sz="6" w:space="0" w:color="000000"/>
              <w:left w:val="outset" w:sz="6" w:space="0" w:color="000000"/>
              <w:bottom w:val="outset" w:sz="6" w:space="0" w:color="000000"/>
              <w:right w:val="outset" w:sz="6" w:space="0" w:color="000000"/>
            </w:tcBorders>
          </w:tcPr>
          <w:p w14:paraId="5EF930F9" w14:textId="60575C35" w:rsidR="007745EF" w:rsidRPr="00BD4FB9" w:rsidRDefault="007745EF" w:rsidP="0092643D">
            <w:pPr>
              <w:pStyle w:val="naiskr"/>
              <w:spacing w:before="0" w:after="0"/>
              <w:rPr>
                <w:bCs/>
              </w:rPr>
            </w:pPr>
            <w:r w:rsidRPr="00BD4FB9">
              <w:rPr>
                <w:bCs/>
              </w:rPr>
              <w:t xml:space="preserve">Noteikumu projekta </w:t>
            </w:r>
            <w:r w:rsidR="006C6C92" w:rsidRPr="006C6C92">
              <w:rPr>
                <w:bCs/>
              </w:rPr>
              <w:t>1</w:t>
            </w:r>
            <w:r w:rsidRPr="006C6C92">
              <w:rPr>
                <w:bCs/>
              </w:rPr>
              <w:t>. punkts</w:t>
            </w:r>
          </w:p>
        </w:tc>
        <w:tc>
          <w:tcPr>
            <w:tcW w:w="1137" w:type="pct"/>
            <w:gridSpan w:val="2"/>
            <w:tcBorders>
              <w:top w:val="outset" w:sz="6" w:space="0" w:color="000000"/>
              <w:left w:val="outset" w:sz="6" w:space="0" w:color="000000"/>
              <w:bottom w:val="outset" w:sz="6" w:space="0" w:color="000000"/>
              <w:right w:val="outset" w:sz="6" w:space="0" w:color="000000"/>
            </w:tcBorders>
          </w:tcPr>
          <w:p w14:paraId="18D8ACA8" w14:textId="77777777" w:rsidR="007745EF" w:rsidRPr="00FE646D" w:rsidRDefault="00FE646D" w:rsidP="00964945">
            <w:pPr>
              <w:spacing w:before="100" w:beforeAutospacing="1" w:after="100" w:afterAutospacing="1"/>
            </w:pPr>
            <w:r w:rsidRPr="00FE646D">
              <w:rPr>
                <w:bCs/>
              </w:rPr>
              <w:t>pārņemts</w:t>
            </w:r>
            <w:r w:rsidRPr="00FE646D">
              <w:t xml:space="preserve"> </w:t>
            </w:r>
            <w:r w:rsidR="007745EF" w:rsidRPr="00FE646D">
              <w:t>pilnībā.</w:t>
            </w:r>
          </w:p>
        </w:tc>
        <w:tc>
          <w:tcPr>
            <w:tcW w:w="1364" w:type="pct"/>
            <w:tcBorders>
              <w:top w:val="outset" w:sz="6" w:space="0" w:color="000000"/>
              <w:left w:val="outset" w:sz="6" w:space="0" w:color="000000"/>
              <w:bottom w:val="outset" w:sz="6" w:space="0" w:color="000000"/>
              <w:right w:val="outset" w:sz="6" w:space="0" w:color="000000"/>
            </w:tcBorders>
          </w:tcPr>
          <w:p w14:paraId="4B646799" w14:textId="77777777" w:rsidR="007745EF" w:rsidRPr="002B2D98" w:rsidRDefault="00DA79A0" w:rsidP="00964945">
            <w:pPr>
              <w:spacing w:before="100" w:beforeAutospacing="1" w:after="100" w:afterAutospacing="1"/>
            </w:pPr>
            <w:r>
              <w:t xml:space="preserve">Neparedz </w:t>
            </w:r>
            <w:r w:rsidRPr="00E030F4">
              <w:t>stingrākas prasības</w:t>
            </w:r>
          </w:p>
        </w:tc>
      </w:tr>
      <w:tr w:rsidR="005A4C31" w:rsidRPr="00E030F4" w14:paraId="6355A7AB" w14:textId="77777777" w:rsidTr="00EE0782">
        <w:tc>
          <w:tcPr>
            <w:tcW w:w="1357" w:type="pct"/>
            <w:gridSpan w:val="3"/>
            <w:tcBorders>
              <w:top w:val="outset" w:sz="6" w:space="0" w:color="000000"/>
              <w:left w:val="outset" w:sz="6" w:space="0" w:color="000000"/>
              <w:bottom w:val="outset" w:sz="6" w:space="0" w:color="000000"/>
              <w:right w:val="outset" w:sz="6" w:space="0" w:color="000000"/>
            </w:tcBorders>
          </w:tcPr>
          <w:p w14:paraId="6FA060C2" w14:textId="020B1C9C" w:rsidR="00300D95" w:rsidRDefault="006C6C92" w:rsidP="00B84E89">
            <w:pPr>
              <w:spacing w:before="100" w:beforeAutospacing="1" w:after="100" w:afterAutospacing="1"/>
            </w:pPr>
            <w:r w:rsidRPr="00502771">
              <w:t>Lēmum</w:t>
            </w:r>
            <w:r w:rsidR="00A41650">
              <w:t>a (ES)</w:t>
            </w:r>
            <w:r w:rsidRPr="00502771">
              <w:t xml:space="preserve"> </w:t>
            </w:r>
            <w:r w:rsidR="00A41650" w:rsidRPr="002D7D41">
              <w:rPr>
                <w:iCs/>
              </w:rPr>
              <w:t xml:space="preserve">2020/667 </w:t>
            </w:r>
            <w:r w:rsidRPr="00523344">
              <w:t>pielikums</w:t>
            </w:r>
            <w:r w:rsidR="00EC7373">
              <w:t xml:space="preserve"> B daļa</w:t>
            </w:r>
          </w:p>
        </w:tc>
        <w:tc>
          <w:tcPr>
            <w:tcW w:w="1142" w:type="pct"/>
            <w:gridSpan w:val="2"/>
            <w:tcBorders>
              <w:top w:val="outset" w:sz="6" w:space="0" w:color="000000"/>
              <w:left w:val="outset" w:sz="6" w:space="0" w:color="000000"/>
              <w:bottom w:val="outset" w:sz="6" w:space="0" w:color="000000"/>
              <w:right w:val="outset" w:sz="6" w:space="0" w:color="000000"/>
            </w:tcBorders>
          </w:tcPr>
          <w:p w14:paraId="76ACF825" w14:textId="12793825" w:rsidR="005A4C31" w:rsidRPr="00300D95" w:rsidRDefault="006C6C92" w:rsidP="0092643D">
            <w:pPr>
              <w:pStyle w:val="naiskr"/>
              <w:spacing w:before="0" w:after="0"/>
              <w:rPr>
                <w:bCs/>
              </w:rPr>
            </w:pPr>
            <w:r w:rsidRPr="00BD4FB9">
              <w:rPr>
                <w:bCs/>
              </w:rPr>
              <w:t>Noteikumu projekta</w:t>
            </w:r>
            <w:r>
              <w:rPr>
                <w:bCs/>
              </w:rPr>
              <w:t xml:space="preserve"> 2.punkts</w:t>
            </w:r>
          </w:p>
        </w:tc>
        <w:tc>
          <w:tcPr>
            <w:tcW w:w="1137" w:type="pct"/>
            <w:gridSpan w:val="2"/>
            <w:tcBorders>
              <w:top w:val="outset" w:sz="6" w:space="0" w:color="000000"/>
              <w:left w:val="outset" w:sz="6" w:space="0" w:color="000000"/>
              <w:bottom w:val="outset" w:sz="6" w:space="0" w:color="000000"/>
              <w:right w:val="outset" w:sz="6" w:space="0" w:color="000000"/>
            </w:tcBorders>
          </w:tcPr>
          <w:p w14:paraId="64B8A571" w14:textId="53D49C53" w:rsidR="005A4C31" w:rsidRPr="00FE646D" w:rsidRDefault="006C6C92" w:rsidP="00964945">
            <w:pPr>
              <w:spacing w:before="100" w:beforeAutospacing="1" w:after="100" w:afterAutospacing="1"/>
              <w:rPr>
                <w:bCs/>
              </w:rPr>
            </w:pPr>
            <w:r w:rsidRPr="00FE646D">
              <w:rPr>
                <w:bCs/>
              </w:rPr>
              <w:t>pārņemts</w:t>
            </w:r>
            <w:r w:rsidRPr="00FE646D">
              <w:t xml:space="preserve"> pilnībā.</w:t>
            </w:r>
          </w:p>
        </w:tc>
        <w:tc>
          <w:tcPr>
            <w:tcW w:w="1364" w:type="pct"/>
            <w:tcBorders>
              <w:top w:val="outset" w:sz="6" w:space="0" w:color="000000"/>
              <w:left w:val="outset" w:sz="6" w:space="0" w:color="000000"/>
              <w:bottom w:val="outset" w:sz="6" w:space="0" w:color="000000"/>
              <w:right w:val="outset" w:sz="6" w:space="0" w:color="000000"/>
            </w:tcBorders>
          </w:tcPr>
          <w:p w14:paraId="1AAFBF96" w14:textId="4B74C78F" w:rsidR="005A4C31" w:rsidRPr="002B2D98" w:rsidRDefault="006C6C92" w:rsidP="00964945">
            <w:pPr>
              <w:spacing w:before="100" w:beforeAutospacing="1" w:after="100" w:afterAutospacing="1"/>
            </w:pPr>
            <w:r>
              <w:t xml:space="preserve">Neparedz </w:t>
            </w:r>
            <w:r w:rsidRPr="00E030F4">
              <w:t>stingrākas prasības</w:t>
            </w:r>
          </w:p>
        </w:tc>
      </w:tr>
      <w:tr w:rsidR="00EC7373" w:rsidRPr="00E030F4" w14:paraId="292499C1" w14:textId="77777777" w:rsidTr="00EE0782">
        <w:tc>
          <w:tcPr>
            <w:tcW w:w="1357" w:type="pct"/>
            <w:gridSpan w:val="3"/>
            <w:tcBorders>
              <w:top w:val="outset" w:sz="6" w:space="0" w:color="000000"/>
              <w:left w:val="outset" w:sz="6" w:space="0" w:color="000000"/>
              <w:bottom w:val="outset" w:sz="6" w:space="0" w:color="000000"/>
              <w:right w:val="outset" w:sz="6" w:space="0" w:color="000000"/>
            </w:tcBorders>
          </w:tcPr>
          <w:p w14:paraId="7BF6FEA7" w14:textId="53404F60" w:rsidR="00EC7373" w:rsidRPr="00502771" w:rsidRDefault="00F813F3" w:rsidP="00B84E89">
            <w:pPr>
              <w:spacing w:before="100" w:beforeAutospacing="1" w:after="100" w:afterAutospacing="1"/>
            </w:pPr>
            <w:r w:rsidRPr="00502771">
              <w:t>Lēmum</w:t>
            </w:r>
            <w:r>
              <w:t>a (ES)</w:t>
            </w:r>
            <w:r w:rsidRPr="00502771">
              <w:t xml:space="preserve"> </w:t>
            </w:r>
            <w:r w:rsidRPr="002D7D41">
              <w:rPr>
                <w:iCs/>
              </w:rPr>
              <w:t xml:space="preserve">2020/667 </w:t>
            </w:r>
            <w:r w:rsidRPr="00523344">
              <w:t>pielikums</w:t>
            </w:r>
            <w:r>
              <w:t xml:space="preserve"> C daļa</w:t>
            </w:r>
          </w:p>
        </w:tc>
        <w:tc>
          <w:tcPr>
            <w:tcW w:w="1142" w:type="pct"/>
            <w:gridSpan w:val="2"/>
            <w:tcBorders>
              <w:top w:val="outset" w:sz="6" w:space="0" w:color="000000"/>
              <w:left w:val="outset" w:sz="6" w:space="0" w:color="000000"/>
              <w:bottom w:val="outset" w:sz="6" w:space="0" w:color="000000"/>
              <w:right w:val="outset" w:sz="6" w:space="0" w:color="000000"/>
            </w:tcBorders>
          </w:tcPr>
          <w:p w14:paraId="4D943F88" w14:textId="07936BFE" w:rsidR="00EC7373" w:rsidRPr="00BD4FB9" w:rsidRDefault="006C7D0A" w:rsidP="0092643D">
            <w:pPr>
              <w:pStyle w:val="naiskr"/>
              <w:spacing w:before="0" w:after="0"/>
              <w:rPr>
                <w:bCs/>
              </w:rPr>
            </w:pPr>
            <w:r w:rsidRPr="00BD4FB9">
              <w:rPr>
                <w:bCs/>
              </w:rPr>
              <w:t>Noteikumu projekta</w:t>
            </w:r>
            <w:r>
              <w:rPr>
                <w:bCs/>
              </w:rPr>
              <w:t xml:space="preserve"> 6.punkts</w:t>
            </w:r>
          </w:p>
        </w:tc>
        <w:tc>
          <w:tcPr>
            <w:tcW w:w="1137" w:type="pct"/>
            <w:gridSpan w:val="2"/>
            <w:tcBorders>
              <w:top w:val="outset" w:sz="6" w:space="0" w:color="000000"/>
              <w:left w:val="outset" w:sz="6" w:space="0" w:color="000000"/>
              <w:bottom w:val="outset" w:sz="6" w:space="0" w:color="000000"/>
              <w:right w:val="outset" w:sz="6" w:space="0" w:color="000000"/>
            </w:tcBorders>
          </w:tcPr>
          <w:p w14:paraId="4B562FC7" w14:textId="4E9D2866" w:rsidR="00EC7373" w:rsidRPr="00FE646D" w:rsidRDefault="006C7D0A" w:rsidP="00964945">
            <w:pPr>
              <w:spacing w:before="100" w:beforeAutospacing="1" w:after="100" w:afterAutospacing="1"/>
              <w:rPr>
                <w:bCs/>
              </w:rPr>
            </w:pPr>
            <w:r w:rsidRPr="00FE646D">
              <w:rPr>
                <w:bCs/>
              </w:rPr>
              <w:t>pārņemts</w:t>
            </w:r>
            <w:r w:rsidRPr="00FE646D">
              <w:t xml:space="preserve"> pilnībā.</w:t>
            </w:r>
          </w:p>
        </w:tc>
        <w:tc>
          <w:tcPr>
            <w:tcW w:w="1364" w:type="pct"/>
            <w:tcBorders>
              <w:top w:val="outset" w:sz="6" w:space="0" w:color="000000"/>
              <w:left w:val="outset" w:sz="6" w:space="0" w:color="000000"/>
              <w:bottom w:val="outset" w:sz="6" w:space="0" w:color="000000"/>
              <w:right w:val="outset" w:sz="6" w:space="0" w:color="000000"/>
            </w:tcBorders>
          </w:tcPr>
          <w:p w14:paraId="4473CA4C" w14:textId="024F2D6F" w:rsidR="00EC7373" w:rsidRDefault="006C7D0A" w:rsidP="00964945">
            <w:pPr>
              <w:spacing w:before="100" w:beforeAutospacing="1" w:after="100" w:afterAutospacing="1"/>
            </w:pPr>
            <w:r>
              <w:t xml:space="preserve">Neparedz </w:t>
            </w:r>
            <w:r w:rsidRPr="00E030F4">
              <w:t>stingrākas prasības</w:t>
            </w:r>
          </w:p>
        </w:tc>
      </w:tr>
      <w:tr w:rsidR="00EC7373" w:rsidRPr="00E030F4" w14:paraId="67FDD40D" w14:textId="77777777" w:rsidTr="00EE0782">
        <w:tc>
          <w:tcPr>
            <w:tcW w:w="1357" w:type="pct"/>
            <w:gridSpan w:val="3"/>
            <w:tcBorders>
              <w:top w:val="outset" w:sz="6" w:space="0" w:color="000000"/>
              <w:left w:val="outset" w:sz="6" w:space="0" w:color="000000"/>
              <w:bottom w:val="outset" w:sz="6" w:space="0" w:color="000000"/>
              <w:right w:val="outset" w:sz="6" w:space="0" w:color="000000"/>
            </w:tcBorders>
          </w:tcPr>
          <w:p w14:paraId="5C709378" w14:textId="4736579E" w:rsidR="00EC7373" w:rsidRPr="00502771" w:rsidRDefault="00F813F3" w:rsidP="00B84E89">
            <w:pPr>
              <w:spacing w:before="100" w:beforeAutospacing="1" w:after="100" w:afterAutospacing="1"/>
            </w:pPr>
            <w:r w:rsidRPr="00502771">
              <w:t>Lēmum</w:t>
            </w:r>
            <w:r>
              <w:t>a (ES)</w:t>
            </w:r>
            <w:r w:rsidRPr="00502771">
              <w:t xml:space="preserve"> </w:t>
            </w:r>
            <w:r w:rsidRPr="002D7D41">
              <w:rPr>
                <w:iCs/>
              </w:rPr>
              <w:t xml:space="preserve">2020/667 </w:t>
            </w:r>
            <w:r w:rsidRPr="00523344">
              <w:t>pielikums</w:t>
            </w:r>
            <w:r>
              <w:t xml:space="preserve"> D daļa</w:t>
            </w:r>
          </w:p>
        </w:tc>
        <w:tc>
          <w:tcPr>
            <w:tcW w:w="1142" w:type="pct"/>
            <w:gridSpan w:val="2"/>
            <w:tcBorders>
              <w:top w:val="outset" w:sz="6" w:space="0" w:color="000000"/>
              <w:left w:val="outset" w:sz="6" w:space="0" w:color="000000"/>
              <w:bottom w:val="outset" w:sz="6" w:space="0" w:color="000000"/>
              <w:right w:val="outset" w:sz="6" w:space="0" w:color="000000"/>
            </w:tcBorders>
          </w:tcPr>
          <w:p w14:paraId="65D64F03" w14:textId="23617064" w:rsidR="00EC7373" w:rsidRPr="00BD4FB9" w:rsidRDefault="006C7D0A" w:rsidP="0092643D">
            <w:pPr>
              <w:pStyle w:val="naiskr"/>
              <w:spacing w:before="0" w:after="0"/>
              <w:rPr>
                <w:bCs/>
              </w:rPr>
            </w:pPr>
            <w:r w:rsidRPr="00BD4FB9">
              <w:rPr>
                <w:bCs/>
              </w:rPr>
              <w:t>Noteikumu projekta</w:t>
            </w:r>
            <w:r>
              <w:rPr>
                <w:bCs/>
              </w:rPr>
              <w:t xml:space="preserve"> 6.punkts</w:t>
            </w:r>
          </w:p>
        </w:tc>
        <w:tc>
          <w:tcPr>
            <w:tcW w:w="1137" w:type="pct"/>
            <w:gridSpan w:val="2"/>
            <w:tcBorders>
              <w:top w:val="outset" w:sz="6" w:space="0" w:color="000000"/>
              <w:left w:val="outset" w:sz="6" w:space="0" w:color="000000"/>
              <w:bottom w:val="outset" w:sz="6" w:space="0" w:color="000000"/>
              <w:right w:val="outset" w:sz="6" w:space="0" w:color="000000"/>
            </w:tcBorders>
          </w:tcPr>
          <w:p w14:paraId="69A21FEC" w14:textId="7E23B801" w:rsidR="00EC7373" w:rsidRPr="00FE646D" w:rsidRDefault="006C7D0A" w:rsidP="00964945">
            <w:pPr>
              <w:spacing w:before="100" w:beforeAutospacing="1" w:after="100" w:afterAutospacing="1"/>
              <w:rPr>
                <w:bCs/>
              </w:rPr>
            </w:pPr>
            <w:r w:rsidRPr="00FE646D">
              <w:rPr>
                <w:bCs/>
              </w:rPr>
              <w:t>pārņemts</w:t>
            </w:r>
            <w:r w:rsidRPr="00FE646D">
              <w:t xml:space="preserve"> pilnībā.</w:t>
            </w:r>
          </w:p>
        </w:tc>
        <w:tc>
          <w:tcPr>
            <w:tcW w:w="1364" w:type="pct"/>
            <w:tcBorders>
              <w:top w:val="outset" w:sz="6" w:space="0" w:color="000000"/>
              <w:left w:val="outset" w:sz="6" w:space="0" w:color="000000"/>
              <w:bottom w:val="outset" w:sz="6" w:space="0" w:color="000000"/>
              <w:right w:val="outset" w:sz="6" w:space="0" w:color="000000"/>
            </w:tcBorders>
          </w:tcPr>
          <w:p w14:paraId="0BAF87EA" w14:textId="328E9A1F" w:rsidR="00EC7373" w:rsidRDefault="006C7D0A" w:rsidP="00964945">
            <w:pPr>
              <w:spacing w:before="100" w:beforeAutospacing="1" w:after="100" w:afterAutospacing="1"/>
            </w:pPr>
            <w:r>
              <w:t xml:space="preserve">Neparedz </w:t>
            </w:r>
            <w:r w:rsidRPr="00E030F4">
              <w:t>stingrākas prasības</w:t>
            </w:r>
          </w:p>
        </w:tc>
      </w:tr>
      <w:tr w:rsidR="005A4C31" w:rsidRPr="00E030F4" w14:paraId="0669CC78" w14:textId="77777777" w:rsidTr="00964945">
        <w:tc>
          <w:tcPr>
            <w:tcW w:w="5000" w:type="pct"/>
            <w:gridSpan w:val="8"/>
            <w:tcBorders>
              <w:top w:val="outset" w:sz="6" w:space="0" w:color="000000"/>
              <w:left w:val="outset" w:sz="6" w:space="0" w:color="000000"/>
              <w:bottom w:val="outset" w:sz="6" w:space="0" w:color="000000"/>
              <w:right w:val="outset" w:sz="6" w:space="0" w:color="000000"/>
            </w:tcBorders>
            <w:vAlign w:val="center"/>
          </w:tcPr>
          <w:p w14:paraId="680E4494" w14:textId="24F51812" w:rsidR="005A4C31" w:rsidRPr="00E030F4" w:rsidRDefault="003A1AAF" w:rsidP="00D32E8C">
            <w:pPr>
              <w:jc w:val="both"/>
              <w:rPr>
                <w:b/>
                <w:bCs/>
              </w:rPr>
            </w:pPr>
            <w:r w:rsidRPr="002D7D41">
              <w:rPr>
                <w:bCs/>
                <w:iCs/>
              </w:rPr>
              <w:t xml:space="preserve">Komisijas 2020. gada 8. maija īstenošanas lēmuma (ES) 2020/636, ar ko Lēmumu 2008/477/EK groza, lai atjauninātu attiecīgos tehniskos nosacījumus, kas piemērojami 2500–2690 </w:t>
            </w:r>
            <w:proofErr w:type="spellStart"/>
            <w:r w:rsidRPr="002D7D41">
              <w:rPr>
                <w:bCs/>
                <w:iCs/>
              </w:rPr>
              <w:t>MHz</w:t>
            </w:r>
            <w:proofErr w:type="spellEnd"/>
            <w:r w:rsidRPr="002D7D41">
              <w:rPr>
                <w:bCs/>
                <w:iCs/>
              </w:rPr>
              <w:t xml:space="preserve"> frekvenču joslai</w:t>
            </w:r>
            <w:r w:rsidR="00227075">
              <w:rPr>
                <w:bCs/>
                <w:iCs/>
              </w:rPr>
              <w:t>.</w:t>
            </w:r>
          </w:p>
        </w:tc>
      </w:tr>
      <w:tr w:rsidR="005A4C31" w:rsidRPr="00E030F4" w14:paraId="733F4572" w14:textId="77777777" w:rsidTr="00EE0782">
        <w:tc>
          <w:tcPr>
            <w:tcW w:w="1357" w:type="pct"/>
            <w:gridSpan w:val="3"/>
            <w:tcBorders>
              <w:top w:val="outset" w:sz="6" w:space="0" w:color="000000"/>
              <w:left w:val="outset" w:sz="6" w:space="0" w:color="000000"/>
              <w:bottom w:val="outset" w:sz="6" w:space="0" w:color="000000"/>
              <w:right w:val="outset" w:sz="6" w:space="0" w:color="000000"/>
            </w:tcBorders>
          </w:tcPr>
          <w:p w14:paraId="23D5BDE2" w14:textId="66E4584E" w:rsidR="005A4C31" w:rsidRDefault="00293340" w:rsidP="00D32E8C">
            <w:pPr>
              <w:spacing w:before="100" w:beforeAutospacing="1" w:after="100" w:afterAutospacing="1"/>
            </w:pPr>
            <w:r>
              <w:t>Lēmum</w:t>
            </w:r>
            <w:r w:rsidR="00A41650">
              <w:t>a (ES)</w:t>
            </w:r>
            <w:r>
              <w:t xml:space="preserve"> </w:t>
            </w:r>
            <w:r w:rsidR="00A41650" w:rsidRPr="002D7D41">
              <w:rPr>
                <w:bCs/>
                <w:iCs/>
              </w:rPr>
              <w:t>2020/636</w:t>
            </w:r>
            <w:r w:rsidR="00BA4BDD">
              <w:t>.</w:t>
            </w:r>
            <w:r w:rsidR="00EA1DAC">
              <w:t> </w:t>
            </w:r>
            <w:r w:rsidR="00B32436">
              <w:t xml:space="preserve">1.panta </w:t>
            </w:r>
            <w:r w:rsidR="005C7539">
              <w:t>pielikums B daļa</w:t>
            </w:r>
          </w:p>
        </w:tc>
        <w:tc>
          <w:tcPr>
            <w:tcW w:w="1142" w:type="pct"/>
            <w:gridSpan w:val="2"/>
            <w:tcBorders>
              <w:top w:val="outset" w:sz="6" w:space="0" w:color="000000"/>
              <w:left w:val="outset" w:sz="6" w:space="0" w:color="000000"/>
              <w:bottom w:val="outset" w:sz="6" w:space="0" w:color="000000"/>
              <w:right w:val="outset" w:sz="6" w:space="0" w:color="000000"/>
            </w:tcBorders>
          </w:tcPr>
          <w:p w14:paraId="59E259F9" w14:textId="6F395D35" w:rsidR="005A4C31" w:rsidRPr="00BD4FB9" w:rsidRDefault="00DA79A0" w:rsidP="0092643D">
            <w:pPr>
              <w:pStyle w:val="naiskr"/>
              <w:spacing w:before="0" w:after="0"/>
              <w:rPr>
                <w:bCs/>
              </w:rPr>
            </w:pPr>
            <w:r w:rsidRPr="00BD4FB9">
              <w:rPr>
                <w:bCs/>
              </w:rPr>
              <w:t>Noteikumu projekta</w:t>
            </w:r>
            <w:r>
              <w:rPr>
                <w:bCs/>
              </w:rPr>
              <w:t xml:space="preserve"> </w:t>
            </w:r>
            <w:r w:rsidR="00B32436">
              <w:rPr>
                <w:bCs/>
              </w:rPr>
              <w:t>3</w:t>
            </w:r>
            <w:r w:rsidR="00BA4BDD">
              <w:rPr>
                <w:bCs/>
              </w:rPr>
              <w:t>.</w:t>
            </w:r>
            <w:r w:rsidR="00A818BE">
              <w:rPr>
                <w:bCs/>
              </w:rPr>
              <w:t> </w:t>
            </w:r>
            <w:r w:rsidR="00BA4BDD">
              <w:rPr>
                <w:bCs/>
              </w:rPr>
              <w:t>punkts</w:t>
            </w:r>
          </w:p>
        </w:tc>
        <w:tc>
          <w:tcPr>
            <w:tcW w:w="1137" w:type="pct"/>
            <w:gridSpan w:val="2"/>
            <w:tcBorders>
              <w:top w:val="outset" w:sz="6" w:space="0" w:color="000000"/>
              <w:left w:val="outset" w:sz="6" w:space="0" w:color="000000"/>
              <w:bottom w:val="outset" w:sz="6" w:space="0" w:color="000000"/>
              <w:right w:val="outset" w:sz="6" w:space="0" w:color="000000"/>
            </w:tcBorders>
          </w:tcPr>
          <w:p w14:paraId="5BA27B40" w14:textId="77777777" w:rsidR="005A4C31" w:rsidRPr="00FE646D" w:rsidRDefault="00DA79A0" w:rsidP="00964945">
            <w:pPr>
              <w:spacing w:before="100" w:beforeAutospacing="1" w:after="100" w:afterAutospacing="1"/>
              <w:rPr>
                <w:bCs/>
              </w:rPr>
            </w:pPr>
            <w:r w:rsidRPr="00FE646D">
              <w:rPr>
                <w:bCs/>
              </w:rPr>
              <w:t>pārņemts</w:t>
            </w:r>
            <w:r w:rsidRPr="00FE646D">
              <w:t xml:space="preserve"> pilnībā.</w:t>
            </w:r>
          </w:p>
        </w:tc>
        <w:tc>
          <w:tcPr>
            <w:tcW w:w="1364" w:type="pct"/>
            <w:tcBorders>
              <w:top w:val="outset" w:sz="6" w:space="0" w:color="000000"/>
              <w:left w:val="outset" w:sz="6" w:space="0" w:color="000000"/>
              <w:bottom w:val="outset" w:sz="6" w:space="0" w:color="000000"/>
              <w:right w:val="outset" w:sz="6" w:space="0" w:color="000000"/>
            </w:tcBorders>
          </w:tcPr>
          <w:p w14:paraId="035F1F45" w14:textId="77777777" w:rsidR="005A4C31" w:rsidRPr="002B2D98" w:rsidRDefault="00DA79A0" w:rsidP="00964945">
            <w:pPr>
              <w:spacing w:before="100" w:beforeAutospacing="1" w:after="100" w:afterAutospacing="1"/>
            </w:pPr>
            <w:r>
              <w:t xml:space="preserve">Neparedz </w:t>
            </w:r>
            <w:r w:rsidRPr="00E030F4">
              <w:t>stingrākas prasības</w:t>
            </w:r>
          </w:p>
        </w:tc>
      </w:tr>
      <w:tr w:rsidR="005A4C31" w:rsidRPr="00E030F4" w14:paraId="06D73934" w14:textId="77777777" w:rsidTr="00EE0782">
        <w:tc>
          <w:tcPr>
            <w:tcW w:w="1357" w:type="pct"/>
            <w:gridSpan w:val="3"/>
            <w:tcBorders>
              <w:top w:val="outset" w:sz="6" w:space="0" w:color="000000"/>
              <w:left w:val="outset" w:sz="6" w:space="0" w:color="000000"/>
              <w:bottom w:val="outset" w:sz="6" w:space="0" w:color="000000"/>
              <w:right w:val="outset" w:sz="6" w:space="0" w:color="000000"/>
            </w:tcBorders>
          </w:tcPr>
          <w:p w14:paraId="5D582D22" w14:textId="1EEE6035" w:rsidR="00B84E89" w:rsidRDefault="00BA4BDD" w:rsidP="00B84E89">
            <w:pPr>
              <w:spacing w:before="100" w:beforeAutospacing="1" w:after="100" w:afterAutospacing="1"/>
            </w:pPr>
            <w:r>
              <w:t>Lēmum</w:t>
            </w:r>
            <w:r w:rsidR="00A41650">
              <w:t>a (ES)</w:t>
            </w:r>
            <w:r>
              <w:t xml:space="preserve"> </w:t>
            </w:r>
            <w:r w:rsidR="00A41650" w:rsidRPr="002D7D41">
              <w:rPr>
                <w:bCs/>
                <w:iCs/>
              </w:rPr>
              <w:t>2020/636</w:t>
            </w:r>
            <w:r w:rsidR="00A41650">
              <w:rPr>
                <w:bCs/>
                <w:iCs/>
              </w:rPr>
              <w:t xml:space="preserve"> </w:t>
            </w:r>
            <w:r w:rsidR="00A818BE">
              <w:t xml:space="preserve">pielikums </w:t>
            </w:r>
            <w:r w:rsidR="00B40BB8">
              <w:t>C daļa</w:t>
            </w:r>
            <w:r w:rsidR="00A41650">
              <w:t xml:space="preserve"> </w:t>
            </w:r>
          </w:p>
        </w:tc>
        <w:tc>
          <w:tcPr>
            <w:tcW w:w="1142" w:type="pct"/>
            <w:gridSpan w:val="2"/>
            <w:tcBorders>
              <w:top w:val="outset" w:sz="6" w:space="0" w:color="000000"/>
              <w:left w:val="outset" w:sz="6" w:space="0" w:color="000000"/>
              <w:bottom w:val="outset" w:sz="6" w:space="0" w:color="000000"/>
              <w:right w:val="outset" w:sz="6" w:space="0" w:color="000000"/>
            </w:tcBorders>
          </w:tcPr>
          <w:p w14:paraId="1AC861F9" w14:textId="0955FC3E" w:rsidR="005A4C31" w:rsidRPr="00BD4FB9" w:rsidRDefault="00A818BE" w:rsidP="0092643D">
            <w:pPr>
              <w:pStyle w:val="naiskr"/>
              <w:spacing w:before="0" w:after="0"/>
              <w:rPr>
                <w:bCs/>
              </w:rPr>
            </w:pPr>
            <w:r w:rsidRPr="00BD4FB9">
              <w:rPr>
                <w:bCs/>
              </w:rPr>
              <w:t>Noteikumu projekta</w:t>
            </w:r>
            <w:r>
              <w:rPr>
                <w:bCs/>
              </w:rPr>
              <w:t xml:space="preserve"> </w:t>
            </w:r>
            <w:r w:rsidR="00D15EBA">
              <w:rPr>
                <w:bCs/>
              </w:rPr>
              <w:t>5</w:t>
            </w:r>
            <w:r>
              <w:rPr>
                <w:bCs/>
              </w:rPr>
              <w:t>. punkts</w:t>
            </w:r>
          </w:p>
        </w:tc>
        <w:tc>
          <w:tcPr>
            <w:tcW w:w="1137" w:type="pct"/>
            <w:gridSpan w:val="2"/>
            <w:tcBorders>
              <w:top w:val="outset" w:sz="6" w:space="0" w:color="000000"/>
              <w:left w:val="outset" w:sz="6" w:space="0" w:color="000000"/>
              <w:bottom w:val="outset" w:sz="6" w:space="0" w:color="000000"/>
              <w:right w:val="outset" w:sz="6" w:space="0" w:color="000000"/>
            </w:tcBorders>
          </w:tcPr>
          <w:p w14:paraId="14634129" w14:textId="349A263E" w:rsidR="005A4C31" w:rsidRPr="00FE646D" w:rsidRDefault="00EA1DAC" w:rsidP="00964945">
            <w:pPr>
              <w:spacing w:before="100" w:beforeAutospacing="1" w:after="100" w:afterAutospacing="1"/>
              <w:rPr>
                <w:bCs/>
              </w:rPr>
            </w:pPr>
            <w:r w:rsidRPr="00FE646D">
              <w:rPr>
                <w:bCs/>
              </w:rPr>
              <w:t>pārņemts</w:t>
            </w:r>
            <w:r w:rsidRPr="00FE646D">
              <w:t xml:space="preserve"> pilnībā.</w:t>
            </w:r>
          </w:p>
        </w:tc>
        <w:tc>
          <w:tcPr>
            <w:tcW w:w="1364" w:type="pct"/>
            <w:tcBorders>
              <w:top w:val="outset" w:sz="6" w:space="0" w:color="000000"/>
              <w:left w:val="outset" w:sz="6" w:space="0" w:color="000000"/>
              <w:bottom w:val="outset" w:sz="6" w:space="0" w:color="000000"/>
              <w:right w:val="outset" w:sz="6" w:space="0" w:color="000000"/>
            </w:tcBorders>
          </w:tcPr>
          <w:p w14:paraId="3EC7821C" w14:textId="467886C5" w:rsidR="005A4C31" w:rsidRPr="002B2D98" w:rsidRDefault="00EA1DAC" w:rsidP="00964945">
            <w:pPr>
              <w:spacing w:before="100" w:beforeAutospacing="1" w:after="100" w:afterAutospacing="1"/>
            </w:pPr>
            <w:r>
              <w:t xml:space="preserve">Neparedz </w:t>
            </w:r>
            <w:r w:rsidRPr="00E030F4">
              <w:t>stingrākas prasības</w:t>
            </w:r>
          </w:p>
        </w:tc>
      </w:tr>
      <w:tr w:rsidR="005C7539" w:rsidRPr="00E030F4" w14:paraId="3DBC0F4E" w14:textId="77777777" w:rsidTr="00EE0782">
        <w:tc>
          <w:tcPr>
            <w:tcW w:w="1357" w:type="pct"/>
            <w:gridSpan w:val="3"/>
            <w:tcBorders>
              <w:top w:val="outset" w:sz="6" w:space="0" w:color="000000"/>
              <w:left w:val="outset" w:sz="6" w:space="0" w:color="000000"/>
              <w:bottom w:val="outset" w:sz="6" w:space="0" w:color="000000"/>
              <w:right w:val="outset" w:sz="6" w:space="0" w:color="000000"/>
            </w:tcBorders>
          </w:tcPr>
          <w:p w14:paraId="7B8D0E9E" w14:textId="5337CE33" w:rsidR="005C7539" w:rsidRDefault="005C7539" w:rsidP="00B84E89">
            <w:pPr>
              <w:spacing w:before="100" w:beforeAutospacing="1" w:after="100" w:afterAutospacing="1"/>
            </w:pPr>
            <w:r>
              <w:t xml:space="preserve">Lēmuma (ES) </w:t>
            </w:r>
            <w:r w:rsidRPr="002D7D41">
              <w:rPr>
                <w:bCs/>
                <w:iCs/>
              </w:rPr>
              <w:t>2020/636</w:t>
            </w:r>
            <w:r>
              <w:rPr>
                <w:bCs/>
                <w:iCs/>
              </w:rPr>
              <w:t xml:space="preserve"> </w:t>
            </w:r>
            <w:r>
              <w:t>pielikums D daļa</w:t>
            </w:r>
          </w:p>
        </w:tc>
        <w:tc>
          <w:tcPr>
            <w:tcW w:w="1142" w:type="pct"/>
            <w:gridSpan w:val="2"/>
            <w:tcBorders>
              <w:top w:val="outset" w:sz="6" w:space="0" w:color="000000"/>
              <w:left w:val="outset" w:sz="6" w:space="0" w:color="000000"/>
              <w:bottom w:val="outset" w:sz="6" w:space="0" w:color="000000"/>
              <w:right w:val="outset" w:sz="6" w:space="0" w:color="000000"/>
            </w:tcBorders>
          </w:tcPr>
          <w:p w14:paraId="6D76AC98" w14:textId="1D51D17A" w:rsidR="005C7539" w:rsidRPr="00BD4FB9" w:rsidRDefault="005C7539" w:rsidP="0092643D">
            <w:pPr>
              <w:pStyle w:val="naiskr"/>
              <w:spacing w:before="0" w:after="0"/>
              <w:rPr>
                <w:bCs/>
              </w:rPr>
            </w:pPr>
            <w:r w:rsidRPr="00BD4FB9">
              <w:rPr>
                <w:bCs/>
              </w:rPr>
              <w:t>Noteikumu projekta</w:t>
            </w:r>
            <w:r>
              <w:rPr>
                <w:bCs/>
              </w:rPr>
              <w:t xml:space="preserve"> 5. punkts</w:t>
            </w:r>
          </w:p>
        </w:tc>
        <w:tc>
          <w:tcPr>
            <w:tcW w:w="1137" w:type="pct"/>
            <w:gridSpan w:val="2"/>
            <w:tcBorders>
              <w:top w:val="outset" w:sz="6" w:space="0" w:color="000000"/>
              <w:left w:val="outset" w:sz="6" w:space="0" w:color="000000"/>
              <w:bottom w:val="outset" w:sz="6" w:space="0" w:color="000000"/>
              <w:right w:val="outset" w:sz="6" w:space="0" w:color="000000"/>
            </w:tcBorders>
          </w:tcPr>
          <w:p w14:paraId="7CC84451" w14:textId="06CB7574" w:rsidR="005C7539" w:rsidRPr="00FE646D" w:rsidRDefault="005C7539" w:rsidP="00964945">
            <w:pPr>
              <w:spacing w:before="100" w:beforeAutospacing="1" w:after="100" w:afterAutospacing="1"/>
              <w:rPr>
                <w:bCs/>
              </w:rPr>
            </w:pPr>
            <w:r w:rsidRPr="00FE646D">
              <w:rPr>
                <w:bCs/>
              </w:rPr>
              <w:t>pārņemts</w:t>
            </w:r>
            <w:r w:rsidRPr="00FE646D">
              <w:t xml:space="preserve"> pilnībā</w:t>
            </w:r>
            <w:r>
              <w:t>.</w:t>
            </w:r>
          </w:p>
        </w:tc>
        <w:tc>
          <w:tcPr>
            <w:tcW w:w="1364" w:type="pct"/>
            <w:tcBorders>
              <w:top w:val="outset" w:sz="6" w:space="0" w:color="000000"/>
              <w:left w:val="outset" w:sz="6" w:space="0" w:color="000000"/>
              <w:bottom w:val="outset" w:sz="6" w:space="0" w:color="000000"/>
              <w:right w:val="outset" w:sz="6" w:space="0" w:color="000000"/>
            </w:tcBorders>
          </w:tcPr>
          <w:p w14:paraId="29F1D66E" w14:textId="3B6FDEE0" w:rsidR="005C7539" w:rsidRDefault="005C7539" w:rsidP="00964945">
            <w:pPr>
              <w:spacing w:before="100" w:beforeAutospacing="1" w:after="100" w:afterAutospacing="1"/>
            </w:pPr>
            <w:r>
              <w:t xml:space="preserve">Neparedz </w:t>
            </w:r>
            <w:r w:rsidRPr="00E030F4">
              <w:t>stingrākas prasības</w:t>
            </w:r>
          </w:p>
        </w:tc>
      </w:tr>
      <w:tr w:rsidR="005A4C31" w:rsidRPr="00E030F4" w14:paraId="313E36AC" w14:textId="77777777" w:rsidTr="00964945">
        <w:tc>
          <w:tcPr>
            <w:tcW w:w="5000" w:type="pct"/>
            <w:gridSpan w:val="8"/>
            <w:tcBorders>
              <w:top w:val="outset" w:sz="6" w:space="0" w:color="000000"/>
              <w:left w:val="outset" w:sz="6" w:space="0" w:color="000000"/>
              <w:bottom w:val="outset" w:sz="6" w:space="0" w:color="000000"/>
              <w:right w:val="outset" w:sz="6" w:space="0" w:color="000000"/>
            </w:tcBorders>
            <w:vAlign w:val="center"/>
          </w:tcPr>
          <w:p w14:paraId="4C6DF433" w14:textId="1643595D" w:rsidR="005A4C31" w:rsidRPr="00E030F4" w:rsidRDefault="003A1AAF" w:rsidP="00964945">
            <w:pPr>
              <w:jc w:val="both"/>
              <w:rPr>
                <w:b/>
                <w:bCs/>
              </w:rPr>
            </w:pPr>
            <w:r w:rsidRPr="002D7D41">
              <w:rPr>
                <w:bCs/>
              </w:rPr>
              <w:t>Komisijas 2020. gada 7. oktobra īstenošanas lēmuma (ES) 2020/1426 par radiofrekvenču spektra saskaņotu izmantošanu 5875–5935</w:t>
            </w:r>
            <w:r w:rsidR="00BE353F">
              <w:rPr>
                <w:bCs/>
              </w:rPr>
              <w:t> </w:t>
            </w:r>
            <w:proofErr w:type="spellStart"/>
            <w:r w:rsidRPr="002D7D41">
              <w:rPr>
                <w:bCs/>
              </w:rPr>
              <w:t>MHz</w:t>
            </w:r>
            <w:proofErr w:type="spellEnd"/>
            <w:r w:rsidRPr="002D7D41">
              <w:rPr>
                <w:bCs/>
              </w:rPr>
              <w:t xml:space="preserve"> frekvenču joslā ar drošību saistītiem </w:t>
            </w:r>
            <w:proofErr w:type="spellStart"/>
            <w:r w:rsidRPr="002D7D41">
              <w:rPr>
                <w:bCs/>
              </w:rPr>
              <w:t>intelektisko</w:t>
            </w:r>
            <w:proofErr w:type="spellEnd"/>
            <w:r w:rsidRPr="002D7D41">
              <w:rPr>
                <w:bCs/>
              </w:rPr>
              <w:t xml:space="preserve"> transporta sistēmu (ITS) lietojumiem un Lēmuma 2008/671/EK atcelšanu</w:t>
            </w:r>
            <w:r w:rsidR="00227075">
              <w:rPr>
                <w:bCs/>
              </w:rPr>
              <w:t>.</w:t>
            </w:r>
          </w:p>
        </w:tc>
      </w:tr>
      <w:tr w:rsidR="005A4C31" w:rsidRPr="00E030F4" w14:paraId="7343A1AC" w14:textId="77777777" w:rsidTr="00EE0782">
        <w:tc>
          <w:tcPr>
            <w:tcW w:w="1357" w:type="pct"/>
            <w:gridSpan w:val="3"/>
            <w:tcBorders>
              <w:top w:val="outset" w:sz="6" w:space="0" w:color="000000"/>
              <w:left w:val="outset" w:sz="6" w:space="0" w:color="000000"/>
              <w:bottom w:val="outset" w:sz="6" w:space="0" w:color="000000"/>
              <w:right w:val="outset" w:sz="6" w:space="0" w:color="000000"/>
            </w:tcBorders>
          </w:tcPr>
          <w:p w14:paraId="3AC43EC6" w14:textId="13E1B640" w:rsidR="005A4C31" w:rsidRDefault="00C07775" w:rsidP="00A17D02">
            <w:pPr>
              <w:spacing w:before="100" w:beforeAutospacing="1" w:after="100" w:afterAutospacing="1"/>
            </w:pPr>
            <w:r w:rsidRPr="00D34FAA">
              <w:rPr>
                <w:rFonts w:eastAsia="TimesNewRoman"/>
              </w:rPr>
              <w:t>Lēmum</w:t>
            </w:r>
            <w:r w:rsidR="00A41650">
              <w:rPr>
                <w:rFonts w:eastAsia="TimesNewRoman"/>
              </w:rPr>
              <w:t xml:space="preserve">a (ES) </w:t>
            </w:r>
            <w:r w:rsidR="00A41650" w:rsidRPr="002D7D41">
              <w:rPr>
                <w:bCs/>
              </w:rPr>
              <w:t>2020/1426</w:t>
            </w:r>
            <w:r w:rsidR="003515AC">
              <w:rPr>
                <w:bCs/>
              </w:rPr>
              <w:t xml:space="preserve"> 3.pants</w:t>
            </w:r>
            <w:r w:rsidR="00A41650" w:rsidRPr="002D7D41">
              <w:rPr>
                <w:bCs/>
              </w:rPr>
              <w:t xml:space="preserve"> </w:t>
            </w:r>
          </w:p>
        </w:tc>
        <w:tc>
          <w:tcPr>
            <w:tcW w:w="1142" w:type="pct"/>
            <w:gridSpan w:val="2"/>
            <w:tcBorders>
              <w:top w:val="outset" w:sz="6" w:space="0" w:color="000000"/>
              <w:left w:val="outset" w:sz="6" w:space="0" w:color="000000"/>
              <w:bottom w:val="outset" w:sz="6" w:space="0" w:color="000000"/>
              <w:right w:val="outset" w:sz="6" w:space="0" w:color="000000"/>
            </w:tcBorders>
          </w:tcPr>
          <w:p w14:paraId="15A9070D" w14:textId="1DBFDF66" w:rsidR="005A4C31" w:rsidRPr="00BD4FB9" w:rsidRDefault="00DA79A0" w:rsidP="00080333">
            <w:pPr>
              <w:pStyle w:val="naiskr"/>
              <w:spacing w:before="0" w:after="0"/>
              <w:rPr>
                <w:bCs/>
              </w:rPr>
            </w:pPr>
            <w:r w:rsidRPr="00BD4FB9">
              <w:rPr>
                <w:bCs/>
              </w:rPr>
              <w:t>Noteikumu projekta</w:t>
            </w:r>
            <w:r w:rsidR="00A17D02">
              <w:rPr>
                <w:bCs/>
              </w:rPr>
              <w:t xml:space="preserve"> </w:t>
            </w:r>
            <w:r w:rsidR="003515AC">
              <w:rPr>
                <w:bCs/>
              </w:rPr>
              <w:t>4</w:t>
            </w:r>
            <w:r w:rsidR="00A17D02">
              <w:rPr>
                <w:bCs/>
              </w:rPr>
              <w:t>.</w:t>
            </w:r>
            <w:r w:rsidR="003515AC">
              <w:rPr>
                <w:bCs/>
              </w:rPr>
              <w:t> </w:t>
            </w:r>
            <w:r w:rsidR="00A17D02">
              <w:rPr>
                <w:bCs/>
              </w:rPr>
              <w:t>punkts</w:t>
            </w:r>
            <w:r w:rsidR="003D68AD">
              <w:rPr>
                <w:bCs/>
              </w:rPr>
              <w:t xml:space="preserve"> </w:t>
            </w:r>
          </w:p>
        </w:tc>
        <w:tc>
          <w:tcPr>
            <w:tcW w:w="1137" w:type="pct"/>
            <w:gridSpan w:val="2"/>
            <w:tcBorders>
              <w:top w:val="outset" w:sz="6" w:space="0" w:color="000000"/>
              <w:left w:val="outset" w:sz="6" w:space="0" w:color="000000"/>
              <w:bottom w:val="outset" w:sz="6" w:space="0" w:color="000000"/>
              <w:right w:val="outset" w:sz="6" w:space="0" w:color="000000"/>
            </w:tcBorders>
          </w:tcPr>
          <w:p w14:paraId="10803E64" w14:textId="77777777" w:rsidR="005A4C31" w:rsidRPr="00FE646D" w:rsidRDefault="00DA79A0" w:rsidP="00964945">
            <w:pPr>
              <w:spacing w:before="100" w:beforeAutospacing="1" w:after="100" w:afterAutospacing="1"/>
              <w:rPr>
                <w:bCs/>
              </w:rPr>
            </w:pPr>
            <w:r w:rsidRPr="00FE646D">
              <w:rPr>
                <w:bCs/>
              </w:rPr>
              <w:t>pārņemts</w:t>
            </w:r>
            <w:r w:rsidRPr="00FE646D">
              <w:t xml:space="preserve"> pilnībā.</w:t>
            </w:r>
          </w:p>
        </w:tc>
        <w:tc>
          <w:tcPr>
            <w:tcW w:w="1364" w:type="pct"/>
            <w:tcBorders>
              <w:top w:val="outset" w:sz="6" w:space="0" w:color="000000"/>
              <w:left w:val="outset" w:sz="6" w:space="0" w:color="000000"/>
              <w:bottom w:val="outset" w:sz="6" w:space="0" w:color="000000"/>
              <w:right w:val="outset" w:sz="6" w:space="0" w:color="000000"/>
            </w:tcBorders>
          </w:tcPr>
          <w:p w14:paraId="22E62C71" w14:textId="77777777" w:rsidR="005A4C31" w:rsidRPr="002B2D98" w:rsidRDefault="00DA79A0" w:rsidP="00964945">
            <w:pPr>
              <w:spacing w:before="100" w:beforeAutospacing="1" w:after="100" w:afterAutospacing="1"/>
            </w:pPr>
            <w:r>
              <w:t xml:space="preserve">Neparedz </w:t>
            </w:r>
            <w:r w:rsidRPr="00E030F4">
              <w:t>stingrākas prasības</w:t>
            </w:r>
          </w:p>
        </w:tc>
      </w:tr>
      <w:tr w:rsidR="005A4C31" w:rsidRPr="00E030F4" w14:paraId="22E9D622" w14:textId="77777777" w:rsidTr="00EE0782">
        <w:tc>
          <w:tcPr>
            <w:tcW w:w="1357" w:type="pct"/>
            <w:gridSpan w:val="3"/>
            <w:tcBorders>
              <w:top w:val="outset" w:sz="6" w:space="0" w:color="000000"/>
              <w:left w:val="outset" w:sz="6" w:space="0" w:color="000000"/>
              <w:bottom w:val="outset" w:sz="6" w:space="0" w:color="000000"/>
              <w:right w:val="outset" w:sz="6" w:space="0" w:color="000000"/>
            </w:tcBorders>
          </w:tcPr>
          <w:p w14:paraId="049E2D49" w14:textId="6F0F83A2" w:rsidR="00D70528" w:rsidRDefault="00D70528" w:rsidP="00D70528">
            <w:pPr>
              <w:spacing w:before="100" w:beforeAutospacing="1" w:after="100" w:afterAutospacing="1"/>
            </w:pPr>
            <w:r w:rsidRPr="005F4F9A">
              <w:t xml:space="preserve">Lēmuma (ES) </w:t>
            </w:r>
            <w:r w:rsidR="00A41650" w:rsidRPr="002D7D41">
              <w:rPr>
                <w:bCs/>
              </w:rPr>
              <w:t>2020/1426</w:t>
            </w:r>
            <w:r w:rsidR="003515AC">
              <w:rPr>
                <w:bCs/>
              </w:rPr>
              <w:t xml:space="preserve"> pielikums</w:t>
            </w:r>
            <w:r w:rsidR="00A41650" w:rsidRPr="002D7D41">
              <w:rPr>
                <w:bCs/>
              </w:rPr>
              <w:t xml:space="preserve"> </w:t>
            </w:r>
          </w:p>
        </w:tc>
        <w:tc>
          <w:tcPr>
            <w:tcW w:w="1142" w:type="pct"/>
            <w:gridSpan w:val="2"/>
            <w:tcBorders>
              <w:top w:val="outset" w:sz="6" w:space="0" w:color="000000"/>
              <w:left w:val="outset" w:sz="6" w:space="0" w:color="000000"/>
              <w:bottom w:val="outset" w:sz="6" w:space="0" w:color="000000"/>
              <w:right w:val="outset" w:sz="6" w:space="0" w:color="000000"/>
            </w:tcBorders>
          </w:tcPr>
          <w:p w14:paraId="433C0F47" w14:textId="64EA1183" w:rsidR="005A4C31" w:rsidRPr="00BD4FB9" w:rsidRDefault="00D70528" w:rsidP="00080333">
            <w:pPr>
              <w:pStyle w:val="naiskr"/>
              <w:spacing w:before="0" w:after="0"/>
              <w:rPr>
                <w:bCs/>
              </w:rPr>
            </w:pPr>
            <w:r w:rsidRPr="00BD4FB9">
              <w:rPr>
                <w:bCs/>
              </w:rPr>
              <w:t>Noteikumu projekta</w:t>
            </w:r>
            <w:r>
              <w:rPr>
                <w:bCs/>
              </w:rPr>
              <w:t xml:space="preserve"> </w:t>
            </w:r>
            <w:r w:rsidR="003515AC">
              <w:rPr>
                <w:bCs/>
              </w:rPr>
              <w:t>7</w:t>
            </w:r>
            <w:r>
              <w:rPr>
                <w:bCs/>
              </w:rPr>
              <w:t>.</w:t>
            </w:r>
            <w:r w:rsidR="003515AC">
              <w:rPr>
                <w:bCs/>
              </w:rPr>
              <w:t> </w:t>
            </w:r>
            <w:r>
              <w:rPr>
                <w:bCs/>
              </w:rPr>
              <w:t>punkts</w:t>
            </w:r>
          </w:p>
        </w:tc>
        <w:tc>
          <w:tcPr>
            <w:tcW w:w="1137" w:type="pct"/>
            <w:gridSpan w:val="2"/>
            <w:tcBorders>
              <w:top w:val="outset" w:sz="6" w:space="0" w:color="000000"/>
              <w:left w:val="outset" w:sz="6" w:space="0" w:color="000000"/>
              <w:bottom w:val="outset" w:sz="6" w:space="0" w:color="000000"/>
              <w:right w:val="outset" w:sz="6" w:space="0" w:color="000000"/>
            </w:tcBorders>
          </w:tcPr>
          <w:p w14:paraId="7222F4C0" w14:textId="691FD36A" w:rsidR="005A4C31" w:rsidRPr="00FE646D" w:rsidRDefault="00EA1DAC" w:rsidP="00964945">
            <w:pPr>
              <w:spacing w:before="100" w:beforeAutospacing="1" w:after="100" w:afterAutospacing="1"/>
              <w:rPr>
                <w:bCs/>
              </w:rPr>
            </w:pPr>
            <w:r w:rsidRPr="00FE646D">
              <w:rPr>
                <w:bCs/>
              </w:rPr>
              <w:t>pārņemts</w:t>
            </w:r>
            <w:r w:rsidRPr="00FE646D">
              <w:t xml:space="preserve"> pilnībā.</w:t>
            </w:r>
          </w:p>
        </w:tc>
        <w:tc>
          <w:tcPr>
            <w:tcW w:w="1364" w:type="pct"/>
            <w:tcBorders>
              <w:top w:val="outset" w:sz="6" w:space="0" w:color="000000"/>
              <w:left w:val="outset" w:sz="6" w:space="0" w:color="000000"/>
              <w:bottom w:val="outset" w:sz="6" w:space="0" w:color="000000"/>
              <w:right w:val="outset" w:sz="6" w:space="0" w:color="000000"/>
            </w:tcBorders>
          </w:tcPr>
          <w:p w14:paraId="42146169" w14:textId="00314CE1" w:rsidR="005A4C31" w:rsidRPr="002B2D98" w:rsidRDefault="00EA1DAC" w:rsidP="00964945">
            <w:pPr>
              <w:spacing w:before="100" w:beforeAutospacing="1" w:after="100" w:afterAutospacing="1"/>
            </w:pPr>
            <w:r>
              <w:t xml:space="preserve">Neparedz </w:t>
            </w:r>
            <w:r w:rsidRPr="00E030F4">
              <w:t>stingrākas prasības</w:t>
            </w:r>
          </w:p>
        </w:tc>
      </w:tr>
      <w:tr w:rsidR="001F261B" w:rsidRPr="00E030F4" w14:paraId="4AC873D2" w14:textId="77777777" w:rsidTr="00EE0782">
        <w:tc>
          <w:tcPr>
            <w:tcW w:w="1357" w:type="pct"/>
            <w:gridSpan w:val="3"/>
            <w:tcBorders>
              <w:top w:val="outset" w:sz="6" w:space="0" w:color="000000"/>
              <w:left w:val="outset" w:sz="6" w:space="0" w:color="000000"/>
              <w:bottom w:val="outset" w:sz="6" w:space="0" w:color="000000"/>
              <w:right w:val="outset" w:sz="6" w:space="0" w:color="000000"/>
            </w:tcBorders>
          </w:tcPr>
          <w:p w14:paraId="50898FCA" w14:textId="752D767E" w:rsidR="001F261B" w:rsidRDefault="00D70528" w:rsidP="00D70528">
            <w:pPr>
              <w:spacing w:before="100" w:beforeAutospacing="1" w:after="100" w:afterAutospacing="1"/>
            </w:pPr>
            <w:r w:rsidRPr="005F4F9A">
              <w:t xml:space="preserve">Lēmuma (ES) </w:t>
            </w:r>
            <w:r w:rsidR="00A41650" w:rsidRPr="002D7D41">
              <w:rPr>
                <w:bCs/>
              </w:rPr>
              <w:t>2020/1426</w:t>
            </w:r>
            <w:r w:rsidR="003515AC">
              <w:rPr>
                <w:bCs/>
              </w:rPr>
              <w:t xml:space="preserve"> pielikums</w:t>
            </w:r>
            <w:r w:rsidR="00A41650" w:rsidRPr="002D7D41">
              <w:rPr>
                <w:bCs/>
              </w:rPr>
              <w:t xml:space="preserve"> </w:t>
            </w:r>
          </w:p>
        </w:tc>
        <w:tc>
          <w:tcPr>
            <w:tcW w:w="1142" w:type="pct"/>
            <w:gridSpan w:val="2"/>
            <w:tcBorders>
              <w:top w:val="outset" w:sz="6" w:space="0" w:color="000000"/>
              <w:left w:val="outset" w:sz="6" w:space="0" w:color="000000"/>
              <w:bottom w:val="outset" w:sz="6" w:space="0" w:color="000000"/>
              <w:right w:val="outset" w:sz="6" w:space="0" w:color="000000"/>
            </w:tcBorders>
          </w:tcPr>
          <w:p w14:paraId="485E1FEF" w14:textId="02AEB70B" w:rsidR="001F261B" w:rsidRPr="00BD4FB9" w:rsidRDefault="00D70528" w:rsidP="00080333">
            <w:pPr>
              <w:pStyle w:val="naiskr"/>
              <w:spacing w:before="0" w:after="0"/>
              <w:rPr>
                <w:bCs/>
              </w:rPr>
            </w:pPr>
            <w:r w:rsidRPr="00BD4FB9">
              <w:rPr>
                <w:bCs/>
              </w:rPr>
              <w:t>Noteikumu projekta</w:t>
            </w:r>
            <w:r>
              <w:rPr>
                <w:bCs/>
              </w:rPr>
              <w:t xml:space="preserve"> </w:t>
            </w:r>
            <w:r w:rsidR="003515AC">
              <w:rPr>
                <w:bCs/>
              </w:rPr>
              <w:t>9</w:t>
            </w:r>
            <w:r>
              <w:rPr>
                <w:bCs/>
              </w:rPr>
              <w:t>.</w:t>
            </w:r>
            <w:r w:rsidR="003515AC">
              <w:rPr>
                <w:bCs/>
              </w:rPr>
              <w:t> </w:t>
            </w:r>
            <w:r>
              <w:rPr>
                <w:bCs/>
              </w:rPr>
              <w:t>punkts</w:t>
            </w:r>
          </w:p>
        </w:tc>
        <w:tc>
          <w:tcPr>
            <w:tcW w:w="1137" w:type="pct"/>
            <w:gridSpan w:val="2"/>
            <w:tcBorders>
              <w:top w:val="outset" w:sz="6" w:space="0" w:color="000000"/>
              <w:left w:val="outset" w:sz="6" w:space="0" w:color="000000"/>
              <w:bottom w:val="outset" w:sz="6" w:space="0" w:color="000000"/>
              <w:right w:val="outset" w:sz="6" w:space="0" w:color="000000"/>
            </w:tcBorders>
          </w:tcPr>
          <w:p w14:paraId="5DFBEEB6" w14:textId="04FE6E4A" w:rsidR="001F261B" w:rsidRPr="00FE646D" w:rsidRDefault="00EA1DAC" w:rsidP="00964945">
            <w:pPr>
              <w:spacing w:before="100" w:beforeAutospacing="1" w:after="100" w:afterAutospacing="1"/>
              <w:rPr>
                <w:bCs/>
              </w:rPr>
            </w:pPr>
            <w:r w:rsidRPr="00FE646D">
              <w:rPr>
                <w:bCs/>
              </w:rPr>
              <w:t>pārņemts</w:t>
            </w:r>
            <w:r w:rsidRPr="00FE646D">
              <w:t xml:space="preserve"> pilnībā.</w:t>
            </w:r>
          </w:p>
        </w:tc>
        <w:tc>
          <w:tcPr>
            <w:tcW w:w="1364" w:type="pct"/>
            <w:tcBorders>
              <w:top w:val="outset" w:sz="6" w:space="0" w:color="000000"/>
              <w:left w:val="outset" w:sz="6" w:space="0" w:color="000000"/>
              <w:bottom w:val="outset" w:sz="6" w:space="0" w:color="000000"/>
              <w:right w:val="outset" w:sz="6" w:space="0" w:color="000000"/>
            </w:tcBorders>
          </w:tcPr>
          <w:p w14:paraId="2501A29F" w14:textId="7E5F14C6" w:rsidR="001F261B" w:rsidRPr="002B2D98" w:rsidRDefault="00EA1DAC" w:rsidP="00964945">
            <w:pPr>
              <w:spacing w:before="100" w:beforeAutospacing="1" w:after="100" w:afterAutospacing="1"/>
            </w:pPr>
            <w:r>
              <w:t xml:space="preserve">Neparedz </w:t>
            </w:r>
            <w:r w:rsidRPr="00E030F4">
              <w:t>stingrākas prasības</w:t>
            </w:r>
          </w:p>
        </w:tc>
      </w:tr>
      <w:tr w:rsidR="001A5F98" w:rsidRPr="00E030F4" w14:paraId="61DC3A4E" w14:textId="77777777" w:rsidTr="00EE0782">
        <w:tc>
          <w:tcPr>
            <w:tcW w:w="2499" w:type="pct"/>
            <w:gridSpan w:val="5"/>
            <w:tcBorders>
              <w:top w:val="outset" w:sz="6" w:space="0" w:color="000000"/>
              <w:left w:val="outset" w:sz="6" w:space="0" w:color="000000"/>
              <w:bottom w:val="outset" w:sz="6" w:space="0" w:color="000000"/>
              <w:right w:val="outset" w:sz="6" w:space="0" w:color="000000"/>
            </w:tcBorders>
            <w:vAlign w:val="center"/>
          </w:tcPr>
          <w:p w14:paraId="7FBC1A57" w14:textId="77777777" w:rsidR="001A5F98" w:rsidRPr="00E030F4" w:rsidRDefault="001A5F98" w:rsidP="00964945">
            <w:pPr>
              <w:spacing w:before="100" w:beforeAutospacing="1" w:after="100" w:afterAutospacing="1"/>
            </w:pPr>
            <w:r w:rsidRPr="00E030F4">
              <w:t>Kā ir izmantota ES tiesību aktā paredzētā rīcības brīvība dalībvalstij pārņemt vai ieviest noteiktas ES tiesību akta normas.</w:t>
            </w:r>
            <w:r>
              <w:t xml:space="preserve"> </w:t>
            </w:r>
            <w:r w:rsidRPr="00E030F4">
              <w:t>Kādēļ?</w:t>
            </w:r>
          </w:p>
        </w:tc>
        <w:tc>
          <w:tcPr>
            <w:tcW w:w="2501" w:type="pct"/>
            <w:gridSpan w:val="3"/>
            <w:tcBorders>
              <w:top w:val="outset" w:sz="6" w:space="0" w:color="000000"/>
              <w:left w:val="outset" w:sz="6" w:space="0" w:color="000000"/>
              <w:bottom w:val="outset" w:sz="6" w:space="0" w:color="000000"/>
              <w:right w:val="outset" w:sz="6" w:space="0" w:color="000000"/>
            </w:tcBorders>
          </w:tcPr>
          <w:p w14:paraId="6E4B828C" w14:textId="6CF2B54C" w:rsidR="001A5F98" w:rsidRPr="00E030F4" w:rsidRDefault="00A31476" w:rsidP="00964945">
            <w:pPr>
              <w:spacing w:before="100" w:beforeAutospacing="1" w:after="100" w:afterAutospacing="1"/>
            </w:pPr>
            <w:r>
              <w:t>Noteikumu p</w:t>
            </w:r>
            <w:r w:rsidR="00EA58D2">
              <w:t>rojekts šo jomu neskar.</w:t>
            </w:r>
          </w:p>
        </w:tc>
      </w:tr>
      <w:tr w:rsidR="001A5F98" w:rsidRPr="00E030F4" w14:paraId="1A431D00" w14:textId="77777777" w:rsidTr="00EE0782">
        <w:tc>
          <w:tcPr>
            <w:tcW w:w="2499" w:type="pct"/>
            <w:gridSpan w:val="5"/>
            <w:tcBorders>
              <w:top w:val="outset" w:sz="6" w:space="0" w:color="000000"/>
              <w:left w:val="outset" w:sz="6" w:space="0" w:color="000000"/>
              <w:bottom w:val="outset" w:sz="6" w:space="0" w:color="000000"/>
              <w:right w:val="outset" w:sz="6" w:space="0" w:color="000000"/>
            </w:tcBorders>
            <w:vAlign w:val="center"/>
          </w:tcPr>
          <w:p w14:paraId="58B5AF81" w14:textId="77777777" w:rsidR="001A5F98" w:rsidRPr="00E030F4" w:rsidRDefault="001A5F98" w:rsidP="00964945">
            <w:pPr>
              <w:spacing w:before="100" w:beforeAutospacing="1" w:after="100" w:afterAutospacing="1"/>
            </w:pPr>
            <w: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501" w:type="pct"/>
            <w:gridSpan w:val="3"/>
            <w:tcBorders>
              <w:top w:val="outset" w:sz="6" w:space="0" w:color="000000"/>
              <w:left w:val="outset" w:sz="6" w:space="0" w:color="000000"/>
              <w:bottom w:val="outset" w:sz="6" w:space="0" w:color="000000"/>
              <w:right w:val="outset" w:sz="6" w:space="0" w:color="000000"/>
            </w:tcBorders>
          </w:tcPr>
          <w:p w14:paraId="4D1ADAA7" w14:textId="77777777" w:rsidR="001A5F98" w:rsidRPr="00335064" w:rsidRDefault="00EA58D2" w:rsidP="00F37910">
            <w:pPr>
              <w:spacing w:before="100" w:beforeAutospacing="1" w:after="100" w:afterAutospacing="1"/>
              <w:jc w:val="both"/>
              <w:rPr>
                <w:highlight w:val="yellow"/>
              </w:rPr>
            </w:pPr>
            <w:r w:rsidRPr="00F2760E">
              <w:t>Saskaņā ar Eiropas Parlamenta un Padomes 2002.</w:t>
            </w:r>
            <w:r>
              <w:t> </w:t>
            </w:r>
            <w:r w:rsidRPr="00F2760E">
              <w:t>gada 7.</w:t>
            </w:r>
            <w:r>
              <w:t> </w:t>
            </w:r>
            <w:r w:rsidRPr="00F2760E">
              <w:t>marta lēmumu Nr.</w:t>
            </w:r>
            <w:r w:rsidR="00466D2F">
              <w:t> </w:t>
            </w:r>
            <w:r w:rsidRPr="00F2760E">
              <w:t xml:space="preserve">676/2002/EK par normatīvo bāzi radiofrekvenču spektra politikai Eiropas Kopienā </w:t>
            </w:r>
            <w:r>
              <w:t>(radiofrekvenču spektra lēmums)</w:t>
            </w:r>
            <w:r w:rsidRPr="00F2760E">
              <w:t xml:space="preserve"> </w:t>
            </w:r>
            <w:r w:rsidR="00F37910">
              <w:t>ministrija</w:t>
            </w:r>
            <w:r w:rsidRPr="00F2760E">
              <w:rPr>
                <w:bCs/>
              </w:rPr>
              <w:t xml:space="preserve"> informēs </w:t>
            </w:r>
            <w:r w:rsidRPr="00F2760E">
              <w:t xml:space="preserve">Eiropas Komisijas Radiofrekvenču spektra komiteju </w:t>
            </w:r>
            <w:r w:rsidRPr="004E3AF0">
              <w:rPr>
                <w:bCs/>
              </w:rPr>
              <w:t xml:space="preserve">par </w:t>
            </w:r>
            <w:r>
              <w:rPr>
                <w:bCs/>
              </w:rPr>
              <w:lastRenderedPageBreak/>
              <w:t xml:space="preserve">Eiropas </w:t>
            </w:r>
            <w:r w:rsidRPr="004E3AF0">
              <w:t xml:space="preserve">Komisijas </w:t>
            </w:r>
            <w:r>
              <w:t>lēmum</w:t>
            </w:r>
            <w:r w:rsidR="00991180">
              <w:t>a</w:t>
            </w:r>
            <w:r>
              <w:t xml:space="preserve"> pārņemšanu valsts tiesību aktos</w:t>
            </w:r>
            <w:r>
              <w:rPr>
                <w:color w:val="000000"/>
              </w:rPr>
              <w:t>.</w:t>
            </w:r>
          </w:p>
        </w:tc>
      </w:tr>
      <w:tr w:rsidR="001A5F98" w:rsidRPr="00E030F4" w14:paraId="66D40486" w14:textId="77777777" w:rsidTr="00EE0782">
        <w:tc>
          <w:tcPr>
            <w:tcW w:w="2499" w:type="pct"/>
            <w:gridSpan w:val="5"/>
            <w:tcBorders>
              <w:top w:val="outset" w:sz="6" w:space="0" w:color="000000"/>
              <w:left w:val="outset" w:sz="6" w:space="0" w:color="000000"/>
              <w:bottom w:val="outset" w:sz="6" w:space="0" w:color="000000"/>
              <w:right w:val="outset" w:sz="6" w:space="0" w:color="000000"/>
            </w:tcBorders>
            <w:vAlign w:val="center"/>
          </w:tcPr>
          <w:p w14:paraId="1BBC44CC" w14:textId="77777777" w:rsidR="001A5F98" w:rsidRPr="00E030F4" w:rsidRDefault="001A5F98" w:rsidP="00964945">
            <w:pPr>
              <w:spacing w:before="100" w:beforeAutospacing="1" w:after="100" w:afterAutospacing="1"/>
            </w:pPr>
            <w:r w:rsidRPr="00E030F4">
              <w:lastRenderedPageBreak/>
              <w:t>Cita informācija</w:t>
            </w:r>
          </w:p>
        </w:tc>
        <w:tc>
          <w:tcPr>
            <w:tcW w:w="2501" w:type="pct"/>
            <w:gridSpan w:val="3"/>
            <w:tcBorders>
              <w:top w:val="outset" w:sz="6" w:space="0" w:color="000000"/>
              <w:left w:val="outset" w:sz="6" w:space="0" w:color="000000"/>
              <w:bottom w:val="outset" w:sz="6" w:space="0" w:color="000000"/>
              <w:right w:val="outset" w:sz="6" w:space="0" w:color="000000"/>
            </w:tcBorders>
          </w:tcPr>
          <w:p w14:paraId="20A7F7A4" w14:textId="77777777" w:rsidR="001A5F98" w:rsidRPr="00E030F4" w:rsidRDefault="001A5F98" w:rsidP="00964945">
            <w:pPr>
              <w:spacing w:before="100" w:beforeAutospacing="1" w:after="100" w:afterAutospacing="1"/>
            </w:pPr>
            <w:r w:rsidRPr="00E030F4">
              <w:t>Nav</w:t>
            </w:r>
            <w:r w:rsidR="000D454D">
              <w:t>.</w:t>
            </w:r>
          </w:p>
        </w:tc>
      </w:tr>
    </w:tbl>
    <w:p w14:paraId="6EBE807D" w14:textId="77777777" w:rsidR="001A5F98" w:rsidRDefault="001A5F98" w:rsidP="00895374">
      <w:pPr>
        <w:pStyle w:val="naisc"/>
        <w:spacing w:before="0" w:after="0"/>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52"/>
        <w:gridCol w:w="3652"/>
        <w:gridCol w:w="5240"/>
      </w:tblGrid>
      <w:tr w:rsidR="00895374" w:rsidRPr="00B67103" w14:paraId="404C8CB7" w14:textId="77777777" w:rsidTr="00964945">
        <w:tc>
          <w:tcPr>
            <w:tcW w:w="0" w:type="auto"/>
            <w:gridSpan w:val="3"/>
            <w:tcBorders>
              <w:top w:val="outset" w:sz="6" w:space="0" w:color="000000"/>
              <w:left w:val="outset" w:sz="6" w:space="0" w:color="000000"/>
              <w:bottom w:val="outset" w:sz="6" w:space="0" w:color="000000"/>
              <w:right w:val="outset" w:sz="6" w:space="0" w:color="000000"/>
            </w:tcBorders>
            <w:hideMark/>
          </w:tcPr>
          <w:p w14:paraId="1D542643" w14:textId="77777777" w:rsidR="00895374" w:rsidRPr="00B67103" w:rsidRDefault="00895374" w:rsidP="00964945">
            <w:pPr>
              <w:pStyle w:val="NormalWeb"/>
              <w:spacing w:before="0" w:beforeAutospacing="0" w:after="0" w:afterAutospacing="0"/>
              <w:jc w:val="center"/>
              <w:rPr>
                <w:b/>
                <w:bCs/>
                <w:lang w:val="lv-LV"/>
              </w:rPr>
            </w:pPr>
            <w:r w:rsidRPr="00B67103">
              <w:rPr>
                <w:b/>
                <w:bCs/>
                <w:lang w:val="lv-LV"/>
              </w:rPr>
              <w:t>VI.</w:t>
            </w:r>
            <w:r w:rsidR="007B0347">
              <w:rPr>
                <w:b/>
                <w:bCs/>
                <w:lang w:val="lv-LV"/>
              </w:rPr>
              <w:t> </w:t>
            </w:r>
            <w:r w:rsidRPr="00B67103">
              <w:rPr>
                <w:b/>
                <w:bCs/>
                <w:lang w:val="lv-LV"/>
              </w:rPr>
              <w:t>Sabiedrības līdzdalība un komunikācijas aktivitātes</w:t>
            </w:r>
          </w:p>
        </w:tc>
      </w:tr>
      <w:tr w:rsidR="00895374" w:rsidRPr="00B67103" w14:paraId="353DA3C1" w14:textId="77777777" w:rsidTr="009D4C5B">
        <w:tc>
          <w:tcPr>
            <w:tcW w:w="242" w:type="pct"/>
            <w:tcBorders>
              <w:top w:val="outset" w:sz="6" w:space="0" w:color="000000"/>
              <w:left w:val="outset" w:sz="6" w:space="0" w:color="000000"/>
              <w:bottom w:val="outset" w:sz="6" w:space="0" w:color="000000"/>
              <w:right w:val="outset" w:sz="6" w:space="0" w:color="000000"/>
            </w:tcBorders>
            <w:hideMark/>
          </w:tcPr>
          <w:p w14:paraId="53BF210B" w14:textId="77777777" w:rsidR="00895374" w:rsidRPr="00B67103" w:rsidRDefault="00895374" w:rsidP="00964945">
            <w:pPr>
              <w:pStyle w:val="NormalWeb"/>
              <w:spacing w:before="0" w:beforeAutospacing="0" w:after="0" w:afterAutospacing="0"/>
            </w:pPr>
            <w:r w:rsidRPr="00B67103">
              <w:t>1.</w:t>
            </w:r>
          </w:p>
        </w:tc>
        <w:tc>
          <w:tcPr>
            <w:tcW w:w="1954" w:type="pct"/>
            <w:tcBorders>
              <w:top w:val="outset" w:sz="6" w:space="0" w:color="000000"/>
              <w:left w:val="outset" w:sz="6" w:space="0" w:color="000000"/>
              <w:bottom w:val="outset" w:sz="6" w:space="0" w:color="000000"/>
              <w:right w:val="outset" w:sz="6" w:space="0" w:color="000000"/>
            </w:tcBorders>
            <w:hideMark/>
          </w:tcPr>
          <w:p w14:paraId="666397A8" w14:textId="77777777" w:rsidR="00895374" w:rsidRPr="00A32CF5" w:rsidRDefault="00895374" w:rsidP="00964945">
            <w:pPr>
              <w:pStyle w:val="NormalWeb"/>
              <w:spacing w:before="0" w:beforeAutospacing="0" w:after="0" w:afterAutospacing="0"/>
              <w:rPr>
                <w:lang w:val="lv-LV"/>
              </w:rPr>
            </w:pPr>
            <w:r w:rsidRPr="00A32CF5">
              <w:rPr>
                <w:lang w:val="lv-LV"/>
              </w:rPr>
              <w:t>Plānotās sabiedrības līdzdalības un komunikācijas aktivitātes saistībā ar projektu</w:t>
            </w:r>
          </w:p>
        </w:tc>
        <w:tc>
          <w:tcPr>
            <w:tcW w:w="2804" w:type="pct"/>
            <w:tcBorders>
              <w:top w:val="outset" w:sz="6" w:space="0" w:color="000000"/>
              <w:left w:val="outset" w:sz="6" w:space="0" w:color="000000"/>
              <w:bottom w:val="outset" w:sz="6" w:space="0" w:color="000000"/>
              <w:right w:val="outset" w:sz="6" w:space="0" w:color="000000"/>
            </w:tcBorders>
            <w:hideMark/>
          </w:tcPr>
          <w:p w14:paraId="15BE011E" w14:textId="4183F616" w:rsidR="00921A4E" w:rsidRPr="00A32CF5" w:rsidRDefault="00466D2F" w:rsidP="006551A6">
            <w:pPr>
              <w:pStyle w:val="NormalWeb"/>
              <w:spacing w:before="0" w:beforeAutospacing="0" w:after="0" w:afterAutospacing="0"/>
              <w:jc w:val="both"/>
              <w:rPr>
                <w:lang w:val="lv-LV"/>
              </w:rPr>
            </w:pPr>
            <w:r w:rsidRPr="00A32CF5">
              <w:rPr>
                <w:lang w:val="lv-LV"/>
              </w:rPr>
              <w:t>Saskaņā ar Ministru kabineta 2009. gada 25. augusta noteikumu Nr. 970 „Sabiedrības līdzdalības kārtība attīstības plānošanas procesā” 7.4.</w:t>
            </w:r>
            <w:r w:rsidRPr="00A32CF5">
              <w:rPr>
                <w:vertAlign w:val="superscript"/>
                <w:lang w:val="lv-LV"/>
              </w:rPr>
              <w:t>1 </w:t>
            </w:r>
            <w:r w:rsidRPr="00A32CF5">
              <w:rPr>
                <w:lang w:val="lv-LV"/>
              </w:rPr>
              <w:t xml:space="preserve">apakšpunktu sabiedrības pārstāvji </w:t>
            </w:r>
            <w:r w:rsidR="006551A6">
              <w:rPr>
                <w:lang w:val="lv-LV"/>
              </w:rPr>
              <w:t>tika</w:t>
            </w:r>
            <w:r w:rsidRPr="00A32CF5">
              <w:rPr>
                <w:lang w:val="lv-LV"/>
              </w:rPr>
              <w:t xml:space="preserve"> aicināti līdzdarboties, rakstiski sniedzot viedokli par noteikumu projektu tā izstrādes stadijā. Sabiedrības pārstāvji ir informēti par iespēju līdzdarboties, publicējot paziņojumu par līdzdalības procesu ministrijas tīmekļvietnē.</w:t>
            </w:r>
          </w:p>
        </w:tc>
      </w:tr>
      <w:tr w:rsidR="00895374" w:rsidRPr="00B67103" w14:paraId="264032A3" w14:textId="77777777" w:rsidTr="009D4C5B">
        <w:tc>
          <w:tcPr>
            <w:tcW w:w="242" w:type="pct"/>
            <w:tcBorders>
              <w:top w:val="outset" w:sz="6" w:space="0" w:color="000000"/>
              <w:left w:val="outset" w:sz="6" w:space="0" w:color="000000"/>
              <w:bottom w:val="outset" w:sz="6" w:space="0" w:color="000000"/>
              <w:right w:val="outset" w:sz="6" w:space="0" w:color="000000"/>
            </w:tcBorders>
            <w:hideMark/>
          </w:tcPr>
          <w:p w14:paraId="18C0045F" w14:textId="77777777" w:rsidR="00895374" w:rsidRPr="00B67103" w:rsidRDefault="00895374" w:rsidP="00964945">
            <w:pPr>
              <w:pStyle w:val="NormalWeb"/>
              <w:spacing w:before="0" w:beforeAutospacing="0" w:after="0" w:afterAutospacing="0"/>
            </w:pPr>
            <w:r w:rsidRPr="00B67103">
              <w:t>2.</w:t>
            </w:r>
          </w:p>
        </w:tc>
        <w:tc>
          <w:tcPr>
            <w:tcW w:w="1954" w:type="pct"/>
            <w:tcBorders>
              <w:top w:val="outset" w:sz="6" w:space="0" w:color="000000"/>
              <w:left w:val="outset" w:sz="6" w:space="0" w:color="000000"/>
              <w:bottom w:val="outset" w:sz="6" w:space="0" w:color="000000"/>
              <w:right w:val="outset" w:sz="6" w:space="0" w:color="000000"/>
            </w:tcBorders>
            <w:hideMark/>
          </w:tcPr>
          <w:p w14:paraId="19748183" w14:textId="77777777" w:rsidR="00895374" w:rsidRPr="00A32CF5" w:rsidRDefault="00895374" w:rsidP="00964945">
            <w:pPr>
              <w:pStyle w:val="NormalWeb"/>
              <w:spacing w:before="0" w:beforeAutospacing="0" w:after="0" w:afterAutospacing="0"/>
              <w:rPr>
                <w:lang w:val="lv-LV"/>
              </w:rPr>
            </w:pPr>
            <w:r w:rsidRPr="00A32CF5">
              <w:rPr>
                <w:lang w:val="lv-LV"/>
              </w:rPr>
              <w:t>Sabiedrības līdzdalība projekta izstrādē</w:t>
            </w:r>
          </w:p>
        </w:tc>
        <w:tc>
          <w:tcPr>
            <w:tcW w:w="2804" w:type="pct"/>
            <w:tcBorders>
              <w:top w:val="outset" w:sz="6" w:space="0" w:color="000000"/>
              <w:left w:val="outset" w:sz="6" w:space="0" w:color="000000"/>
              <w:bottom w:val="outset" w:sz="6" w:space="0" w:color="000000"/>
              <w:right w:val="outset" w:sz="6" w:space="0" w:color="000000"/>
            </w:tcBorders>
          </w:tcPr>
          <w:p w14:paraId="1C8B476F" w14:textId="667A9E31" w:rsidR="003C66B7" w:rsidRPr="00A32CF5" w:rsidRDefault="00466D2F" w:rsidP="00644E5E">
            <w:pPr>
              <w:pStyle w:val="NormalWeb"/>
              <w:spacing w:before="0" w:beforeAutospacing="0" w:after="0" w:afterAutospacing="0"/>
              <w:jc w:val="both"/>
              <w:rPr>
                <w:lang w:val="lv-LV"/>
              </w:rPr>
            </w:pPr>
            <w:r w:rsidRPr="00A32CF5">
              <w:rPr>
                <w:rFonts w:eastAsia="Times New Roman"/>
                <w:lang w:val="lv-LV"/>
              </w:rPr>
              <w:t xml:space="preserve">Lai nodrošinātu sabiedrības līdzdalību, noteikumu projekts tika publicēts ministrijas tīmekļvietnē: www.varam.gov.lv </w:t>
            </w:r>
            <w:r w:rsidRPr="00644E5E">
              <w:rPr>
                <w:rFonts w:eastAsia="Times New Roman"/>
                <w:lang w:val="lv-LV"/>
              </w:rPr>
              <w:t>20</w:t>
            </w:r>
            <w:r w:rsidR="00BE353F">
              <w:rPr>
                <w:rFonts w:eastAsia="Times New Roman"/>
                <w:lang w:val="lv-LV"/>
              </w:rPr>
              <w:t>21</w:t>
            </w:r>
            <w:r w:rsidRPr="00644E5E">
              <w:rPr>
                <w:rFonts w:eastAsia="Times New Roman"/>
                <w:lang w:val="lv-LV"/>
              </w:rPr>
              <w:t xml:space="preserve">. gada </w:t>
            </w:r>
            <w:r w:rsidR="00BE353F">
              <w:rPr>
                <w:rFonts w:eastAsia="Times New Roman"/>
                <w:lang w:val="lv-LV"/>
              </w:rPr>
              <w:t>martā</w:t>
            </w:r>
            <w:r w:rsidR="00C80A95">
              <w:rPr>
                <w:rFonts w:eastAsia="Times New Roman"/>
                <w:lang w:val="lv-LV"/>
              </w:rPr>
              <w:t>.</w:t>
            </w:r>
          </w:p>
        </w:tc>
      </w:tr>
      <w:tr w:rsidR="00895374" w:rsidRPr="00B67103" w14:paraId="791B58CD" w14:textId="77777777" w:rsidTr="009D4C5B">
        <w:tc>
          <w:tcPr>
            <w:tcW w:w="242" w:type="pct"/>
            <w:tcBorders>
              <w:top w:val="outset" w:sz="6" w:space="0" w:color="000000"/>
              <w:left w:val="outset" w:sz="6" w:space="0" w:color="000000"/>
              <w:bottom w:val="outset" w:sz="6" w:space="0" w:color="000000"/>
              <w:right w:val="outset" w:sz="6" w:space="0" w:color="000000"/>
            </w:tcBorders>
            <w:hideMark/>
          </w:tcPr>
          <w:p w14:paraId="07E3625F" w14:textId="77777777" w:rsidR="00895374" w:rsidRPr="00B67103" w:rsidRDefault="00895374" w:rsidP="00964945">
            <w:pPr>
              <w:pStyle w:val="NormalWeb"/>
              <w:spacing w:before="0" w:beforeAutospacing="0" w:after="0" w:afterAutospacing="0"/>
            </w:pPr>
            <w:r w:rsidRPr="00B67103">
              <w:t>3.</w:t>
            </w:r>
          </w:p>
        </w:tc>
        <w:tc>
          <w:tcPr>
            <w:tcW w:w="1954" w:type="pct"/>
            <w:tcBorders>
              <w:top w:val="outset" w:sz="6" w:space="0" w:color="000000"/>
              <w:left w:val="outset" w:sz="6" w:space="0" w:color="000000"/>
              <w:bottom w:val="outset" w:sz="6" w:space="0" w:color="000000"/>
              <w:right w:val="outset" w:sz="6" w:space="0" w:color="000000"/>
            </w:tcBorders>
            <w:hideMark/>
          </w:tcPr>
          <w:p w14:paraId="3941911B" w14:textId="77777777" w:rsidR="00895374" w:rsidRPr="00A32CF5" w:rsidRDefault="00895374" w:rsidP="00964945">
            <w:pPr>
              <w:pStyle w:val="NormalWeb"/>
              <w:spacing w:before="0" w:beforeAutospacing="0" w:after="0" w:afterAutospacing="0"/>
              <w:rPr>
                <w:lang w:val="lv-LV"/>
              </w:rPr>
            </w:pPr>
            <w:r w:rsidRPr="00A32CF5">
              <w:rPr>
                <w:lang w:val="lv-LV"/>
              </w:rPr>
              <w:t>Sabiedrības līdzdalības rezultāti</w:t>
            </w:r>
          </w:p>
        </w:tc>
        <w:tc>
          <w:tcPr>
            <w:tcW w:w="2804" w:type="pct"/>
            <w:tcBorders>
              <w:top w:val="outset" w:sz="6" w:space="0" w:color="000000"/>
              <w:left w:val="outset" w:sz="6" w:space="0" w:color="000000"/>
              <w:bottom w:val="outset" w:sz="6" w:space="0" w:color="000000"/>
              <w:right w:val="outset" w:sz="6" w:space="0" w:color="000000"/>
            </w:tcBorders>
          </w:tcPr>
          <w:p w14:paraId="7E0DF921" w14:textId="1019C37D" w:rsidR="003C66B7" w:rsidRPr="00A32CF5" w:rsidRDefault="00BE353F" w:rsidP="00105351">
            <w:pPr>
              <w:pStyle w:val="NormalWeb"/>
              <w:spacing w:before="0" w:beforeAutospacing="0" w:after="0" w:afterAutospacing="0"/>
              <w:jc w:val="both"/>
              <w:rPr>
                <w:lang w:val="lv-LV"/>
              </w:rPr>
            </w:pPr>
            <w:r>
              <w:rPr>
                <w:lang w:val="lv-LV"/>
              </w:rPr>
              <w:t>Pēc viedokļu saņemšanas.</w:t>
            </w:r>
          </w:p>
        </w:tc>
      </w:tr>
      <w:tr w:rsidR="00895374" w:rsidRPr="00B67103" w14:paraId="15C977F3" w14:textId="77777777" w:rsidTr="009D4C5B">
        <w:tc>
          <w:tcPr>
            <w:tcW w:w="242" w:type="pct"/>
            <w:tcBorders>
              <w:top w:val="outset" w:sz="6" w:space="0" w:color="000000"/>
              <w:left w:val="outset" w:sz="6" w:space="0" w:color="000000"/>
              <w:bottom w:val="outset" w:sz="6" w:space="0" w:color="000000"/>
              <w:right w:val="outset" w:sz="6" w:space="0" w:color="000000"/>
            </w:tcBorders>
            <w:hideMark/>
          </w:tcPr>
          <w:p w14:paraId="292AAD61" w14:textId="77777777" w:rsidR="00895374" w:rsidRPr="00B67103" w:rsidRDefault="00895374" w:rsidP="00964945">
            <w:pPr>
              <w:pStyle w:val="NormalWeb"/>
              <w:spacing w:before="0" w:beforeAutospacing="0" w:after="0" w:afterAutospacing="0"/>
            </w:pPr>
            <w:r w:rsidRPr="00B67103">
              <w:t>4.</w:t>
            </w:r>
          </w:p>
        </w:tc>
        <w:tc>
          <w:tcPr>
            <w:tcW w:w="1954" w:type="pct"/>
            <w:tcBorders>
              <w:top w:val="outset" w:sz="6" w:space="0" w:color="000000"/>
              <w:left w:val="outset" w:sz="6" w:space="0" w:color="000000"/>
              <w:bottom w:val="outset" w:sz="6" w:space="0" w:color="000000"/>
              <w:right w:val="outset" w:sz="6" w:space="0" w:color="000000"/>
            </w:tcBorders>
            <w:hideMark/>
          </w:tcPr>
          <w:p w14:paraId="654A3448" w14:textId="77777777" w:rsidR="00895374" w:rsidRPr="00A32CF5" w:rsidRDefault="00895374" w:rsidP="00964945">
            <w:pPr>
              <w:pStyle w:val="NormalWeb"/>
              <w:spacing w:before="0" w:beforeAutospacing="0" w:after="0" w:afterAutospacing="0"/>
              <w:rPr>
                <w:lang w:val="lv-LV"/>
              </w:rPr>
            </w:pPr>
            <w:r w:rsidRPr="00A32CF5">
              <w:rPr>
                <w:lang w:val="lv-LV"/>
              </w:rPr>
              <w:t>Cita informācija</w:t>
            </w:r>
          </w:p>
        </w:tc>
        <w:tc>
          <w:tcPr>
            <w:tcW w:w="2804" w:type="pct"/>
            <w:tcBorders>
              <w:top w:val="outset" w:sz="6" w:space="0" w:color="000000"/>
              <w:left w:val="outset" w:sz="6" w:space="0" w:color="000000"/>
              <w:bottom w:val="outset" w:sz="6" w:space="0" w:color="000000"/>
              <w:right w:val="outset" w:sz="6" w:space="0" w:color="000000"/>
            </w:tcBorders>
          </w:tcPr>
          <w:p w14:paraId="6AC4AA63" w14:textId="77777777" w:rsidR="00895374" w:rsidRPr="00A32CF5" w:rsidRDefault="00895374" w:rsidP="00CD4214">
            <w:pPr>
              <w:pStyle w:val="NormalWeb"/>
              <w:spacing w:before="0" w:beforeAutospacing="0" w:after="0" w:afterAutospacing="0"/>
              <w:rPr>
                <w:lang w:val="lv-LV"/>
              </w:rPr>
            </w:pPr>
            <w:r w:rsidRPr="00A32CF5">
              <w:rPr>
                <w:lang w:val="lv-LV"/>
              </w:rPr>
              <w:t>Nav</w:t>
            </w:r>
            <w:r w:rsidR="000D454D">
              <w:rPr>
                <w:lang w:val="lv-LV"/>
              </w:rPr>
              <w:t>.</w:t>
            </w:r>
          </w:p>
        </w:tc>
      </w:tr>
    </w:tbl>
    <w:p w14:paraId="6D0B72FA" w14:textId="77777777" w:rsidR="008C64D2" w:rsidRDefault="008C64D2" w:rsidP="00895374">
      <w:pPr>
        <w:pStyle w:val="naisc"/>
        <w:spacing w:before="0" w:after="0"/>
      </w:pPr>
    </w:p>
    <w:tbl>
      <w:tblPr>
        <w:tblW w:w="9363" w:type="dxa"/>
        <w:tblInd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71"/>
        <w:gridCol w:w="3931"/>
        <w:gridCol w:w="4961"/>
      </w:tblGrid>
      <w:tr w:rsidR="00895374" w:rsidRPr="00E030F4" w14:paraId="15877F25" w14:textId="77777777" w:rsidTr="00077095">
        <w:tc>
          <w:tcPr>
            <w:tcW w:w="9363" w:type="dxa"/>
            <w:gridSpan w:val="3"/>
            <w:tcBorders>
              <w:top w:val="outset" w:sz="6" w:space="0" w:color="000000"/>
              <w:left w:val="outset" w:sz="6" w:space="0" w:color="000000"/>
              <w:bottom w:val="outset" w:sz="6" w:space="0" w:color="000000"/>
              <w:right w:val="outset" w:sz="6" w:space="0" w:color="000000"/>
            </w:tcBorders>
          </w:tcPr>
          <w:p w14:paraId="6B46C885" w14:textId="77777777" w:rsidR="00895374" w:rsidRPr="00E030F4" w:rsidRDefault="00895374" w:rsidP="00964945">
            <w:pPr>
              <w:spacing w:before="100" w:beforeAutospacing="1" w:after="100" w:afterAutospacing="1"/>
              <w:jc w:val="center"/>
              <w:rPr>
                <w:b/>
                <w:bCs/>
              </w:rPr>
            </w:pPr>
            <w:r w:rsidRPr="00E030F4">
              <w:rPr>
                <w:b/>
                <w:bCs/>
              </w:rPr>
              <w:t>VII.</w:t>
            </w:r>
            <w:r w:rsidR="00466D2F">
              <w:rPr>
                <w:b/>
                <w:bCs/>
              </w:rPr>
              <w:t> </w:t>
            </w:r>
            <w:r w:rsidRPr="00E030F4">
              <w:rPr>
                <w:b/>
                <w:bCs/>
              </w:rPr>
              <w:t>Tiesību akta projekta izpildes nodrošināšana un tās ietekme uz institūcijām</w:t>
            </w:r>
          </w:p>
        </w:tc>
      </w:tr>
      <w:tr w:rsidR="00895374" w:rsidRPr="00E030F4" w14:paraId="3BFB895B" w14:textId="77777777" w:rsidTr="00077095">
        <w:tc>
          <w:tcPr>
            <w:tcW w:w="471" w:type="dxa"/>
            <w:tcBorders>
              <w:top w:val="outset" w:sz="6" w:space="0" w:color="000000"/>
              <w:left w:val="outset" w:sz="6" w:space="0" w:color="000000"/>
              <w:bottom w:val="outset" w:sz="6" w:space="0" w:color="000000"/>
              <w:right w:val="outset" w:sz="6" w:space="0" w:color="000000"/>
            </w:tcBorders>
          </w:tcPr>
          <w:p w14:paraId="0A25666B" w14:textId="77777777" w:rsidR="00895374" w:rsidRPr="00E030F4" w:rsidRDefault="00895374" w:rsidP="00964945">
            <w:pPr>
              <w:spacing w:before="100" w:beforeAutospacing="1" w:after="100" w:afterAutospacing="1"/>
            </w:pPr>
            <w:r w:rsidRPr="00E030F4">
              <w:t>1.</w:t>
            </w:r>
          </w:p>
        </w:tc>
        <w:tc>
          <w:tcPr>
            <w:tcW w:w="3931" w:type="dxa"/>
            <w:tcBorders>
              <w:top w:val="outset" w:sz="6" w:space="0" w:color="000000"/>
              <w:left w:val="outset" w:sz="6" w:space="0" w:color="000000"/>
              <w:bottom w:val="outset" w:sz="6" w:space="0" w:color="000000"/>
              <w:right w:val="outset" w:sz="6" w:space="0" w:color="000000"/>
            </w:tcBorders>
          </w:tcPr>
          <w:p w14:paraId="57D6BE48" w14:textId="77777777" w:rsidR="00895374" w:rsidRPr="00E030F4" w:rsidRDefault="00895374" w:rsidP="00964945">
            <w:pPr>
              <w:spacing w:before="100" w:beforeAutospacing="1" w:after="100" w:afterAutospacing="1"/>
            </w:pPr>
            <w:r w:rsidRPr="00E030F4">
              <w:t>Projekta izpildē iesaistītās institūcijas</w:t>
            </w:r>
          </w:p>
        </w:tc>
        <w:tc>
          <w:tcPr>
            <w:tcW w:w="4961" w:type="dxa"/>
            <w:tcBorders>
              <w:top w:val="outset" w:sz="6" w:space="0" w:color="000000"/>
              <w:left w:val="outset" w:sz="6" w:space="0" w:color="000000"/>
              <w:bottom w:val="outset" w:sz="6" w:space="0" w:color="000000"/>
              <w:right w:val="outset" w:sz="6" w:space="0" w:color="000000"/>
            </w:tcBorders>
          </w:tcPr>
          <w:p w14:paraId="644EBED3" w14:textId="110D1C88" w:rsidR="00244349" w:rsidRPr="002821DE" w:rsidRDefault="005A25DD" w:rsidP="008C2864">
            <w:pPr>
              <w:jc w:val="both"/>
            </w:pPr>
            <w:r>
              <w:t>V</w:t>
            </w:r>
            <w:r w:rsidR="008C2864">
              <w:t>alsts akciju sabiedrība</w:t>
            </w:r>
            <w:r w:rsidRPr="0012182F">
              <w:t xml:space="preserve"> „Elektronisk</w:t>
            </w:r>
            <w:r>
              <w:t>ie s</w:t>
            </w:r>
            <w:r w:rsidRPr="0012182F">
              <w:t>akar</w:t>
            </w:r>
            <w:r>
              <w:t>i</w:t>
            </w:r>
            <w:r w:rsidRPr="0012182F">
              <w:t>”</w:t>
            </w:r>
          </w:p>
        </w:tc>
      </w:tr>
      <w:tr w:rsidR="00895374" w:rsidRPr="00E030F4" w14:paraId="527B6197" w14:textId="77777777" w:rsidTr="00077095">
        <w:tc>
          <w:tcPr>
            <w:tcW w:w="471" w:type="dxa"/>
            <w:tcBorders>
              <w:top w:val="outset" w:sz="6" w:space="0" w:color="000000"/>
              <w:left w:val="outset" w:sz="6" w:space="0" w:color="000000"/>
              <w:bottom w:val="outset" w:sz="6" w:space="0" w:color="000000"/>
              <w:right w:val="outset" w:sz="6" w:space="0" w:color="000000"/>
            </w:tcBorders>
          </w:tcPr>
          <w:p w14:paraId="3BD146B2" w14:textId="77777777" w:rsidR="00895374" w:rsidRPr="00E030F4" w:rsidRDefault="00895374" w:rsidP="00964945">
            <w:r w:rsidRPr="00E030F4">
              <w:t>2.</w:t>
            </w:r>
          </w:p>
        </w:tc>
        <w:tc>
          <w:tcPr>
            <w:tcW w:w="3931" w:type="dxa"/>
            <w:tcBorders>
              <w:top w:val="outset" w:sz="6" w:space="0" w:color="000000"/>
              <w:left w:val="outset" w:sz="6" w:space="0" w:color="000000"/>
              <w:bottom w:val="outset" w:sz="6" w:space="0" w:color="000000"/>
              <w:right w:val="outset" w:sz="6" w:space="0" w:color="000000"/>
            </w:tcBorders>
          </w:tcPr>
          <w:p w14:paraId="6691DDF3" w14:textId="77777777" w:rsidR="00895374" w:rsidRDefault="00895374" w:rsidP="00964945">
            <w:r w:rsidRPr="00E030F4">
              <w:t>Projekta izpildes ietekme uz pārvaldes funkcijām</w:t>
            </w:r>
            <w:r>
              <w:t xml:space="preserve"> un </w:t>
            </w:r>
            <w:r w:rsidRPr="00E030F4">
              <w:t>institucionālo struktūru</w:t>
            </w:r>
            <w:r>
              <w:t xml:space="preserve">. </w:t>
            </w:r>
          </w:p>
          <w:p w14:paraId="04FC9177" w14:textId="77777777" w:rsidR="00895374" w:rsidRPr="00E030F4" w:rsidRDefault="00895374" w:rsidP="00964945">
            <w:r w:rsidRPr="00E030F4">
              <w:t>Jaunu institūciju izveide</w:t>
            </w:r>
            <w:r>
              <w:t>, e</w:t>
            </w:r>
            <w:r w:rsidRPr="00E030F4">
              <w:t>sošu institūciju likvidācija</w:t>
            </w:r>
            <w:r>
              <w:t xml:space="preserve"> vai reorganizācija, to ietekme uz institūcijas cilvēkresursiem</w:t>
            </w:r>
          </w:p>
        </w:tc>
        <w:tc>
          <w:tcPr>
            <w:tcW w:w="4961" w:type="dxa"/>
            <w:tcBorders>
              <w:top w:val="outset" w:sz="6" w:space="0" w:color="000000"/>
              <w:left w:val="outset" w:sz="6" w:space="0" w:color="000000"/>
              <w:bottom w:val="outset" w:sz="6" w:space="0" w:color="000000"/>
              <w:right w:val="outset" w:sz="6" w:space="0" w:color="000000"/>
            </w:tcBorders>
          </w:tcPr>
          <w:p w14:paraId="0FA47D17" w14:textId="77777777" w:rsidR="00895374" w:rsidRDefault="00895374" w:rsidP="00964945">
            <w:pPr>
              <w:rPr>
                <w:color w:val="000000"/>
              </w:rPr>
            </w:pPr>
          </w:p>
          <w:p w14:paraId="345F98F3" w14:textId="77777777" w:rsidR="00895374" w:rsidRPr="002821DE" w:rsidRDefault="00274D97" w:rsidP="00226539">
            <w:pPr>
              <w:jc w:val="both"/>
            </w:pPr>
            <w:r>
              <w:rPr>
                <w:color w:val="000000"/>
              </w:rPr>
              <w:t>Noteikumu p</w:t>
            </w:r>
            <w:r w:rsidR="00895374" w:rsidRPr="002821DE">
              <w:rPr>
                <w:color w:val="000000"/>
              </w:rPr>
              <w:t>rojekts nemaina iesaistīto institūciju kompetenci</w:t>
            </w:r>
            <w:r w:rsidR="00895374" w:rsidRPr="002821DE">
              <w:t>.</w:t>
            </w:r>
            <w:r w:rsidR="00895374" w:rsidRPr="002821DE">
              <w:rPr>
                <w:color w:val="000000"/>
              </w:rPr>
              <w:t xml:space="preserve"> Institūcijas netiek likvidētas</w:t>
            </w:r>
            <w:r w:rsidR="00895374">
              <w:rPr>
                <w:color w:val="000000"/>
              </w:rPr>
              <w:t xml:space="preserve"> vai</w:t>
            </w:r>
            <w:r w:rsidR="00895374" w:rsidRPr="002821DE">
              <w:rPr>
                <w:color w:val="000000"/>
              </w:rPr>
              <w:t xml:space="preserve"> reorganizētas.</w:t>
            </w:r>
          </w:p>
        </w:tc>
      </w:tr>
      <w:tr w:rsidR="00895374" w:rsidRPr="00E030F4" w14:paraId="5E6AE4B7" w14:textId="77777777" w:rsidTr="00077095">
        <w:tc>
          <w:tcPr>
            <w:tcW w:w="471" w:type="dxa"/>
            <w:tcBorders>
              <w:top w:val="outset" w:sz="6" w:space="0" w:color="000000"/>
              <w:left w:val="outset" w:sz="6" w:space="0" w:color="000000"/>
              <w:bottom w:val="outset" w:sz="6" w:space="0" w:color="000000"/>
              <w:right w:val="outset" w:sz="6" w:space="0" w:color="000000"/>
            </w:tcBorders>
          </w:tcPr>
          <w:p w14:paraId="625BCA5A" w14:textId="77777777" w:rsidR="00895374" w:rsidRPr="00E030F4" w:rsidRDefault="00895374" w:rsidP="00964945">
            <w:pPr>
              <w:spacing w:before="100" w:beforeAutospacing="1" w:after="100" w:afterAutospacing="1"/>
            </w:pPr>
            <w:r>
              <w:t>3</w:t>
            </w:r>
            <w:r w:rsidRPr="00E030F4">
              <w:t>.</w:t>
            </w:r>
          </w:p>
        </w:tc>
        <w:tc>
          <w:tcPr>
            <w:tcW w:w="3931" w:type="dxa"/>
            <w:tcBorders>
              <w:top w:val="outset" w:sz="6" w:space="0" w:color="000000"/>
              <w:left w:val="outset" w:sz="6" w:space="0" w:color="000000"/>
              <w:bottom w:val="outset" w:sz="6" w:space="0" w:color="000000"/>
              <w:right w:val="outset" w:sz="6" w:space="0" w:color="000000"/>
            </w:tcBorders>
          </w:tcPr>
          <w:p w14:paraId="766EB921" w14:textId="77777777" w:rsidR="00895374" w:rsidRPr="00E030F4" w:rsidRDefault="00895374" w:rsidP="00964945">
            <w:pPr>
              <w:spacing w:before="100" w:beforeAutospacing="1" w:after="100" w:afterAutospacing="1"/>
            </w:pPr>
            <w:r w:rsidRPr="00E030F4">
              <w:t>Cita informācija</w:t>
            </w:r>
          </w:p>
        </w:tc>
        <w:tc>
          <w:tcPr>
            <w:tcW w:w="4961" w:type="dxa"/>
            <w:tcBorders>
              <w:top w:val="outset" w:sz="6" w:space="0" w:color="000000"/>
              <w:left w:val="outset" w:sz="6" w:space="0" w:color="000000"/>
              <w:bottom w:val="outset" w:sz="6" w:space="0" w:color="000000"/>
              <w:right w:val="outset" w:sz="6" w:space="0" w:color="000000"/>
            </w:tcBorders>
          </w:tcPr>
          <w:p w14:paraId="10C13069" w14:textId="77777777" w:rsidR="00895374" w:rsidRPr="002821DE" w:rsidRDefault="00895374" w:rsidP="000429A3">
            <w:pPr>
              <w:spacing w:before="100" w:beforeAutospacing="1" w:after="100" w:afterAutospacing="1"/>
            </w:pPr>
            <w:r w:rsidRPr="002821DE">
              <w:t>Nav</w:t>
            </w:r>
            <w:r w:rsidR="000D454D">
              <w:t>.</w:t>
            </w:r>
          </w:p>
        </w:tc>
      </w:tr>
    </w:tbl>
    <w:p w14:paraId="45D51FA4" w14:textId="77777777" w:rsidR="00895374" w:rsidRDefault="00895374" w:rsidP="00895374">
      <w:pPr>
        <w:tabs>
          <w:tab w:val="right" w:pos="8306"/>
        </w:tabs>
      </w:pPr>
    </w:p>
    <w:p w14:paraId="1C2BA448" w14:textId="77777777" w:rsidR="0059764D" w:rsidRPr="001519F8" w:rsidRDefault="0059764D" w:rsidP="00A25251">
      <w:pPr>
        <w:tabs>
          <w:tab w:val="left" w:pos="6804"/>
        </w:tabs>
      </w:pPr>
    </w:p>
    <w:p w14:paraId="4009916D" w14:textId="77777777" w:rsidR="001519F8" w:rsidRPr="001519F8" w:rsidRDefault="001519F8" w:rsidP="001519F8">
      <w:pPr>
        <w:pStyle w:val="Body"/>
        <w:tabs>
          <w:tab w:val="left" w:pos="6237"/>
        </w:tabs>
        <w:spacing w:after="0" w:line="240" w:lineRule="auto"/>
        <w:ind w:firstLine="720"/>
        <w:jc w:val="both"/>
        <w:rPr>
          <w:rFonts w:ascii="Times New Roman" w:hAnsi="Times New Roman" w:cs="Times New Roman"/>
          <w:color w:val="auto"/>
          <w:sz w:val="24"/>
          <w:szCs w:val="24"/>
          <w:lang w:val="de-DE"/>
        </w:rPr>
      </w:pPr>
      <w:r w:rsidRPr="001519F8">
        <w:rPr>
          <w:rFonts w:ascii="Times New Roman" w:hAnsi="Times New Roman" w:cs="Times New Roman"/>
          <w:color w:val="auto"/>
          <w:sz w:val="24"/>
          <w:szCs w:val="24"/>
          <w:lang w:val="de-DE"/>
        </w:rPr>
        <w:t xml:space="preserve">Vides aizsardzības un </w:t>
      </w:r>
    </w:p>
    <w:p w14:paraId="4A1CDE9D" w14:textId="77777777" w:rsidR="001519F8" w:rsidRPr="001519F8" w:rsidRDefault="001519F8" w:rsidP="001519F8">
      <w:pPr>
        <w:pStyle w:val="Body"/>
        <w:tabs>
          <w:tab w:val="left" w:pos="6521"/>
        </w:tabs>
        <w:spacing w:after="0" w:line="240" w:lineRule="auto"/>
        <w:ind w:firstLine="720"/>
        <w:jc w:val="both"/>
        <w:rPr>
          <w:rFonts w:ascii="Times New Roman" w:hAnsi="Times New Roman" w:cs="Times New Roman"/>
          <w:color w:val="auto"/>
          <w:sz w:val="24"/>
          <w:szCs w:val="24"/>
          <w:lang w:val="de-DE"/>
        </w:rPr>
      </w:pPr>
      <w:r w:rsidRPr="001519F8">
        <w:rPr>
          <w:rFonts w:ascii="Times New Roman" w:hAnsi="Times New Roman" w:cs="Times New Roman"/>
          <w:color w:val="auto"/>
          <w:sz w:val="24"/>
          <w:szCs w:val="24"/>
          <w:lang w:val="de-DE"/>
        </w:rPr>
        <w:t>reģionālās attīstības ministrs</w:t>
      </w:r>
      <w:r w:rsidRPr="001519F8">
        <w:rPr>
          <w:rFonts w:ascii="Times New Roman" w:hAnsi="Times New Roman" w:cs="Times New Roman"/>
          <w:color w:val="auto"/>
          <w:sz w:val="24"/>
          <w:szCs w:val="24"/>
          <w:lang w:val="de-DE"/>
        </w:rPr>
        <w:tab/>
        <w:t>A. T. Plešs</w:t>
      </w:r>
    </w:p>
    <w:p w14:paraId="5AC184D7" w14:textId="77777777" w:rsidR="00A25251" w:rsidRPr="00326226" w:rsidRDefault="00A25251" w:rsidP="00A25251">
      <w:pPr>
        <w:tabs>
          <w:tab w:val="left" w:pos="6804"/>
        </w:tabs>
        <w:ind w:firstLine="720"/>
      </w:pPr>
    </w:p>
    <w:p w14:paraId="4D121947" w14:textId="77777777" w:rsidR="00895374" w:rsidRPr="00CE70FA" w:rsidRDefault="00895374" w:rsidP="00895374">
      <w:pPr>
        <w:tabs>
          <w:tab w:val="left" w:pos="6804"/>
        </w:tabs>
        <w:jc w:val="both"/>
      </w:pPr>
      <w:r>
        <w:tab/>
      </w:r>
    </w:p>
    <w:p w14:paraId="4A608538" w14:textId="77777777" w:rsidR="004B10C9" w:rsidRDefault="004B10C9" w:rsidP="00895374">
      <w:pPr>
        <w:tabs>
          <w:tab w:val="left" w:pos="2880"/>
        </w:tabs>
        <w:rPr>
          <w:iCs/>
          <w:sz w:val="20"/>
        </w:rPr>
      </w:pPr>
    </w:p>
    <w:p w14:paraId="73E399AB" w14:textId="77777777" w:rsidR="004B10C9" w:rsidRDefault="00895374" w:rsidP="00895374">
      <w:pPr>
        <w:rPr>
          <w:iCs/>
          <w:sz w:val="20"/>
        </w:rPr>
      </w:pPr>
      <w:r>
        <w:rPr>
          <w:iCs/>
          <w:sz w:val="20"/>
        </w:rPr>
        <w:t xml:space="preserve">Vāvere </w:t>
      </w:r>
      <w:r w:rsidR="00682CD6">
        <w:rPr>
          <w:iCs/>
          <w:sz w:val="20"/>
        </w:rPr>
        <w:t>67026</w:t>
      </w:r>
      <w:r w:rsidR="00367CB7">
        <w:rPr>
          <w:iCs/>
          <w:sz w:val="20"/>
        </w:rPr>
        <w:t>9</w:t>
      </w:r>
      <w:r w:rsidR="00682CD6">
        <w:rPr>
          <w:iCs/>
          <w:sz w:val="20"/>
        </w:rPr>
        <w:t>36</w:t>
      </w:r>
    </w:p>
    <w:p w14:paraId="7D8B3DA3" w14:textId="77777777" w:rsidR="00000023" w:rsidRDefault="009C305B" w:rsidP="00895374">
      <w:hyperlink r:id="rId7" w:history="1">
        <w:r w:rsidR="00895374" w:rsidRPr="00BA75D1">
          <w:rPr>
            <w:rStyle w:val="Hyperlink"/>
            <w:iCs/>
            <w:sz w:val="20"/>
          </w:rPr>
          <w:t>aija.vavere@varam.gov.lv</w:t>
        </w:r>
      </w:hyperlink>
    </w:p>
    <w:sectPr w:rsidR="00000023" w:rsidSect="00AC4AF3">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E1AC3" w14:textId="77777777" w:rsidR="009C305B" w:rsidRDefault="009C305B" w:rsidP="006451BA">
      <w:r>
        <w:separator/>
      </w:r>
    </w:p>
  </w:endnote>
  <w:endnote w:type="continuationSeparator" w:id="0">
    <w:p w14:paraId="0ED01320" w14:textId="77777777" w:rsidR="009C305B" w:rsidRDefault="009C305B" w:rsidP="0064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D077" w14:textId="293D4C2E" w:rsidR="006451BA" w:rsidRPr="00AD6658" w:rsidRDefault="00CF5F74" w:rsidP="006451BA">
    <w:pPr>
      <w:pStyle w:val="Footer"/>
      <w:jc w:val="both"/>
      <w:rPr>
        <w:sz w:val="20"/>
      </w:rPr>
    </w:pPr>
    <w:r>
      <w:rPr>
        <w:noProof/>
        <w:sz w:val="20"/>
      </w:rPr>
      <w:fldChar w:fldCharType="begin"/>
    </w:r>
    <w:r>
      <w:rPr>
        <w:noProof/>
        <w:sz w:val="20"/>
      </w:rPr>
      <w:instrText xml:space="preserve"> FILENAME   \* MERGEFORMAT </w:instrText>
    </w:r>
    <w:r>
      <w:rPr>
        <w:noProof/>
        <w:sz w:val="20"/>
      </w:rPr>
      <w:fldChar w:fldCharType="separate"/>
    </w:r>
    <w:r w:rsidR="00A20883">
      <w:rPr>
        <w:noProof/>
        <w:sz w:val="20"/>
      </w:rPr>
      <w:t>VARAManot_150321_RFPlans</w:t>
    </w:r>
    <w:r>
      <w:rPr>
        <w:noProof/>
        <w:sz w:val="20"/>
      </w:rPr>
      <w:fldChar w:fldCharType="end"/>
    </w:r>
  </w:p>
  <w:p w14:paraId="3E124B49" w14:textId="77777777" w:rsidR="006451BA" w:rsidRDefault="00645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BC830" w14:textId="27A51189" w:rsidR="00C7067E" w:rsidRPr="00AD6658" w:rsidRDefault="00CF5F74" w:rsidP="00C7067E">
    <w:pPr>
      <w:pStyle w:val="Footer"/>
      <w:jc w:val="both"/>
      <w:rPr>
        <w:sz w:val="20"/>
      </w:rPr>
    </w:pPr>
    <w:r>
      <w:rPr>
        <w:noProof/>
        <w:sz w:val="20"/>
      </w:rPr>
      <w:fldChar w:fldCharType="begin"/>
    </w:r>
    <w:r>
      <w:rPr>
        <w:noProof/>
        <w:sz w:val="20"/>
      </w:rPr>
      <w:instrText xml:space="preserve"> FILENAME   \* MERGEFORMAT </w:instrText>
    </w:r>
    <w:r>
      <w:rPr>
        <w:noProof/>
        <w:sz w:val="20"/>
      </w:rPr>
      <w:fldChar w:fldCharType="separate"/>
    </w:r>
    <w:r w:rsidR="00A20883">
      <w:rPr>
        <w:noProof/>
        <w:sz w:val="20"/>
      </w:rPr>
      <w:t>VARAManot_150321_RFPlans</w:t>
    </w:r>
    <w:r>
      <w:rPr>
        <w:noProof/>
        <w:sz w:val="20"/>
      </w:rPr>
      <w:fldChar w:fldCharType="end"/>
    </w:r>
  </w:p>
  <w:p w14:paraId="3B3B9801" w14:textId="77777777" w:rsidR="00C7067E" w:rsidRDefault="00C70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05188" w14:textId="77777777" w:rsidR="009C305B" w:rsidRDefault="009C305B" w:rsidP="006451BA">
      <w:r>
        <w:separator/>
      </w:r>
    </w:p>
  </w:footnote>
  <w:footnote w:type="continuationSeparator" w:id="0">
    <w:p w14:paraId="20B4604A" w14:textId="77777777" w:rsidR="009C305B" w:rsidRDefault="009C305B" w:rsidP="0064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107987"/>
      <w:docPartObj>
        <w:docPartGallery w:val="Page Numbers (Top of Page)"/>
        <w:docPartUnique/>
      </w:docPartObj>
    </w:sdtPr>
    <w:sdtEndPr>
      <w:rPr>
        <w:noProof/>
      </w:rPr>
    </w:sdtEndPr>
    <w:sdtContent>
      <w:p w14:paraId="5F4B7F63" w14:textId="77777777" w:rsidR="00AC4AF3" w:rsidRDefault="00B616DA">
        <w:pPr>
          <w:pStyle w:val="Header"/>
          <w:jc w:val="center"/>
        </w:pPr>
        <w:r>
          <w:fldChar w:fldCharType="begin"/>
        </w:r>
        <w:r w:rsidR="00AC4AF3">
          <w:instrText xml:space="preserve"> PAGE   \* MERGEFORMAT </w:instrText>
        </w:r>
        <w:r>
          <w:fldChar w:fldCharType="separate"/>
        </w:r>
        <w:r w:rsidR="00F849BA">
          <w:rPr>
            <w:noProof/>
          </w:rPr>
          <w:t>9</w:t>
        </w:r>
        <w:r>
          <w:rPr>
            <w:noProof/>
          </w:rPr>
          <w:fldChar w:fldCharType="end"/>
        </w:r>
      </w:p>
    </w:sdtContent>
  </w:sdt>
  <w:p w14:paraId="6E62DF3D" w14:textId="77777777" w:rsidR="00AC4AF3" w:rsidRDefault="00AC4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A8D"/>
    <w:multiLevelType w:val="hybridMultilevel"/>
    <w:tmpl w:val="E16A1E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F637A6"/>
    <w:multiLevelType w:val="hybridMultilevel"/>
    <w:tmpl w:val="6A50D6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2F0445"/>
    <w:multiLevelType w:val="hybridMultilevel"/>
    <w:tmpl w:val="5664B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64027"/>
    <w:multiLevelType w:val="hybridMultilevel"/>
    <w:tmpl w:val="5B94A4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DC66B71"/>
    <w:multiLevelType w:val="hybridMultilevel"/>
    <w:tmpl w:val="5B94A4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62C1703"/>
    <w:multiLevelType w:val="hybridMultilevel"/>
    <w:tmpl w:val="E9144C6E"/>
    <w:lvl w:ilvl="0" w:tplc="076070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91144D1"/>
    <w:multiLevelType w:val="hybridMultilevel"/>
    <w:tmpl w:val="45820C48"/>
    <w:lvl w:ilvl="0" w:tplc="A26814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365"/>
    <w:rsid w:val="00000023"/>
    <w:rsid w:val="00000932"/>
    <w:rsid w:val="00004315"/>
    <w:rsid w:val="0000776A"/>
    <w:rsid w:val="00011543"/>
    <w:rsid w:val="00011BE2"/>
    <w:rsid w:val="00015131"/>
    <w:rsid w:val="00025C7B"/>
    <w:rsid w:val="00027636"/>
    <w:rsid w:val="00027745"/>
    <w:rsid w:val="000322D1"/>
    <w:rsid w:val="00033B5C"/>
    <w:rsid w:val="00035F55"/>
    <w:rsid w:val="00040989"/>
    <w:rsid w:val="000429A3"/>
    <w:rsid w:val="00046120"/>
    <w:rsid w:val="00047A06"/>
    <w:rsid w:val="000530A2"/>
    <w:rsid w:val="000533E9"/>
    <w:rsid w:val="000548AF"/>
    <w:rsid w:val="000558CE"/>
    <w:rsid w:val="00055E79"/>
    <w:rsid w:val="000566DB"/>
    <w:rsid w:val="00056DF6"/>
    <w:rsid w:val="00062354"/>
    <w:rsid w:val="00063257"/>
    <w:rsid w:val="00064DC9"/>
    <w:rsid w:val="00065285"/>
    <w:rsid w:val="00065C3F"/>
    <w:rsid w:val="00072A40"/>
    <w:rsid w:val="000746E5"/>
    <w:rsid w:val="00074FBB"/>
    <w:rsid w:val="0007531A"/>
    <w:rsid w:val="00077095"/>
    <w:rsid w:val="00080333"/>
    <w:rsid w:val="00081962"/>
    <w:rsid w:val="00082303"/>
    <w:rsid w:val="00083582"/>
    <w:rsid w:val="00084273"/>
    <w:rsid w:val="00087AF0"/>
    <w:rsid w:val="0009064E"/>
    <w:rsid w:val="0009149E"/>
    <w:rsid w:val="0009335B"/>
    <w:rsid w:val="000939EF"/>
    <w:rsid w:val="00095079"/>
    <w:rsid w:val="00095585"/>
    <w:rsid w:val="000A2AB9"/>
    <w:rsid w:val="000A42A2"/>
    <w:rsid w:val="000A4B35"/>
    <w:rsid w:val="000B1C39"/>
    <w:rsid w:val="000B3896"/>
    <w:rsid w:val="000B3ED6"/>
    <w:rsid w:val="000B7B7B"/>
    <w:rsid w:val="000C0D5C"/>
    <w:rsid w:val="000C1166"/>
    <w:rsid w:val="000C17E7"/>
    <w:rsid w:val="000C1957"/>
    <w:rsid w:val="000C44CA"/>
    <w:rsid w:val="000C4534"/>
    <w:rsid w:val="000C5691"/>
    <w:rsid w:val="000C6365"/>
    <w:rsid w:val="000C6D27"/>
    <w:rsid w:val="000D00B5"/>
    <w:rsid w:val="000D058A"/>
    <w:rsid w:val="000D20ED"/>
    <w:rsid w:val="000D22EB"/>
    <w:rsid w:val="000D2668"/>
    <w:rsid w:val="000D3B9E"/>
    <w:rsid w:val="000D454D"/>
    <w:rsid w:val="000D57B7"/>
    <w:rsid w:val="000E0912"/>
    <w:rsid w:val="000E0E07"/>
    <w:rsid w:val="000E119F"/>
    <w:rsid w:val="000E4989"/>
    <w:rsid w:val="000E5904"/>
    <w:rsid w:val="000F26DC"/>
    <w:rsid w:val="00103E61"/>
    <w:rsid w:val="00105351"/>
    <w:rsid w:val="00112339"/>
    <w:rsid w:val="00114433"/>
    <w:rsid w:val="00117805"/>
    <w:rsid w:val="00117B02"/>
    <w:rsid w:val="00120157"/>
    <w:rsid w:val="00120930"/>
    <w:rsid w:val="001223FE"/>
    <w:rsid w:val="001267CB"/>
    <w:rsid w:val="00131732"/>
    <w:rsid w:val="001328CC"/>
    <w:rsid w:val="00133265"/>
    <w:rsid w:val="0013500C"/>
    <w:rsid w:val="00136BD1"/>
    <w:rsid w:val="001379FE"/>
    <w:rsid w:val="00143162"/>
    <w:rsid w:val="001508DB"/>
    <w:rsid w:val="001519F8"/>
    <w:rsid w:val="0015251B"/>
    <w:rsid w:val="00152CC5"/>
    <w:rsid w:val="00161775"/>
    <w:rsid w:val="00163B37"/>
    <w:rsid w:val="00165AA4"/>
    <w:rsid w:val="00165E0C"/>
    <w:rsid w:val="0016745B"/>
    <w:rsid w:val="00171798"/>
    <w:rsid w:val="00171DAE"/>
    <w:rsid w:val="00173F3A"/>
    <w:rsid w:val="0018387B"/>
    <w:rsid w:val="00183DDF"/>
    <w:rsid w:val="001857EC"/>
    <w:rsid w:val="00187DF8"/>
    <w:rsid w:val="00193CB0"/>
    <w:rsid w:val="001978D9"/>
    <w:rsid w:val="001979E5"/>
    <w:rsid w:val="001A4F0C"/>
    <w:rsid w:val="001A5F98"/>
    <w:rsid w:val="001B552E"/>
    <w:rsid w:val="001B73EA"/>
    <w:rsid w:val="001B74A6"/>
    <w:rsid w:val="001C12C7"/>
    <w:rsid w:val="001C3906"/>
    <w:rsid w:val="001C643E"/>
    <w:rsid w:val="001D3502"/>
    <w:rsid w:val="001D4385"/>
    <w:rsid w:val="001D6ED2"/>
    <w:rsid w:val="001E15AF"/>
    <w:rsid w:val="001E3010"/>
    <w:rsid w:val="001E4F5E"/>
    <w:rsid w:val="001E4F6D"/>
    <w:rsid w:val="001E587F"/>
    <w:rsid w:val="001E5C8A"/>
    <w:rsid w:val="001E671E"/>
    <w:rsid w:val="001F261B"/>
    <w:rsid w:val="001F381E"/>
    <w:rsid w:val="001F3EC1"/>
    <w:rsid w:val="001F6340"/>
    <w:rsid w:val="001F6A53"/>
    <w:rsid w:val="00205296"/>
    <w:rsid w:val="0021211E"/>
    <w:rsid w:val="00214BED"/>
    <w:rsid w:val="002214E9"/>
    <w:rsid w:val="00224837"/>
    <w:rsid w:val="00226396"/>
    <w:rsid w:val="00226539"/>
    <w:rsid w:val="00226B9B"/>
    <w:rsid w:val="00227075"/>
    <w:rsid w:val="00234BB1"/>
    <w:rsid w:val="00236328"/>
    <w:rsid w:val="00240D37"/>
    <w:rsid w:val="00242286"/>
    <w:rsid w:val="00242E13"/>
    <w:rsid w:val="00244349"/>
    <w:rsid w:val="00245770"/>
    <w:rsid w:val="00247458"/>
    <w:rsid w:val="00252F7D"/>
    <w:rsid w:val="00253F73"/>
    <w:rsid w:val="00257693"/>
    <w:rsid w:val="00260C64"/>
    <w:rsid w:val="00265A05"/>
    <w:rsid w:val="00274D97"/>
    <w:rsid w:val="00280575"/>
    <w:rsid w:val="0028136F"/>
    <w:rsid w:val="00286E8C"/>
    <w:rsid w:val="00293340"/>
    <w:rsid w:val="002A031E"/>
    <w:rsid w:val="002A0B52"/>
    <w:rsid w:val="002A0C5D"/>
    <w:rsid w:val="002A137B"/>
    <w:rsid w:val="002A1C17"/>
    <w:rsid w:val="002B389B"/>
    <w:rsid w:val="002B508B"/>
    <w:rsid w:val="002B6408"/>
    <w:rsid w:val="002B67A3"/>
    <w:rsid w:val="002C1709"/>
    <w:rsid w:val="002C580D"/>
    <w:rsid w:val="002C5EB8"/>
    <w:rsid w:val="002D073C"/>
    <w:rsid w:val="002D7D41"/>
    <w:rsid w:val="002E2810"/>
    <w:rsid w:val="002E2A02"/>
    <w:rsid w:val="002E5D80"/>
    <w:rsid w:val="002F1838"/>
    <w:rsid w:val="002F5558"/>
    <w:rsid w:val="00300D95"/>
    <w:rsid w:val="00302A06"/>
    <w:rsid w:val="00302A74"/>
    <w:rsid w:val="00305571"/>
    <w:rsid w:val="003059AF"/>
    <w:rsid w:val="003059FD"/>
    <w:rsid w:val="00310133"/>
    <w:rsid w:val="003105A1"/>
    <w:rsid w:val="00311FEC"/>
    <w:rsid w:val="00312EC5"/>
    <w:rsid w:val="00314155"/>
    <w:rsid w:val="0031581D"/>
    <w:rsid w:val="003170AB"/>
    <w:rsid w:val="003179F3"/>
    <w:rsid w:val="00321E56"/>
    <w:rsid w:val="0032354D"/>
    <w:rsid w:val="00327A05"/>
    <w:rsid w:val="00331907"/>
    <w:rsid w:val="0033612C"/>
    <w:rsid w:val="003374AC"/>
    <w:rsid w:val="003379F0"/>
    <w:rsid w:val="00343102"/>
    <w:rsid w:val="00344586"/>
    <w:rsid w:val="003445BC"/>
    <w:rsid w:val="0034594C"/>
    <w:rsid w:val="00347A0E"/>
    <w:rsid w:val="00350A5C"/>
    <w:rsid w:val="003515AC"/>
    <w:rsid w:val="00355471"/>
    <w:rsid w:val="00356286"/>
    <w:rsid w:val="00356B66"/>
    <w:rsid w:val="00367CB7"/>
    <w:rsid w:val="003707B1"/>
    <w:rsid w:val="00372ECE"/>
    <w:rsid w:val="00376551"/>
    <w:rsid w:val="00381B64"/>
    <w:rsid w:val="00382BF9"/>
    <w:rsid w:val="00383145"/>
    <w:rsid w:val="003864DE"/>
    <w:rsid w:val="00395317"/>
    <w:rsid w:val="003A1AAF"/>
    <w:rsid w:val="003A5E9E"/>
    <w:rsid w:val="003A7BDF"/>
    <w:rsid w:val="003B31D4"/>
    <w:rsid w:val="003B3464"/>
    <w:rsid w:val="003B34D1"/>
    <w:rsid w:val="003B435A"/>
    <w:rsid w:val="003B73EE"/>
    <w:rsid w:val="003C3C9F"/>
    <w:rsid w:val="003C3E6E"/>
    <w:rsid w:val="003C5B0D"/>
    <w:rsid w:val="003C66B7"/>
    <w:rsid w:val="003C6FFB"/>
    <w:rsid w:val="003C7816"/>
    <w:rsid w:val="003D057A"/>
    <w:rsid w:val="003D0761"/>
    <w:rsid w:val="003D1607"/>
    <w:rsid w:val="003D1F51"/>
    <w:rsid w:val="003D2D63"/>
    <w:rsid w:val="003D6844"/>
    <w:rsid w:val="003D68AD"/>
    <w:rsid w:val="003D6C59"/>
    <w:rsid w:val="003D71D3"/>
    <w:rsid w:val="003D7867"/>
    <w:rsid w:val="003E30F0"/>
    <w:rsid w:val="003F1FEE"/>
    <w:rsid w:val="00403EBF"/>
    <w:rsid w:val="004047BB"/>
    <w:rsid w:val="00405E90"/>
    <w:rsid w:val="00412489"/>
    <w:rsid w:val="0041267B"/>
    <w:rsid w:val="00414238"/>
    <w:rsid w:val="0041714B"/>
    <w:rsid w:val="00417C25"/>
    <w:rsid w:val="00417CD9"/>
    <w:rsid w:val="00422D73"/>
    <w:rsid w:val="00423D64"/>
    <w:rsid w:val="00431B8C"/>
    <w:rsid w:val="00432E04"/>
    <w:rsid w:val="00433035"/>
    <w:rsid w:val="00437324"/>
    <w:rsid w:val="00437CED"/>
    <w:rsid w:val="0044053D"/>
    <w:rsid w:val="00440E29"/>
    <w:rsid w:val="00442242"/>
    <w:rsid w:val="0044308C"/>
    <w:rsid w:val="004466E0"/>
    <w:rsid w:val="00450A79"/>
    <w:rsid w:val="00452393"/>
    <w:rsid w:val="00466D2F"/>
    <w:rsid w:val="00472C05"/>
    <w:rsid w:val="00473CFB"/>
    <w:rsid w:val="0047682B"/>
    <w:rsid w:val="004777ED"/>
    <w:rsid w:val="00480381"/>
    <w:rsid w:val="0048437C"/>
    <w:rsid w:val="00485C7E"/>
    <w:rsid w:val="00485CE1"/>
    <w:rsid w:val="00491C74"/>
    <w:rsid w:val="00495E5D"/>
    <w:rsid w:val="00496050"/>
    <w:rsid w:val="004A2677"/>
    <w:rsid w:val="004A4853"/>
    <w:rsid w:val="004A52A3"/>
    <w:rsid w:val="004A752C"/>
    <w:rsid w:val="004B00E2"/>
    <w:rsid w:val="004B10C9"/>
    <w:rsid w:val="004B12B5"/>
    <w:rsid w:val="004B4995"/>
    <w:rsid w:val="004B7683"/>
    <w:rsid w:val="004C20FF"/>
    <w:rsid w:val="004C5A46"/>
    <w:rsid w:val="004C6C72"/>
    <w:rsid w:val="004C70C2"/>
    <w:rsid w:val="004D0280"/>
    <w:rsid w:val="004D0B44"/>
    <w:rsid w:val="004D0E71"/>
    <w:rsid w:val="004D17D2"/>
    <w:rsid w:val="004D19C9"/>
    <w:rsid w:val="004D1DD4"/>
    <w:rsid w:val="004D30D8"/>
    <w:rsid w:val="004D6320"/>
    <w:rsid w:val="004E2D46"/>
    <w:rsid w:val="004E5B16"/>
    <w:rsid w:val="004E7B4F"/>
    <w:rsid w:val="00501122"/>
    <w:rsid w:val="0050186E"/>
    <w:rsid w:val="00502771"/>
    <w:rsid w:val="0050331B"/>
    <w:rsid w:val="005053D6"/>
    <w:rsid w:val="00505451"/>
    <w:rsid w:val="00506123"/>
    <w:rsid w:val="00506D49"/>
    <w:rsid w:val="00506ECC"/>
    <w:rsid w:val="00507809"/>
    <w:rsid w:val="00516F57"/>
    <w:rsid w:val="00523344"/>
    <w:rsid w:val="00525C84"/>
    <w:rsid w:val="005262EB"/>
    <w:rsid w:val="00531870"/>
    <w:rsid w:val="00532001"/>
    <w:rsid w:val="00532707"/>
    <w:rsid w:val="005373D3"/>
    <w:rsid w:val="00541BAD"/>
    <w:rsid w:val="005449E2"/>
    <w:rsid w:val="005463AA"/>
    <w:rsid w:val="005479D5"/>
    <w:rsid w:val="00551B84"/>
    <w:rsid w:val="00553ACA"/>
    <w:rsid w:val="00553D5F"/>
    <w:rsid w:val="00556322"/>
    <w:rsid w:val="0055792D"/>
    <w:rsid w:val="0056073B"/>
    <w:rsid w:val="00561DF8"/>
    <w:rsid w:val="005637A3"/>
    <w:rsid w:val="00563B20"/>
    <w:rsid w:val="005642CB"/>
    <w:rsid w:val="0056730C"/>
    <w:rsid w:val="005705FE"/>
    <w:rsid w:val="00570F4D"/>
    <w:rsid w:val="00573580"/>
    <w:rsid w:val="00573DA3"/>
    <w:rsid w:val="00574521"/>
    <w:rsid w:val="00576700"/>
    <w:rsid w:val="005774E3"/>
    <w:rsid w:val="00581DB7"/>
    <w:rsid w:val="00582A40"/>
    <w:rsid w:val="00583E8F"/>
    <w:rsid w:val="00585308"/>
    <w:rsid w:val="00585650"/>
    <w:rsid w:val="00587A98"/>
    <w:rsid w:val="00596BC0"/>
    <w:rsid w:val="00596BE5"/>
    <w:rsid w:val="0059764D"/>
    <w:rsid w:val="005A25DD"/>
    <w:rsid w:val="005A4C31"/>
    <w:rsid w:val="005A67B8"/>
    <w:rsid w:val="005A6DED"/>
    <w:rsid w:val="005B098B"/>
    <w:rsid w:val="005B6A5D"/>
    <w:rsid w:val="005B6E38"/>
    <w:rsid w:val="005C0225"/>
    <w:rsid w:val="005C6095"/>
    <w:rsid w:val="005C682D"/>
    <w:rsid w:val="005C7539"/>
    <w:rsid w:val="005D02C6"/>
    <w:rsid w:val="005D0541"/>
    <w:rsid w:val="005D1599"/>
    <w:rsid w:val="005D1AB3"/>
    <w:rsid w:val="005D2D60"/>
    <w:rsid w:val="005D77C4"/>
    <w:rsid w:val="005E4978"/>
    <w:rsid w:val="005E67CC"/>
    <w:rsid w:val="005E69EA"/>
    <w:rsid w:val="005E71BF"/>
    <w:rsid w:val="005E7BC4"/>
    <w:rsid w:val="005F03DC"/>
    <w:rsid w:val="005F3657"/>
    <w:rsid w:val="00600A15"/>
    <w:rsid w:val="0060199F"/>
    <w:rsid w:val="006033E3"/>
    <w:rsid w:val="006039A6"/>
    <w:rsid w:val="006124C7"/>
    <w:rsid w:val="006135FD"/>
    <w:rsid w:val="0061372C"/>
    <w:rsid w:val="00625484"/>
    <w:rsid w:val="00626B87"/>
    <w:rsid w:val="00630C87"/>
    <w:rsid w:val="006358CE"/>
    <w:rsid w:val="00635D04"/>
    <w:rsid w:val="00636070"/>
    <w:rsid w:val="006370E8"/>
    <w:rsid w:val="006403B6"/>
    <w:rsid w:val="00641C77"/>
    <w:rsid w:val="00643830"/>
    <w:rsid w:val="00644E5E"/>
    <w:rsid w:val="006451BA"/>
    <w:rsid w:val="00646271"/>
    <w:rsid w:val="00646A0B"/>
    <w:rsid w:val="00650B2D"/>
    <w:rsid w:val="00651AB7"/>
    <w:rsid w:val="006551A6"/>
    <w:rsid w:val="00655CDF"/>
    <w:rsid w:val="00657F21"/>
    <w:rsid w:val="00662729"/>
    <w:rsid w:val="00662DE1"/>
    <w:rsid w:val="0066468F"/>
    <w:rsid w:val="00671247"/>
    <w:rsid w:val="006733F4"/>
    <w:rsid w:val="006749E7"/>
    <w:rsid w:val="00680608"/>
    <w:rsid w:val="00682CD6"/>
    <w:rsid w:val="0068386A"/>
    <w:rsid w:val="00685E45"/>
    <w:rsid w:val="00685F45"/>
    <w:rsid w:val="006866AA"/>
    <w:rsid w:val="00690DD8"/>
    <w:rsid w:val="00694233"/>
    <w:rsid w:val="00694282"/>
    <w:rsid w:val="00694397"/>
    <w:rsid w:val="00695124"/>
    <w:rsid w:val="006A10CF"/>
    <w:rsid w:val="006B021E"/>
    <w:rsid w:val="006B2FF5"/>
    <w:rsid w:val="006B58BC"/>
    <w:rsid w:val="006B70B6"/>
    <w:rsid w:val="006C0FF9"/>
    <w:rsid w:val="006C2D2F"/>
    <w:rsid w:val="006C6C92"/>
    <w:rsid w:val="006C7D0A"/>
    <w:rsid w:val="006D3D84"/>
    <w:rsid w:val="006D470C"/>
    <w:rsid w:val="006E0E33"/>
    <w:rsid w:val="006E4062"/>
    <w:rsid w:val="006F03EB"/>
    <w:rsid w:val="006F0C9B"/>
    <w:rsid w:val="006F6457"/>
    <w:rsid w:val="0070074B"/>
    <w:rsid w:val="00703EEB"/>
    <w:rsid w:val="00712547"/>
    <w:rsid w:val="00713BE9"/>
    <w:rsid w:val="00713D53"/>
    <w:rsid w:val="00714A0E"/>
    <w:rsid w:val="007155D3"/>
    <w:rsid w:val="0072133D"/>
    <w:rsid w:val="007253D5"/>
    <w:rsid w:val="007315BA"/>
    <w:rsid w:val="007317A4"/>
    <w:rsid w:val="00732D3D"/>
    <w:rsid w:val="00734469"/>
    <w:rsid w:val="00734503"/>
    <w:rsid w:val="00737CC4"/>
    <w:rsid w:val="00742537"/>
    <w:rsid w:val="007652A4"/>
    <w:rsid w:val="00767931"/>
    <w:rsid w:val="00767B23"/>
    <w:rsid w:val="00767B69"/>
    <w:rsid w:val="00770115"/>
    <w:rsid w:val="007712F7"/>
    <w:rsid w:val="00774422"/>
    <w:rsid w:val="007745EF"/>
    <w:rsid w:val="007756C4"/>
    <w:rsid w:val="00783189"/>
    <w:rsid w:val="00783A60"/>
    <w:rsid w:val="00784059"/>
    <w:rsid w:val="007851CA"/>
    <w:rsid w:val="00786B2B"/>
    <w:rsid w:val="007902C0"/>
    <w:rsid w:val="00792DCE"/>
    <w:rsid w:val="007934BC"/>
    <w:rsid w:val="00794981"/>
    <w:rsid w:val="007968C9"/>
    <w:rsid w:val="007978E0"/>
    <w:rsid w:val="007A25BB"/>
    <w:rsid w:val="007A280D"/>
    <w:rsid w:val="007A2F18"/>
    <w:rsid w:val="007A39E5"/>
    <w:rsid w:val="007A5B70"/>
    <w:rsid w:val="007B0347"/>
    <w:rsid w:val="007B231D"/>
    <w:rsid w:val="007B2424"/>
    <w:rsid w:val="007B39B8"/>
    <w:rsid w:val="007B3A8B"/>
    <w:rsid w:val="007B7022"/>
    <w:rsid w:val="007C36CB"/>
    <w:rsid w:val="007C4D3E"/>
    <w:rsid w:val="007C581D"/>
    <w:rsid w:val="007C59B4"/>
    <w:rsid w:val="007C715F"/>
    <w:rsid w:val="007D055F"/>
    <w:rsid w:val="007D0F52"/>
    <w:rsid w:val="007D42FD"/>
    <w:rsid w:val="007D70AC"/>
    <w:rsid w:val="007E0DBB"/>
    <w:rsid w:val="007E4CFD"/>
    <w:rsid w:val="007E5707"/>
    <w:rsid w:val="007E6BC7"/>
    <w:rsid w:val="007F4B02"/>
    <w:rsid w:val="007F6BD8"/>
    <w:rsid w:val="007F7493"/>
    <w:rsid w:val="007F7732"/>
    <w:rsid w:val="00800A1B"/>
    <w:rsid w:val="00802841"/>
    <w:rsid w:val="00802DBA"/>
    <w:rsid w:val="0080478C"/>
    <w:rsid w:val="00805DF7"/>
    <w:rsid w:val="008113EA"/>
    <w:rsid w:val="008123D9"/>
    <w:rsid w:val="0081254B"/>
    <w:rsid w:val="00814C84"/>
    <w:rsid w:val="00820CB1"/>
    <w:rsid w:val="008243A6"/>
    <w:rsid w:val="00824991"/>
    <w:rsid w:val="00825724"/>
    <w:rsid w:val="008339D5"/>
    <w:rsid w:val="008354CB"/>
    <w:rsid w:val="0084007B"/>
    <w:rsid w:val="00841004"/>
    <w:rsid w:val="00841A26"/>
    <w:rsid w:val="00847E5C"/>
    <w:rsid w:val="00854A95"/>
    <w:rsid w:val="0085537F"/>
    <w:rsid w:val="0085565A"/>
    <w:rsid w:val="00855C63"/>
    <w:rsid w:val="00856190"/>
    <w:rsid w:val="008569D7"/>
    <w:rsid w:val="00864D70"/>
    <w:rsid w:val="00867B3C"/>
    <w:rsid w:val="008720CA"/>
    <w:rsid w:val="00874FE6"/>
    <w:rsid w:val="00876B60"/>
    <w:rsid w:val="00876C50"/>
    <w:rsid w:val="0087702A"/>
    <w:rsid w:val="0088049E"/>
    <w:rsid w:val="00881D48"/>
    <w:rsid w:val="00881F16"/>
    <w:rsid w:val="008821D8"/>
    <w:rsid w:val="00885232"/>
    <w:rsid w:val="008865B4"/>
    <w:rsid w:val="008866F8"/>
    <w:rsid w:val="00890944"/>
    <w:rsid w:val="00894670"/>
    <w:rsid w:val="00895374"/>
    <w:rsid w:val="008A5611"/>
    <w:rsid w:val="008B2ECA"/>
    <w:rsid w:val="008B3766"/>
    <w:rsid w:val="008C2864"/>
    <w:rsid w:val="008C32DE"/>
    <w:rsid w:val="008C4CB7"/>
    <w:rsid w:val="008C64D2"/>
    <w:rsid w:val="008C7A13"/>
    <w:rsid w:val="008D0D05"/>
    <w:rsid w:val="008D257A"/>
    <w:rsid w:val="008D5FF3"/>
    <w:rsid w:val="008D7D9A"/>
    <w:rsid w:val="008E0BF3"/>
    <w:rsid w:val="008E2207"/>
    <w:rsid w:val="008E411A"/>
    <w:rsid w:val="008F08C8"/>
    <w:rsid w:val="008F10E7"/>
    <w:rsid w:val="008F14BF"/>
    <w:rsid w:val="008F5020"/>
    <w:rsid w:val="00902359"/>
    <w:rsid w:val="00903A40"/>
    <w:rsid w:val="0090429D"/>
    <w:rsid w:val="009047BB"/>
    <w:rsid w:val="00906EC5"/>
    <w:rsid w:val="00915E49"/>
    <w:rsid w:val="00921481"/>
    <w:rsid w:val="00921A4E"/>
    <w:rsid w:val="00921F7A"/>
    <w:rsid w:val="00925BE5"/>
    <w:rsid w:val="0092643D"/>
    <w:rsid w:val="00931E4A"/>
    <w:rsid w:val="0093203E"/>
    <w:rsid w:val="0093246E"/>
    <w:rsid w:val="009366DD"/>
    <w:rsid w:val="0094250D"/>
    <w:rsid w:val="00942BD3"/>
    <w:rsid w:val="009462D9"/>
    <w:rsid w:val="00961110"/>
    <w:rsid w:val="009642D5"/>
    <w:rsid w:val="00964945"/>
    <w:rsid w:val="00975947"/>
    <w:rsid w:val="00990AC6"/>
    <w:rsid w:val="00991180"/>
    <w:rsid w:val="00996921"/>
    <w:rsid w:val="00997752"/>
    <w:rsid w:val="009A1B53"/>
    <w:rsid w:val="009A29D0"/>
    <w:rsid w:val="009A7AED"/>
    <w:rsid w:val="009B10B4"/>
    <w:rsid w:val="009B27FF"/>
    <w:rsid w:val="009B417E"/>
    <w:rsid w:val="009B4E56"/>
    <w:rsid w:val="009B6212"/>
    <w:rsid w:val="009B642B"/>
    <w:rsid w:val="009C305B"/>
    <w:rsid w:val="009C5133"/>
    <w:rsid w:val="009C57CC"/>
    <w:rsid w:val="009D2719"/>
    <w:rsid w:val="009D4940"/>
    <w:rsid w:val="009D4C5B"/>
    <w:rsid w:val="009E2E49"/>
    <w:rsid w:val="009E5E41"/>
    <w:rsid w:val="009F4008"/>
    <w:rsid w:val="009F4F0E"/>
    <w:rsid w:val="00A043BB"/>
    <w:rsid w:val="00A0589A"/>
    <w:rsid w:val="00A06EA1"/>
    <w:rsid w:val="00A11938"/>
    <w:rsid w:val="00A14699"/>
    <w:rsid w:val="00A17D02"/>
    <w:rsid w:val="00A17D68"/>
    <w:rsid w:val="00A20883"/>
    <w:rsid w:val="00A2136F"/>
    <w:rsid w:val="00A221E9"/>
    <w:rsid w:val="00A23336"/>
    <w:rsid w:val="00A23593"/>
    <w:rsid w:val="00A24C69"/>
    <w:rsid w:val="00A25251"/>
    <w:rsid w:val="00A26CFB"/>
    <w:rsid w:val="00A30B56"/>
    <w:rsid w:val="00A31476"/>
    <w:rsid w:val="00A3210B"/>
    <w:rsid w:val="00A32CF5"/>
    <w:rsid w:val="00A36826"/>
    <w:rsid w:val="00A375D3"/>
    <w:rsid w:val="00A407AB"/>
    <w:rsid w:val="00A41650"/>
    <w:rsid w:val="00A4213B"/>
    <w:rsid w:val="00A476F8"/>
    <w:rsid w:val="00A57A83"/>
    <w:rsid w:val="00A60476"/>
    <w:rsid w:val="00A67A3E"/>
    <w:rsid w:val="00A74C55"/>
    <w:rsid w:val="00A77E8E"/>
    <w:rsid w:val="00A818BE"/>
    <w:rsid w:val="00A83347"/>
    <w:rsid w:val="00A83BA2"/>
    <w:rsid w:val="00A848D8"/>
    <w:rsid w:val="00A84BB1"/>
    <w:rsid w:val="00A8526E"/>
    <w:rsid w:val="00A85E1D"/>
    <w:rsid w:val="00A86EEE"/>
    <w:rsid w:val="00A908C8"/>
    <w:rsid w:val="00A922E2"/>
    <w:rsid w:val="00A9264D"/>
    <w:rsid w:val="00AA14CB"/>
    <w:rsid w:val="00AA5622"/>
    <w:rsid w:val="00AA5DF3"/>
    <w:rsid w:val="00AB79FA"/>
    <w:rsid w:val="00AC0F04"/>
    <w:rsid w:val="00AC4AF3"/>
    <w:rsid w:val="00AC6411"/>
    <w:rsid w:val="00AC7887"/>
    <w:rsid w:val="00AD25A0"/>
    <w:rsid w:val="00AD4252"/>
    <w:rsid w:val="00AD5E1F"/>
    <w:rsid w:val="00AE05EA"/>
    <w:rsid w:val="00AE7065"/>
    <w:rsid w:val="00AE7AF4"/>
    <w:rsid w:val="00AF6062"/>
    <w:rsid w:val="00AF7093"/>
    <w:rsid w:val="00B020D0"/>
    <w:rsid w:val="00B0365B"/>
    <w:rsid w:val="00B06E74"/>
    <w:rsid w:val="00B12C95"/>
    <w:rsid w:val="00B32436"/>
    <w:rsid w:val="00B32A8C"/>
    <w:rsid w:val="00B36057"/>
    <w:rsid w:val="00B37FBF"/>
    <w:rsid w:val="00B40BB8"/>
    <w:rsid w:val="00B4323B"/>
    <w:rsid w:val="00B514B2"/>
    <w:rsid w:val="00B55F79"/>
    <w:rsid w:val="00B568BE"/>
    <w:rsid w:val="00B56B3D"/>
    <w:rsid w:val="00B57E84"/>
    <w:rsid w:val="00B607DC"/>
    <w:rsid w:val="00B616DA"/>
    <w:rsid w:val="00B75443"/>
    <w:rsid w:val="00B760F8"/>
    <w:rsid w:val="00B767EE"/>
    <w:rsid w:val="00B824AC"/>
    <w:rsid w:val="00B84E89"/>
    <w:rsid w:val="00B8550D"/>
    <w:rsid w:val="00B87D2F"/>
    <w:rsid w:val="00B92BB5"/>
    <w:rsid w:val="00B933B3"/>
    <w:rsid w:val="00B95B9B"/>
    <w:rsid w:val="00B96C47"/>
    <w:rsid w:val="00BA071A"/>
    <w:rsid w:val="00BA16AB"/>
    <w:rsid w:val="00BA1EF5"/>
    <w:rsid w:val="00BA2906"/>
    <w:rsid w:val="00BA4BDD"/>
    <w:rsid w:val="00BA4C94"/>
    <w:rsid w:val="00BA5000"/>
    <w:rsid w:val="00BB1E23"/>
    <w:rsid w:val="00BB3F89"/>
    <w:rsid w:val="00BC15B1"/>
    <w:rsid w:val="00BC1ADD"/>
    <w:rsid w:val="00BC3F3A"/>
    <w:rsid w:val="00BC55F8"/>
    <w:rsid w:val="00BC5721"/>
    <w:rsid w:val="00BC5FE8"/>
    <w:rsid w:val="00BC62D5"/>
    <w:rsid w:val="00BC6B55"/>
    <w:rsid w:val="00BD1A47"/>
    <w:rsid w:val="00BD467C"/>
    <w:rsid w:val="00BD485E"/>
    <w:rsid w:val="00BD4FB9"/>
    <w:rsid w:val="00BD5025"/>
    <w:rsid w:val="00BD5517"/>
    <w:rsid w:val="00BD6952"/>
    <w:rsid w:val="00BE002B"/>
    <w:rsid w:val="00BE038A"/>
    <w:rsid w:val="00BE28D5"/>
    <w:rsid w:val="00BE353F"/>
    <w:rsid w:val="00BE4160"/>
    <w:rsid w:val="00BE638F"/>
    <w:rsid w:val="00BE6F8E"/>
    <w:rsid w:val="00BF0C50"/>
    <w:rsid w:val="00BF33E7"/>
    <w:rsid w:val="00BF3670"/>
    <w:rsid w:val="00BF5FA5"/>
    <w:rsid w:val="00C01753"/>
    <w:rsid w:val="00C03329"/>
    <w:rsid w:val="00C05096"/>
    <w:rsid w:val="00C05B68"/>
    <w:rsid w:val="00C07775"/>
    <w:rsid w:val="00C16C0D"/>
    <w:rsid w:val="00C17808"/>
    <w:rsid w:val="00C22817"/>
    <w:rsid w:val="00C30C5E"/>
    <w:rsid w:val="00C3120C"/>
    <w:rsid w:val="00C324E7"/>
    <w:rsid w:val="00C36202"/>
    <w:rsid w:val="00C4106F"/>
    <w:rsid w:val="00C429C1"/>
    <w:rsid w:val="00C53CF3"/>
    <w:rsid w:val="00C55DDB"/>
    <w:rsid w:val="00C6474F"/>
    <w:rsid w:val="00C66B90"/>
    <w:rsid w:val="00C6778A"/>
    <w:rsid w:val="00C679A9"/>
    <w:rsid w:val="00C7067E"/>
    <w:rsid w:val="00C70759"/>
    <w:rsid w:val="00C74B8B"/>
    <w:rsid w:val="00C80A95"/>
    <w:rsid w:val="00C826F4"/>
    <w:rsid w:val="00C8518D"/>
    <w:rsid w:val="00C8569C"/>
    <w:rsid w:val="00C92BDD"/>
    <w:rsid w:val="00C92E24"/>
    <w:rsid w:val="00C93058"/>
    <w:rsid w:val="00C947F5"/>
    <w:rsid w:val="00C96A55"/>
    <w:rsid w:val="00CA43F8"/>
    <w:rsid w:val="00CB1CCE"/>
    <w:rsid w:val="00CB355A"/>
    <w:rsid w:val="00CB452B"/>
    <w:rsid w:val="00CB49F5"/>
    <w:rsid w:val="00CB6370"/>
    <w:rsid w:val="00CC6D3D"/>
    <w:rsid w:val="00CD1F16"/>
    <w:rsid w:val="00CD4214"/>
    <w:rsid w:val="00CD5F52"/>
    <w:rsid w:val="00CD69EA"/>
    <w:rsid w:val="00CD7174"/>
    <w:rsid w:val="00CE01AD"/>
    <w:rsid w:val="00CE395C"/>
    <w:rsid w:val="00CE5B6F"/>
    <w:rsid w:val="00CE5BC8"/>
    <w:rsid w:val="00CE5D85"/>
    <w:rsid w:val="00CF1D84"/>
    <w:rsid w:val="00CF5F74"/>
    <w:rsid w:val="00D01597"/>
    <w:rsid w:val="00D0189B"/>
    <w:rsid w:val="00D0338E"/>
    <w:rsid w:val="00D0451F"/>
    <w:rsid w:val="00D1220B"/>
    <w:rsid w:val="00D12ADF"/>
    <w:rsid w:val="00D14688"/>
    <w:rsid w:val="00D147D1"/>
    <w:rsid w:val="00D15227"/>
    <w:rsid w:val="00D15DCB"/>
    <w:rsid w:val="00D15EBA"/>
    <w:rsid w:val="00D2235B"/>
    <w:rsid w:val="00D23BCA"/>
    <w:rsid w:val="00D25995"/>
    <w:rsid w:val="00D30496"/>
    <w:rsid w:val="00D310C0"/>
    <w:rsid w:val="00D31BAC"/>
    <w:rsid w:val="00D32343"/>
    <w:rsid w:val="00D32E8C"/>
    <w:rsid w:val="00D34C77"/>
    <w:rsid w:val="00D34FAA"/>
    <w:rsid w:val="00D363C4"/>
    <w:rsid w:val="00D36872"/>
    <w:rsid w:val="00D454D4"/>
    <w:rsid w:val="00D47A6F"/>
    <w:rsid w:val="00D51140"/>
    <w:rsid w:val="00D52FE2"/>
    <w:rsid w:val="00D557DF"/>
    <w:rsid w:val="00D55C8B"/>
    <w:rsid w:val="00D56A08"/>
    <w:rsid w:val="00D56A7D"/>
    <w:rsid w:val="00D57C84"/>
    <w:rsid w:val="00D6055B"/>
    <w:rsid w:val="00D63C00"/>
    <w:rsid w:val="00D70528"/>
    <w:rsid w:val="00D730DC"/>
    <w:rsid w:val="00D735A5"/>
    <w:rsid w:val="00D76C44"/>
    <w:rsid w:val="00D7759B"/>
    <w:rsid w:val="00D803F9"/>
    <w:rsid w:val="00D81C65"/>
    <w:rsid w:val="00D82ECA"/>
    <w:rsid w:val="00D87022"/>
    <w:rsid w:val="00D90A8C"/>
    <w:rsid w:val="00D91B2B"/>
    <w:rsid w:val="00D9391D"/>
    <w:rsid w:val="00D94FE1"/>
    <w:rsid w:val="00DA04AA"/>
    <w:rsid w:val="00DA173D"/>
    <w:rsid w:val="00DA30BF"/>
    <w:rsid w:val="00DA421A"/>
    <w:rsid w:val="00DA6C14"/>
    <w:rsid w:val="00DA76DE"/>
    <w:rsid w:val="00DA79A0"/>
    <w:rsid w:val="00DB062C"/>
    <w:rsid w:val="00DB131F"/>
    <w:rsid w:val="00DB1552"/>
    <w:rsid w:val="00DC2120"/>
    <w:rsid w:val="00DC407C"/>
    <w:rsid w:val="00DC411F"/>
    <w:rsid w:val="00DC62F1"/>
    <w:rsid w:val="00DD1BD3"/>
    <w:rsid w:val="00DE483E"/>
    <w:rsid w:val="00DE7B33"/>
    <w:rsid w:val="00DF0848"/>
    <w:rsid w:val="00DF0AC9"/>
    <w:rsid w:val="00DF3B29"/>
    <w:rsid w:val="00DF651B"/>
    <w:rsid w:val="00DF6A6C"/>
    <w:rsid w:val="00E072CC"/>
    <w:rsid w:val="00E1172E"/>
    <w:rsid w:val="00E118B9"/>
    <w:rsid w:val="00E21401"/>
    <w:rsid w:val="00E21A29"/>
    <w:rsid w:val="00E252BE"/>
    <w:rsid w:val="00E25933"/>
    <w:rsid w:val="00E25E31"/>
    <w:rsid w:val="00E3052E"/>
    <w:rsid w:val="00E32574"/>
    <w:rsid w:val="00E43A60"/>
    <w:rsid w:val="00E4461C"/>
    <w:rsid w:val="00E459BA"/>
    <w:rsid w:val="00E4666B"/>
    <w:rsid w:val="00E46B38"/>
    <w:rsid w:val="00E501E2"/>
    <w:rsid w:val="00E52667"/>
    <w:rsid w:val="00E541FF"/>
    <w:rsid w:val="00E54A87"/>
    <w:rsid w:val="00E557FB"/>
    <w:rsid w:val="00E55ECD"/>
    <w:rsid w:val="00E564A0"/>
    <w:rsid w:val="00E62BA2"/>
    <w:rsid w:val="00E645DC"/>
    <w:rsid w:val="00E647D6"/>
    <w:rsid w:val="00E64FF4"/>
    <w:rsid w:val="00E65004"/>
    <w:rsid w:val="00E715FF"/>
    <w:rsid w:val="00E74608"/>
    <w:rsid w:val="00E77F03"/>
    <w:rsid w:val="00E9082D"/>
    <w:rsid w:val="00E90B28"/>
    <w:rsid w:val="00E913BE"/>
    <w:rsid w:val="00E91741"/>
    <w:rsid w:val="00E954E6"/>
    <w:rsid w:val="00E9679D"/>
    <w:rsid w:val="00EA08CD"/>
    <w:rsid w:val="00EA1DAC"/>
    <w:rsid w:val="00EA1FD2"/>
    <w:rsid w:val="00EA3516"/>
    <w:rsid w:val="00EA3A87"/>
    <w:rsid w:val="00EA58D2"/>
    <w:rsid w:val="00EA5B10"/>
    <w:rsid w:val="00EA6AEC"/>
    <w:rsid w:val="00EB3D04"/>
    <w:rsid w:val="00EB5569"/>
    <w:rsid w:val="00EB77CF"/>
    <w:rsid w:val="00EC09E1"/>
    <w:rsid w:val="00EC2F15"/>
    <w:rsid w:val="00EC422D"/>
    <w:rsid w:val="00EC7373"/>
    <w:rsid w:val="00ED00CB"/>
    <w:rsid w:val="00ED157B"/>
    <w:rsid w:val="00ED1EE7"/>
    <w:rsid w:val="00ED32F1"/>
    <w:rsid w:val="00ED6468"/>
    <w:rsid w:val="00ED69B4"/>
    <w:rsid w:val="00EE0782"/>
    <w:rsid w:val="00EE3560"/>
    <w:rsid w:val="00EE4693"/>
    <w:rsid w:val="00EE5894"/>
    <w:rsid w:val="00EE660A"/>
    <w:rsid w:val="00EE7EC4"/>
    <w:rsid w:val="00EF4B05"/>
    <w:rsid w:val="00EF656D"/>
    <w:rsid w:val="00F024FD"/>
    <w:rsid w:val="00F0298D"/>
    <w:rsid w:val="00F0511E"/>
    <w:rsid w:val="00F059E4"/>
    <w:rsid w:val="00F074CC"/>
    <w:rsid w:val="00F10B19"/>
    <w:rsid w:val="00F1275E"/>
    <w:rsid w:val="00F1289F"/>
    <w:rsid w:val="00F13F46"/>
    <w:rsid w:val="00F20433"/>
    <w:rsid w:val="00F24BF8"/>
    <w:rsid w:val="00F271F9"/>
    <w:rsid w:val="00F27D3A"/>
    <w:rsid w:val="00F333DB"/>
    <w:rsid w:val="00F360AF"/>
    <w:rsid w:val="00F36C5C"/>
    <w:rsid w:val="00F375F5"/>
    <w:rsid w:val="00F37910"/>
    <w:rsid w:val="00F4044B"/>
    <w:rsid w:val="00F43235"/>
    <w:rsid w:val="00F44694"/>
    <w:rsid w:val="00F448C3"/>
    <w:rsid w:val="00F5175C"/>
    <w:rsid w:val="00F523EF"/>
    <w:rsid w:val="00F52E54"/>
    <w:rsid w:val="00F60824"/>
    <w:rsid w:val="00F610C0"/>
    <w:rsid w:val="00F666B4"/>
    <w:rsid w:val="00F6765F"/>
    <w:rsid w:val="00F70B03"/>
    <w:rsid w:val="00F71FE1"/>
    <w:rsid w:val="00F72424"/>
    <w:rsid w:val="00F724CB"/>
    <w:rsid w:val="00F72982"/>
    <w:rsid w:val="00F76E5A"/>
    <w:rsid w:val="00F7789E"/>
    <w:rsid w:val="00F813F3"/>
    <w:rsid w:val="00F81A13"/>
    <w:rsid w:val="00F82C47"/>
    <w:rsid w:val="00F8308A"/>
    <w:rsid w:val="00F83DBF"/>
    <w:rsid w:val="00F849BA"/>
    <w:rsid w:val="00F86C40"/>
    <w:rsid w:val="00F9205F"/>
    <w:rsid w:val="00F96EC8"/>
    <w:rsid w:val="00FA146E"/>
    <w:rsid w:val="00FA6C71"/>
    <w:rsid w:val="00FA6FC0"/>
    <w:rsid w:val="00FA70CC"/>
    <w:rsid w:val="00FB0DFE"/>
    <w:rsid w:val="00FB234C"/>
    <w:rsid w:val="00FB3C9B"/>
    <w:rsid w:val="00FB452B"/>
    <w:rsid w:val="00FB46EF"/>
    <w:rsid w:val="00FB4E4A"/>
    <w:rsid w:val="00FB6F1F"/>
    <w:rsid w:val="00FC1A04"/>
    <w:rsid w:val="00FC469F"/>
    <w:rsid w:val="00FC59D0"/>
    <w:rsid w:val="00FC5A51"/>
    <w:rsid w:val="00FD1065"/>
    <w:rsid w:val="00FD137C"/>
    <w:rsid w:val="00FD3F44"/>
    <w:rsid w:val="00FD44A5"/>
    <w:rsid w:val="00FD5AD5"/>
    <w:rsid w:val="00FE0A22"/>
    <w:rsid w:val="00FE0EA2"/>
    <w:rsid w:val="00FE1BC7"/>
    <w:rsid w:val="00FE24AC"/>
    <w:rsid w:val="00FE45BA"/>
    <w:rsid w:val="00FE46CF"/>
    <w:rsid w:val="00FE5585"/>
    <w:rsid w:val="00FE646D"/>
    <w:rsid w:val="00FE77E8"/>
    <w:rsid w:val="00FE7A27"/>
    <w:rsid w:val="00FE7D48"/>
    <w:rsid w:val="00FF09B0"/>
    <w:rsid w:val="00FF1546"/>
    <w:rsid w:val="00FF158D"/>
    <w:rsid w:val="00FF23D3"/>
    <w:rsid w:val="00FF3BFD"/>
    <w:rsid w:val="00FF65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3E238"/>
  <w15:docId w15:val="{91C702D9-548A-46A2-8ABA-DA68B770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74"/>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895374"/>
    <w:pPr>
      <w:spacing w:before="58" w:after="58"/>
      <w:ind w:firstLine="288"/>
      <w:jc w:val="both"/>
    </w:pPr>
  </w:style>
  <w:style w:type="paragraph" w:customStyle="1" w:styleId="naiskr">
    <w:name w:val="naiskr"/>
    <w:basedOn w:val="Normal"/>
    <w:rsid w:val="00895374"/>
    <w:pPr>
      <w:spacing w:before="58" w:after="58"/>
    </w:pPr>
  </w:style>
  <w:style w:type="paragraph" w:customStyle="1" w:styleId="naisc">
    <w:name w:val="naisc"/>
    <w:basedOn w:val="Normal"/>
    <w:rsid w:val="00895374"/>
    <w:pPr>
      <w:spacing w:before="58" w:after="58"/>
      <w:jc w:val="center"/>
    </w:pPr>
  </w:style>
  <w:style w:type="character" w:styleId="Hyperlink">
    <w:name w:val="Hyperlink"/>
    <w:rsid w:val="00895374"/>
    <w:rPr>
      <w:color w:val="0000FF"/>
      <w:u w:val="single"/>
    </w:rPr>
  </w:style>
  <w:style w:type="paragraph" w:styleId="NormalWeb">
    <w:name w:val="Normal (Web)"/>
    <w:basedOn w:val="Normal"/>
    <w:rsid w:val="00895374"/>
    <w:pPr>
      <w:spacing w:before="100" w:beforeAutospacing="1" w:after="100" w:afterAutospacing="1"/>
    </w:pPr>
    <w:rPr>
      <w:rFonts w:eastAsia="Arial Unicode MS"/>
      <w:lang w:val="en-GB" w:eastAsia="en-US"/>
    </w:rPr>
  </w:style>
  <w:style w:type="paragraph" w:styleId="Header">
    <w:name w:val="header"/>
    <w:basedOn w:val="Normal"/>
    <w:link w:val="HeaderChar"/>
    <w:uiPriority w:val="99"/>
    <w:unhideWhenUsed/>
    <w:rsid w:val="006451BA"/>
    <w:pPr>
      <w:tabs>
        <w:tab w:val="center" w:pos="4153"/>
        <w:tab w:val="right" w:pos="8306"/>
      </w:tabs>
    </w:pPr>
  </w:style>
  <w:style w:type="character" w:customStyle="1" w:styleId="HeaderChar">
    <w:name w:val="Header Char"/>
    <w:basedOn w:val="DefaultParagraphFont"/>
    <w:link w:val="Header"/>
    <w:uiPriority w:val="99"/>
    <w:rsid w:val="006451BA"/>
    <w:rPr>
      <w:rFonts w:ascii="Times New Roman" w:eastAsia="Times New Roman" w:hAnsi="Times New Roman" w:cs="Times New Roman"/>
      <w:sz w:val="24"/>
      <w:szCs w:val="24"/>
      <w:lang w:val="lv-LV" w:eastAsia="lv-LV"/>
    </w:rPr>
  </w:style>
  <w:style w:type="paragraph" w:styleId="Footer">
    <w:name w:val="footer"/>
    <w:basedOn w:val="Normal"/>
    <w:link w:val="FooterChar"/>
    <w:unhideWhenUsed/>
    <w:rsid w:val="006451BA"/>
    <w:pPr>
      <w:tabs>
        <w:tab w:val="center" w:pos="4153"/>
        <w:tab w:val="right" w:pos="8306"/>
      </w:tabs>
    </w:pPr>
  </w:style>
  <w:style w:type="character" w:customStyle="1" w:styleId="FooterChar">
    <w:name w:val="Footer Char"/>
    <w:basedOn w:val="DefaultParagraphFont"/>
    <w:link w:val="Footer"/>
    <w:rsid w:val="006451BA"/>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876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50"/>
    <w:rPr>
      <w:rFonts w:ascii="Segoe UI" w:eastAsia="Times New Roman" w:hAnsi="Segoe UI" w:cs="Segoe UI"/>
      <w:sz w:val="18"/>
      <w:szCs w:val="18"/>
      <w:lang w:val="lv-LV" w:eastAsia="lv-LV"/>
    </w:rPr>
  </w:style>
  <w:style w:type="paragraph" w:styleId="ListParagraph">
    <w:name w:val="List Paragraph"/>
    <w:aliases w:val="H&amp;P List Paragraph,2"/>
    <w:basedOn w:val="Normal"/>
    <w:link w:val="ListParagraphChar"/>
    <w:uiPriority w:val="34"/>
    <w:qFormat/>
    <w:rsid w:val="00FE0A22"/>
    <w:pPr>
      <w:ind w:left="720"/>
      <w:contextualSpacing/>
    </w:pPr>
  </w:style>
  <w:style w:type="character" w:styleId="Strong">
    <w:name w:val="Strong"/>
    <w:basedOn w:val="DefaultParagraphFont"/>
    <w:uiPriority w:val="22"/>
    <w:qFormat/>
    <w:rsid w:val="00F059E4"/>
    <w:rPr>
      <w:b/>
      <w:bCs/>
    </w:rPr>
  </w:style>
  <w:style w:type="character" w:customStyle="1" w:styleId="apple-converted-space">
    <w:name w:val="apple-converted-space"/>
    <w:basedOn w:val="DefaultParagraphFont"/>
    <w:rsid w:val="00F059E4"/>
  </w:style>
  <w:style w:type="character" w:styleId="Emphasis">
    <w:name w:val="Emphasis"/>
    <w:basedOn w:val="DefaultParagraphFont"/>
    <w:uiPriority w:val="20"/>
    <w:qFormat/>
    <w:rsid w:val="00F059E4"/>
    <w:rPr>
      <w:i/>
      <w:iCs/>
    </w:rPr>
  </w:style>
  <w:style w:type="paragraph" w:styleId="NoSpacing">
    <w:name w:val="No Spacing"/>
    <w:qFormat/>
    <w:rsid w:val="00193CB0"/>
    <w:pPr>
      <w:spacing w:after="0" w:line="240" w:lineRule="auto"/>
    </w:pPr>
    <w:rPr>
      <w:rFonts w:ascii="Times New Roman" w:eastAsia="Calibri" w:hAnsi="Times New Roman" w:cs="Times New Roman"/>
      <w:sz w:val="20"/>
      <w:szCs w:val="20"/>
      <w:lang w:val="lv-LV"/>
    </w:rPr>
  </w:style>
  <w:style w:type="character" w:styleId="CommentReference">
    <w:name w:val="annotation reference"/>
    <w:basedOn w:val="DefaultParagraphFont"/>
    <w:uiPriority w:val="99"/>
    <w:semiHidden/>
    <w:unhideWhenUsed/>
    <w:rsid w:val="005A25DD"/>
    <w:rPr>
      <w:sz w:val="16"/>
      <w:szCs w:val="16"/>
    </w:rPr>
  </w:style>
  <w:style w:type="paragraph" w:styleId="CommentText">
    <w:name w:val="annotation text"/>
    <w:basedOn w:val="Normal"/>
    <w:link w:val="CommentTextChar"/>
    <w:uiPriority w:val="99"/>
    <w:semiHidden/>
    <w:unhideWhenUsed/>
    <w:rsid w:val="005A25DD"/>
    <w:rPr>
      <w:sz w:val="20"/>
      <w:szCs w:val="20"/>
    </w:rPr>
  </w:style>
  <w:style w:type="character" w:customStyle="1" w:styleId="CommentTextChar">
    <w:name w:val="Comment Text Char"/>
    <w:basedOn w:val="DefaultParagraphFont"/>
    <w:link w:val="CommentText"/>
    <w:uiPriority w:val="99"/>
    <w:semiHidden/>
    <w:rsid w:val="005A25DD"/>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551B84"/>
    <w:rPr>
      <w:b/>
      <w:bCs/>
    </w:rPr>
  </w:style>
  <w:style w:type="character" w:customStyle="1" w:styleId="CommentSubjectChar">
    <w:name w:val="Comment Subject Char"/>
    <w:basedOn w:val="CommentTextChar"/>
    <w:link w:val="CommentSubject"/>
    <w:uiPriority w:val="99"/>
    <w:semiHidden/>
    <w:rsid w:val="00551B84"/>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5449E2"/>
    <w:pPr>
      <w:spacing w:after="0" w:line="240" w:lineRule="auto"/>
    </w:pPr>
    <w:rPr>
      <w:rFonts w:ascii="Times New Roman" w:eastAsia="Times New Roman" w:hAnsi="Times New Roman" w:cs="Times New Roman"/>
      <w:sz w:val="24"/>
      <w:szCs w:val="24"/>
      <w:lang w:val="lv-LV" w:eastAsia="lv-LV"/>
    </w:rPr>
  </w:style>
  <w:style w:type="table" w:styleId="TableGrid">
    <w:name w:val="Table Grid"/>
    <w:basedOn w:val="TableNormal"/>
    <w:rsid w:val="005A67B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B0347"/>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841004"/>
    <w:rPr>
      <w:color w:val="954F72" w:themeColor="followedHyperlink"/>
      <w:u w:val="single"/>
    </w:rPr>
  </w:style>
  <w:style w:type="paragraph" w:customStyle="1" w:styleId="Default">
    <w:name w:val="Default"/>
    <w:rsid w:val="00065C3F"/>
    <w:pPr>
      <w:autoSpaceDE w:val="0"/>
      <w:autoSpaceDN w:val="0"/>
      <w:adjustRightInd w:val="0"/>
      <w:spacing w:after="0" w:line="240" w:lineRule="auto"/>
    </w:pPr>
    <w:rPr>
      <w:rFonts w:ascii="EUAlbertina" w:hAnsi="EUAlbertina" w:cs="EUAlbertina"/>
      <w:color w:val="000000"/>
      <w:sz w:val="24"/>
      <w:szCs w:val="24"/>
      <w:lang w:val="lv-LV"/>
    </w:rPr>
  </w:style>
  <w:style w:type="paragraph" w:customStyle="1" w:styleId="tvhtml">
    <w:name w:val="tv_html"/>
    <w:basedOn w:val="Normal"/>
    <w:rsid w:val="00F6765F"/>
    <w:pPr>
      <w:spacing w:before="100" w:beforeAutospacing="1" w:after="100" w:afterAutospacing="1"/>
    </w:pPr>
  </w:style>
  <w:style w:type="character" w:customStyle="1" w:styleId="ListParagraphChar">
    <w:name w:val="List Paragraph Char"/>
    <w:aliases w:val="H&amp;P List Paragraph Char,2 Char"/>
    <w:link w:val="ListParagraph"/>
    <w:uiPriority w:val="34"/>
    <w:locked/>
    <w:rsid w:val="000A42A2"/>
    <w:rPr>
      <w:rFonts w:ascii="Times New Roman" w:eastAsia="Times New Roman" w:hAnsi="Times New Roman" w:cs="Times New Roman"/>
      <w:sz w:val="24"/>
      <w:szCs w:val="24"/>
      <w:lang w:val="lv-LV" w:eastAsia="lv-LV"/>
    </w:rPr>
  </w:style>
  <w:style w:type="paragraph" w:styleId="FootnoteText">
    <w:name w:val="footnote text"/>
    <w:basedOn w:val="Normal"/>
    <w:link w:val="FootnoteTextChar"/>
    <w:uiPriority w:val="99"/>
    <w:unhideWhenUsed/>
    <w:rsid w:val="005B6E38"/>
    <w:pPr>
      <w:ind w:firstLine="720"/>
      <w:jc w:val="both"/>
    </w:pPr>
    <w:rPr>
      <w:rFonts w:eastAsiaTheme="minorEastAsia" w:cstheme="minorBidi"/>
      <w:sz w:val="20"/>
      <w:szCs w:val="20"/>
      <w:lang w:eastAsia="en-US"/>
    </w:rPr>
  </w:style>
  <w:style w:type="character" w:customStyle="1" w:styleId="FootnoteTextChar">
    <w:name w:val="Footnote Text Char"/>
    <w:basedOn w:val="DefaultParagraphFont"/>
    <w:link w:val="FootnoteText"/>
    <w:uiPriority w:val="99"/>
    <w:rsid w:val="005B6E38"/>
    <w:rPr>
      <w:rFonts w:ascii="Times New Roman" w:eastAsiaTheme="minorEastAsia" w:hAnsi="Times New Roman"/>
      <w:sz w:val="20"/>
      <w:szCs w:val="20"/>
      <w:lang w:val="lv-LV"/>
    </w:rPr>
  </w:style>
  <w:style w:type="character" w:styleId="FootnoteReference">
    <w:name w:val="footnote reference"/>
    <w:aliases w:val="Footnote symbol,Footnote,Footnote Reference Number,stylish,Footnote Refernece,BVI fnr,Fußnotenzeichen_Raxen,callout,Footnote Reference Superscript,Footnote reference number,Footnotemark,FR,Footnotemark1,Footnotemark2,FR1,SUPERS,Nota"/>
    <w:link w:val="FootnotesymbolCarZchn"/>
    <w:uiPriority w:val="99"/>
    <w:qFormat/>
    <w:rsid w:val="005B6E38"/>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5B6E38"/>
    <w:pPr>
      <w:spacing w:after="160" w:line="240" w:lineRule="exact"/>
      <w:ind w:firstLine="720"/>
      <w:jc w:val="both"/>
    </w:pPr>
    <w:rPr>
      <w:rFonts w:asciiTheme="minorHAnsi" w:eastAsiaTheme="minorHAnsi" w:hAnsiTheme="minorHAnsi" w:cstheme="minorBidi"/>
      <w:sz w:val="22"/>
      <w:szCs w:val="22"/>
      <w:vertAlign w:val="superscript"/>
      <w:lang w:val="en-US" w:eastAsia="en-US"/>
    </w:rPr>
  </w:style>
  <w:style w:type="paragraph" w:styleId="Title">
    <w:name w:val="Title"/>
    <w:basedOn w:val="Normal"/>
    <w:next w:val="Normal"/>
    <w:link w:val="TitleChar"/>
    <w:uiPriority w:val="10"/>
    <w:qFormat/>
    <w:rsid w:val="00655CDF"/>
    <w:pPr>
      <w:pBdr>
        <w:bottom w:val="single" w:sz="4" w:space="1" w:color="auto"/>
      </w:pBdr>
      <w:ind w:firstLine="720"/>
      <w:contextualSpacing/>
      <w:jc w:val="center"/>
    </w:pPr>
    <w:rPr>
      <w:rFonts w:asciiTheme="majorHAnsi" w:eastAsiaTheme="majorEastAsia" w:hAnsiTheme="majorHAnsi" w:cstheme="majorBidi"/>
      <w:spacing w:val="5"/>
      <w:sz w:val="36"/>
      <w:szCs w:val="52"/>
      <w:lang w:eastAsia="en-US"/>
    </w:rPr>
  </w:style>
  <w:style w:type="character" w:customStyle="1" w:styleId="TitleChar">
    <w:name w:val="Title Char"/>
    <w:basedOn w:val="DefaultParagraphFont"/>
    <w:link w:val="Title"/>
    <w:uiPriority w:val="10"/>
    <w:rsid w:val="00655CDF"/>
    <w:rPr>
      <w:rFonts w:asciiTheme="majorHAnsi" w:eastAsiaTheme="majorEastAsia" w:hAnsiTheme="majorHAnsi" w:cstheme="majorBidi"/>
      <w:spacing w:val="5"/>
      <w:sz w:val="36"/>
      <w:szCs w:val="52"/>
      <w:lang w:val="lv-LV"/>
    </w:rPr>
  </w:style>
  <w:style w:type="character" w:customStyle="1" w:styleId="super">
    <w:name w:val="super"/>
    <w:basedOn w:val="DefaultParagraphFont"/>
    <w:rsid w:val="00B32436"/>
  </w:style>
  <w:style w:type="paragraph" w:customStyle="1" w:styleId="Normal1">
    <w:name w:val="Normal1"/>
    <w:basedOn w:val="Normal"/>
    <w:rsid w:val="00B32436"/>
    <w:pPr>
      <w:spacing w:before="100" w:beforeAutospacing="1" w:after="100" w:afterAutospacing="1"/>
    </w:pPr>
  </w:style>
  <w:style w:type="character" w:customStyle="1" w:styleId="italic">
    <w:name w:val="italic"/>
    <w:basedOn w:val="DefaultParagraphFont"/>
    <w:rsid w:val="00B32436"/>
  </w:style>
  <w:style w:type="paragraph" w:customStyle="1" w:styleId="Body">
    <w:name w:val="Body"/>
    <w:rsid w:val="001519F8"/>
    <w:pPr>
      <w:spacing w:after="200" w:line="276" w:lineRule="auto"/>
    </w:pPr>
    <w:rPr>
      <w:rFonts w:ascii="Calibri" w:eastAsia="Arial Unicode MS" w:hAnsi="Calibri" w:cs="Arial Unicode MS"/>
      <w:color w:val="000000"/>
      <w:u w:color="00000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15860">
      <w:bodyDiv w:val="1"/>
      <w:marLeft w:val="0"/>
      <w:marRight w:val="0"/>
      <w:marTop w:val="0"/>
      <w:marBottom w:val="0"/>
      <w:divBdr>
        <w:top w:val="none" w:sz="0" w:space="0" w:color="auto"/>
        <w:left w:val="none" w:sz="0" w:space="0" w:color="auto"/>
        <w:bottom w:val="none" w:sz="0" w:space="0" w:color="auto"/>
        <w:right w:val="none" w:sz="0" w:space="0" w:color="auto"/>
      </w:divBdr>
    </w:div>
    <w:div w:id="238911289">
      <w:bodyDiv w:val="1"/>
      <w:marLeft w:val="0"/>
      <w:marRight w:val="0"/>
      <w:marTop w:val="0"/>
      <w:marBottom w:val="0"/>
      <w:divBdr>
        <w:top w:val="none" w:sz="0" w:space="0" w:color="auto"/>
        <w:left w:val="none" w:sz="0" w:space="0" w:color="auto"/>
        <w:bottom w:val="none" w:sz="0" w:space="0" w:color="auto"/>
        <w:right w:val="none" w:sz="0" w:space="0" w:color="auto"/>
      </w:divBdr>
    </w:div>
    <w:div w:id="241718082">
      <w:bodyDiv w:val="1"/>
      <w:marLeft w:val="0"/>
      <w:marRight w:val="0"/>
      <w:marTop w:val="0"/>
      <w:marBottom w:val="0"/>
      <w:divBdr>
        <w:top w:val="none" w:sz="0" w:space="0" w:color="auto"/>
        <w:left w:val="none" w:sz="0" w:space="0" w:color="auto"/>
        <w:bottom w:val="none" w:sz="0" w:space="0" w:color="auto"/>
        <w:right w:val="none" w:sz="0" w:space="0" w:color="auto"/>
      </w:divBdr>
    </w:div>
    <w:div w:id="507839289">
      <w:bodyDiv w:val="1"/>
      <w:marLeft w:val="0"/>
      <w:marRight w:val="0"/>
      <w:marTop w:val="0"/>
      <w:marBottom w:val="0"/>
      <w:divBdr>
        <w:top w:val="none" w:sz="0" w:space="0" w:color="auto"/>
        <w:left w:val="none" w:sz="0" w:space="0" w:color="auto"/>
        <w:bottom w:val="none" w:sz="0" w:space="0" w:color="auto"/>
        <w:right w:val="none" w:sz="0" w:space="0" w:color="auto"/>
      </w:divBdr>
    </w:div>
    <w:div w:id="588272507">
      <w:bodyDiv w:val="1"/>
      <w:marLeft w:val="0"/>
      <w:marRight w:val="0"/>
      <w:marTop w:val="0"/>
      <w:marBottom w:val="0"/>
      <w:divBdr>
        <w:top w:val="none" w:sz="0" w:space="0" w:color="auto"/>
        <w:left w:val="none" w:sz="0" w:space="0" w:color="auto"/>
        <w:bottom w:val="none" w:sz="0" w:space="0" w:color="auto"/>
        <w:right w:val="none" w:sz="0" w:space="0" w:color="auto"/>
      </w:divBdr>
    </w:div>
    <w:div w:id="630088981">
      <w:bodyDiv w:val="1"/>
      <w:marLeft w:val="0"/>
      <w:marRight w:val="0"/>
      <w:marTop w:val="0"/>
      <w:marBottom w:val="0"/>
      <w:divBdr>
        <w:top w:val="none" w:sz="0" w:space="0" w:color="auto"/>
        <w:left w:val="none" w:sz="0" w:space="0" w:color="auto"/>
        <w:bottom w:val="none" w:sz="0" w:space="0" w:color="auto"/>
        <w:right w:val="none" w:sz="0" w:space="0" w:color="auto"/>
      </w:divBdr>
    </w:div>
    <w:div w:id="755057798">
      <w:bodyDiv w:val="1"/>
      <w:marLeft w:val="0"/>
      <w:marRight w:val="0"/>
      <w:marTop w:val="0"/>
      <w:marBottom w:val="0"/>
      <w:divBdr>
        <w:top w:val="none" w:sz="0" w:space="0" w:color="auto"/>
        <w:left w:val="none" w:sz="0" w:space="0" w:color="auto"/>
        <w:bottom w:val="none" w:sz="0" w:space="0" w:color="auto"/>
        <w:right w:val="none" w:sz="0" w:space="0" w:color="auto"/>
      </w:divBdr>
    </w:div>
    <w:div w:id="1123772543">
      <w:bodyDiv w:val="1"/>
      <w:marLeft w:val="0"/>
      <w:marRight w:val="0"/>
      <w:marTop w:val="0"/>
      <w:marBottom w:val="0"/>
      <w:divBdr>
        <w:top w:val="none" w:sz="0" w:space="0" w:color="auto"/>
        <w:left w:val="none" w:sz="0" w:space="0" w:color="auto"/>
        <w:bottom w:val="none" w:sz="0" w:space="0" w:color="auto"/>
        <w:right w:val="none" w:sz="0" w:space="0" w:color="auto"/>
      </w:divBdr>
    </w:div>
    <w:div w:id="1223760050">
      <w:bodyDiv w:val="1"/>
      <w:marLeft w:val="0"/>
      <w:marRight w:val="0"/>
      <w:marTop w:val="0"/>
      <w:marBottom w:val="0"/>
      <w:divBdr>
        <w:top w:val="none" w:sz="0" w:space="0" w:color="auto"/>
        <w:left w:val="none" w:sz="0" w:space="0" w:color="auto"/>
        <w:bottom w:val="none" w:sz="0" w:space="0" w:color="auto"/>
        <w:right w:val="none" w:sz="0" w:space="0" w:color="auto"/>
      </w:divBdr>
    </w:div>
    <w:div w:id="1284918657">
      <w:bodyDiv w:val="1"/>
      <w:marLeft w:val="0"/>
      <w:marRight w:val="0"/>
      <w:marTop w:val="0"/>
      <w:marBottom w:val="0"/>
      <w:divBdr>
        <w:top w:val="none" w:sz="0" w:space="0" w:color="auto"/>
        <w:left w:val="none" w:sz="0" w:space="0" w:color="auto"/>
        <w:bottom w:val="none" w:sz="0" w:space="0" w:color="auto"/>
        <w:right w:val="none" w:sz="0" w:space="0" w:color="auto"/>
      </w:divBdr>
    </w:div>
    <w:div w:id="1308710116">
      <w:bodyDiv w:val="1"/>
      <w:marLeft w:val="0"/>
      <w:marRight w:val="0"/>
      <w:marTop w:val="0"/>
      <w:marBottom w:val="0"/>
      <w:divBdr>
        <w:top w:val="none" w:sz="0" w:space="0" w:color="auto"/>
        <w:left w:val="none" w:sz="0" w:space="0" w:color="auto"/>
        <w:bottom w:val="none" w:sz="0" w:space="0" w:color="auto"/>
        <w:right w:val="none" w:sz="0" w:space="0" w:color="auto"/>
      </w:divBdr>
    </w:div>
    <w:div w:id="1317153245">
      <w:bodyDiv w:val="1"/>
      <w:marLeft w:val="0"/>
      <w:marRight w:val="0"/>
      <w:marTop w:val="0"/>
      <w:marBottom w:val="0"/>
      <w:divBdr>
        <w:top w:val="none" w:sz="0" w:space="0" w:color="auto"/>
        <w:left w:val="none" w:sz="0" w:space="0" w:color="auto"/>
        <w:bottom w:val="none" w:sz="0" w:space="0" w:color="auto"/>
        <w:right w:val="none" w:sz="0" w:space="0" w:color="auto"/>
      </w:divBdr>
    </w:div>
    <w:div w:id="1564177705">
      <w:bodyDiv w:val="1"/>
      <w:marLeft w:val="0"/>
      <w:marRight w:val="0"/>
      <w:marTop w:val="0"/>
      <w:marBottom w:val="0"/>
      <w:divBdr>
        <w:top w:val="none" w:sz="0" w:space="0" w:color="auto"/>
        <w:left w:val="none" w:sz="0" w:space="0" w:color="auto"/>
        <w:bottom w:val="none" w:sz="0" w:space="0" w:color="auto"/>
        <w:right w:val="none" w:sz="0" w:space="0" w:color="auto"/>
      </w:divBdr>
    </w:div>
    <w:div w:id="1697123927">
      <w:bodyDiv w:val="1"/>
      <w:marLeft w:val="0"/>
      <w:marRight w:val="0"/>
      <w:marTop w:val="0"/>
      <w:marBottom w:val="0"/>
      <w:divBdr>
        <w:top w:val="none" w:sz="0" w:space="0" w:color="auto"/>
        <w:left w:val="none" w:sz="0" w:space="0" w:color="auto"/>
        <w:bottom w:val="none" w:sz="0" w:space="0" w:color="auto"/>
        <w:right w:val="none" w:sz="0" w:space="0" w:color="auto"/>
      </w:divBdr>
    </w:div>
    <w:div w:id="18893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ja.vavere@vara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8668</Words>
  <Characters>4942</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Nacionālais radiofrekvenču plāns</vt:lpstr>
      <vt:lpstr>Nacionālais radiofrekvenču plāns</vt:lpstr>
    </vt:vector>
  </TitlesOfParts>
  <Company>VARAM</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Nacionālais radiofrekvenču plāns</dc:title>
  <dc:subject>Anotācija</dc:subject>
  <dc:creator>VARAM</dc:creator>
  <cp:keywords/>
  <dc:description>A.Vāvere_x000d_
tālrunis: 67026936_x000d_
Aija.Vavere@varam.gov.lv</dc:description>
  <cp:lastModifiedBy>Lita Trakina</cp:lastModifiedBy>
  <cp:revision>2</cp:revision>
  <cp:lastPrinted>2019-03-26T08:13:00Z</cp:lastPrinted>
  <dcterms:created xsi:type="dcterms:W3CDTF">2021-03-16T07:14:00Z</dcterms:created>
  <dcterms:modified xsi:type="dcterms:W3CDTF">2021-03-16T07:14:00Z</dcterms:modified>
</cp:coreProperties>
</file>